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spacing w:line="240" w:lineRule="auto"/>
        <w:ind w:firstLine="0" w:firstLineChars="0"/>
        <w:jc w:val="center"/>
        <w:rPr>
          <w:rFonts w:hint="eastAsia" w:ascii="仿宋_GB2312" w:hAnsi="黑体" w:eastAsia="仿宋_GB2312" w:cstheme="minorBidi"/>
          <w:b/>
          <w:bCs/>
          <w:color w:val="auto"/>
          <w:kern w:val="2"/>
          <w:sz w:val="40"/>
          <w:szCs w:val="40"/>
          <w:highlight w:val="none"/>
          <w:lang w:val="en-US" w:eastAsia="zh-CN" w:bidi="ar-SA"/>
        </w:rPr>
      </w:pPr>
    </w:p>
    <w:p>
      <w:pPr>
        <w:pageBreakBefore w:val="0"/>
        <w:kinsoku/>
        <w:wordWrap/>
        <w:topLinePunct w:val="0"/>
        <w:autoSpaceDE/>
        <w:autoSpaceDN/>
        <w:bidi w:val="0"/>
        <w:spacing w:line="240" w:lineRule="auto"/>
        <w:ind w:firstLine="0" w:firstLineChars="0"/>
        <w:jc w:val="center"/>
        <w:rPr>
          <w:rFonts w:hint="eastAsia" w:ascii="仿宋_GB2312" w:hAnsi="黑体" w:eastAsia="仿宋_GB2312" w:cstheme="minorBidi"/>
          <w:b/>
          <w:bCs/>
          <w:color w:val="auto"/>
          <w:kern w:val="2"/>
          <w:sz w:val="40"/>
          <w:szCs w:val="40"/>
          <w:highlight w:val="none"/>
          <w:lang w:val="en-US" w:eastAsia="zh-CN" w:bidi="ar-SA"/>
        </w:rPr>
      </w:pPr>
      <w:r>
        <w:rPr>
          <w:rFonts w:hint="eastAsia" w:ascii="仿宋_GB2312" w:hAnsi="黑体" w:eastAsia="仿宋_GB2312" w:cstheme="minorBidi"/>
          <w:b/>
          <w:bCs/>
          <w:color w:val="auto"/>
          <w:kern w:val="2"/>
          <w:sz w:val="40"/>
          <w:szCs w:val="40"/>
          <w:highlight w:val="none"/>
          <w:lang w:val="en-US" w:eastAsia="zh-CN" w:bidi="ar-SA"/>
        </w:rPr>
        <w:t>叶城县金果镇产业就业基地建设项目支出绩效评价报告</w:t>
      </w: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p>
    <w:p>
      <w:pPr>
        <w:pStyle w:val="7"/>
        <w:pageBreakBefore w:val="0"/>
        <w:kinsoku/>
        <w:wordWrap/>
        <w:topLinePunct w:val="0"/>
        <w:autoSpaceDE/>
        <w:autoSpaceDN/>
        <w:bidi w:val="0"/>
        <w:spacing w:line="560" w:lineRule="exact"/>
        <w:rPr>
          <w:rFonts w:hint="eastAsia" w:ascii="Times New Roman" w:hAnsi="Times New Roman" w:eastAsia="方正仿宋_GBK" w:cs="方正仿宋_GBK"/>
          <w:b/>
          <w:color w:val="auto"/>
          <w:kern w:val="0"/>
          <w:sz w:val="32"/>
          <w:szCs w:val="32"/>
          <w:highlight w:val="none"/>
          <w:lang w:bidi="en-US"/>
        </w:rPr>
      </w:pPr>
    </w:p>
    <w:p>
      <w:pPr>
        <w:rPr>
          <w:rFonts w:hint="eastAsia"/>
          <w:color w:val="auto"/>
          <w:highlight w:val="none"/>
        </w:rPr>
      </w:pPr>
    </w:p>
    <w:p>
      <w:pPr>
        <w:pStyle w:val="4"/>
        <w:spacing w:after="0"/>
        <w:ind w:left="0" w:leftChars="0" w:firstLine="0"/>
        <w:rPr>
          <w:rFonts w:hint="eastAsia" w:eastAsiaTheme="minorEastAsia"/>
          <w:color w:val="auto"/>
          <w:highlight w:val="none"/>
          <w:lang w:eastAsia="zh-CN"/>
        </w:rPr>
      </w:pPr>
    </w:p>
    <w:p>
      <w:pPr>
        <w:pStyle w:val="4"/>
        <w:rPr>
          <w:rFonts w:hint="eastAsia" w:eastAsiaTheme="minorEastAsia"/>
          <w:color w:val="auto"/>
          <w:highlight w:val="none"/>
          <w:lang w:eastAsia="zh-CN"/>
        </w:rPr>
      </w:pPr>
    </w:p>
    <w:p>
      <w:pPr>
        <w:pStyle w:val="4"/>
        <w:rPr>
          <w:rFonts w:hint="eastAsia" w:eastAsiaTheme="minorEastAsia"/>
          <w:color w:val="auto"/>
          <w:highlight w:val="none"/>
          <w:lang w:eastAsia="zh-CN"/>
        </w:rPr>
      </w:pPr>
    </w:p>
    <w:p>
      <w:pPr>
        <w:pageBreakBefore w:val="0"/>
        <w:kinsoku/>
        <w:wordWrap/>
        <w:topLinePunct w:val="0"/>
        <w:autoSpaceDE/>
        <w:autoSpaceDN/>
        <w:bidi w:val="0"/>
        <w:spacing w:line="560" w:lineRule="exact"/>
        <w:rPr>
          <w:rFonts w:hint="eastAsia"/>
          <w:color w:val="auto"/>
          <w:highlight w:val="none"/>
        </w:rPr>
      </w:pPr>
    </w:p>
    <w:p>
      <w:pPr>
        <w:pStyle w:val="2"/>
        <w:rPr>
          <w:rFonts w:hint="eastAsia"/>
          <w:color w:val="auto"/>
          <w:highlight w:val="none"/>
        </w:rPr>
      </w:pPr>
    </w:p>
    <w:p>
      <w:pPr>
        <w:pStyle w:val="2"/>
        <w:rPr>
          <w:rFonts w:hint="eastAsia"/>
          <w:color w:val="auto"/>
          <w:highlight w:val="none"/>
        </w:rPr>
      </w:pPr>
    </w:p>
    <w:p>
      <w:pPr>
        <w:pStyle w:val="2"/>
        <w:rPr>
          <w:rFonts w:hint="eastAsia"/>
          <w:color w:val="auto"/>
          <w:highlight w:val="none"/>
        </w:rPr>
      </w:pPr>
    </w:p>
    <w:p>
      <w:pPr>
        <w:pStyle w:val="2"/>
        <w:rPr>
          <w:rFonts w:hint="eastAsia"/>
          <w:color w:val="auto"/>
          <w:highlight w:val="none"/>
        </w:rPr>
      </w:pPr>
    </w:p>
    <w:p>
      <w:pPr>
        <w:pStyle w:val="2"/>
        <w:rPr>
          <w:rFonts w:hint="eastAsia"/>
          <w:color w:val="auto"/>
          <w:highlight w:val="none"/>
        </w:rPr>
      </w:pPr>
    </w:p>
    <w:p>
      <w:pPr>
        <w:pageBreakBefore w:val="0"/>
        <w:kinsoku/>
        <w:wordWrap/>
        <w:topLinePunct w:val="0"/>
        <w:autoSpaceDE/>
        <w:autoSpaceDN/>
        <w:bidi w:val="0"/>
        <w:spacing w:line="560" w:lineRule="exact"/>
        <w:ind w:firstLine="0" w:firstLineChars="0"/>
        <w:jc w:val="both"/>
        <w:rPr>
          <w:rFonts w:hint="eastAsia" w:ascii="Times New Roman" w:hAnsi="Times New Roman" w:eastAsia="方正仿宋_GBK" w:cs="方正仿宋_GBK"/>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both"/>
        <w:rPr>
          <w:rFonts w:hint="eastAsia" w:ascii="Times New Roman" w:hAnsi="Times New Roman" w:eastAsia="方正仿宋_GBK" w:cs="方正仿宋_GBK"/>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both"/>
        <w:rPr>
          <w:rFonts w:hint="eastAsia" w:ascii="仿宋_GB2312" w:hAnsi="黑体" w:eastAsia="仿宋_GB2312" w:cstheme="minorBidi"/>
          <w:color w:val="auto"/>
          <w:kern w:val="2"/>
          <w:sz w:val="32"/>
          <w:szCs w:val="32"/>
          <w:highlight w:val="none"/>
          <w:lang w:val="en-US" w:eastAsia="zh-CN" w:bidi="ar-SA"/>
        </w:rPr>
      </w:pPr>
    </w:p>
    <w:p>
      <w:pPr>
        <w:pageBreakBefore w:val="0"/>
        <w:kinsoku/>
        <w:wordWrap/>
        <w:topLinePunct w:val="0"/>
        <w:autoSpaceDE/>
        <w:autoSpaceDN/>
        <w:bidi w:val="0"/>
        <w:spacing w:line="560" w:lineRule="exact"/>
        <w:ind w:firstLine="1600" w:firstLineChars="50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项目名称：叶城县金果镇产业就业基地建设项目</w:t>
      </w:r>
    </w:p>
    <w:p>
      <w:pPr>
        <w:pageBreakBefore w:val="0"/>
        <w:kinsoku/>
        <w:wordWrap/>
        <w:topLinePunct w:val="0"/>
        <w:autoSpaceDE/>
        <w:autoSpaceDN/>
        <w:bidi w:val="0"/>
        <w:spacing w:line="560" w:lineRule="exact"/>
        <w:ind w:firstLine="1728" w:firstLineChars="540"/>
        <w:jc w:val="left"/>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项目单位：叶城县金果镇人民政府</w:t>
      </w:r>
    </w:p>
    <w:p>
      <w:pPr>
        <w:pageBreakBefore w:val="0"/>
        <w:kinsoku/>
        <w:wordWrap/>
        <w:topLinePunct w:val="0"/>
        <w:autoSpaceDE/>
        <w:autoSpaceDN/>
        <w:bidi w:val="0"/>
        <w:spacing w:line="560" w:lineRule="exact"/>
        <w:ind w:firstLine="1728" w:firstLineChars="54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主管部门：叶城县金果镇人民政府</w:t>
      </w:r>
    </w:p>
    <w:p>
      <w:pPr>
        <w:pageBreakBefore w:val="0"/>
        <w:kinsoku/>
        <w:wordWrap/>
        <w:topLinePunct w:val="0"/>
        <w:autoSpaceDE/>
        <w:autoSpaceDN/>
        <w:bidi w:val="0"/>
        <w:spacing w:line="560" w:lineRule="exact"/>
        <w:ind w:firstLine="1728" w:firstLineChars="540"/>
        <w:jc w:val="left"/>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项目负责人：杨龙龙</w:t>
      </w:r>
    </w:p>
    <w:p>
      <w:pPr>
        <w:pageBreakBefore w:val="0"/>
        <w:kinsoku/>
        <w:wordWrap/>
        <w:topLinePunct w:val="0"/>
        <w:autoSpaceDE/>
        <w:autoSpaceDN/>
        <w:bidi w:val="0"/>
        <w:spacing w:line="560" w:lineRule="exact"/>
        <w:ind w:firstLine="1728" w:firstLineChars="54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2022年12月20日</w:t>
      </w:r>
    </w:p>
    <w:p>
      <w:pPr>
        <w:pStyle w:val="8"/>
        <w:pageBreakBefore w:val="0"/>
        <w:kinsoku/>
        <w:wordWrap/>
        <w:topLinePunct w:val="0"/>
        <w:autoSpaceDE/>
        <w:autoSpaceDN/>
        <w:bidi w:val="0"/>
        <w:spacing w:line="560" w:lineRule="exact"/>
        <w:rPr>
          <w:rFonts w:hint="eastAsia" w:ascii="仿宋_GB2312" w:hAnsi="黑体" w:eastAsia="仿宋_GB2312" w:cstheme="minorBidi"/>
          <w:color w:val="auto"/>
          <w:kern w:val="2"/>
          <w:sz w:val="32"/>
          <w:szCs w:val="32"/>
          <w:highlight w:val="none"/>
          <w:lang w:val="en-US" w:eastAsia="zh-CN" w:bidi="ar-SA"/>
        </w:rPr>
      </w:pPr>
    </w:p>
    <w:p>
      <w:pPr>
        <w:ind w:firstLine="640" w:firstLineChars="200"/>
        <w:jc w:val="center"/>
        <w:rPr>
          <w:rFonts w:hint="eastAsia" w:ascii="仿宋_GB2312" w:hAnsi="黑体" w:eastAsia="仿宋_GB2312" w:cstheme="minorBidi"/>
          <w:color w:val="auto"/>
          <w:kern w:val="2"/>
          <w:sz w:val="32"/>
          <w:szCs w:val="32"/>
          <w:highlight w:val="none"/>
          <w:lang w:val="en-US" w:eastAsia="zh-CN" w:bidi="ar-SA"/>
        </w:rPr>
      </w:pPr>
    </w:p>
    <w:p>
      <w:pPr>
        <w:ind w:firstLine="640" w:firstLineChars="200"/>
        <w:jc w:val="center"/>
        <w:rPr>
          <w:rFonts w:hint="eastAsia" w:ascii="仿宋_GB2312" w:hAnsi="黑体" w:eastAsia="仿宋_GB2312" w:cstheme="minorBidi"/>
          <w:color w:val="auto"/>
          <w:kern w:val="2"/>
          <w:sz w:val="32"/>
          <w:szCs w:val="32"/>
          <w:highlight w:val="none"/>
          <w:lang w:val="en-US" w:eastAsia="zh-CN" w:bidi="ar-SA"/>
        </w:rPr>
      </w:pPr>
    </w:p>
    <w:p>
      <w:pPr>
        <w:ind w:firstLine="640" w:firstLineChars="200"/>
        <w:jc w:val="center"/>
        <w:rPr>
          <w:rFonts w:hint="eastAsia" w:ascii="仿宋_GB2312" w:hAnsi="黑体" w:eastAsia="仿宋_GB2312" w:cstheme="minorBidi"/>
          <w:color w:val="auto"/>
          <w:kern w:val="2"/>
          <w:sz w:val="32"/>
          <w:szCs w:val="32"/>
          <w:highlight w:val="none"/>
          <w:lang w:val="en-US" w:eastAsia="zh-CN" w:bidi="ar-SA"/>
        </w:rPr>
      </w:pPr>
    </w:p>
    <w:p>
      <w:pPr>
        <w:jc w:val="both"/>
        <w:rPr>
          <w:rFonts w:hint="eastAsia" w:ascii="仿宋_GB2312" w:hAnsi="黑体" w:eastAsia="仿宋_GB2312" w:cstheme="minorBidi"/>
          <w:color w:val="auto"/>
          <w:kern w:val="2"/>
          <w:sz w:val="32"/>
          <w:szCs w:val="32"/>
          <w:highlight w:val="none"/>
          <w:lang w:val="en-US" w:eastAsia="zh-CN" w:bidi="ar-SA"/>
        </w:rPr>
      </w:pPr>
    </w:p>
    <w:p>
      <w:pPr>
        <w:pageBreakBefore w:val="0"/>
        <w:kinsoku/>
        <w:wordWrap/>
        <w:topLinePunct w:val="0"/>
        <w:autoSpaceDE/>
        <w:autoSpaceDN/>
        <w:bidi w:val="0"/>
        <w:spacing w:line="560" w:lineRule="exact"/>
        <w:ind w:firstLine="1735" w:firstLineChars="540"/>
        <w:jc w:val="center"/>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叶城县金果镇人民政府2022年财政专项扶贫资金绩效自评总结报告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1.财政衔接推进乡村振兴补助资金下达预算及项目情况。</w:t>
      </w:r>
    </w:p>
    <w:p>
      <w:pPr>
        <w:keepNext w:val="0"/>
        <w:keepLines w:val="0"/>
        <w:widowControl/>
        <w:suppressLineNumbers w:val="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根据《关于下达2022年自治区财政衔接推进乡村振兴补助资金预算的通知》（新财振〔2022〕18号），下达2022年自治区财政衔接推进乡村振兴补助资金，叶城县计划总投资2859万元，项目建设地叶城县金果镇 5 村，项目实施是落实叶城县金果镇 5 村产业园区总体规划及产业发展 规划，构建园区良好的招商引资平台，提升园区项目承载能力的具体体现：是大力扶助中小企业和创业型企业，承接产业转移，活跃区域经济的重大举措:是促进园区产业规范化、集约化、规模化、合理化，延伸产业链，形成产业集群的发展要求;是促进园区经济增长和实现士地资源集约使用的有效途径。依托叶城县境内富集的能源资源、农副产品资源、自然资源、文化旅游等资源，可以加快实施优势资源转换战略，基本形成装备制造产业集群、农副产品精深加工产业集群 和新型物流产业集群。</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2.财政衔接推进乡村振兴补助资金项目绩效目标设定情况。</w:t>
      </w:r>
    </w:p>
    <w:p>
      <w:pPr>
        <w:keepNext w:val="0"/>
        <w:keepLines w:val="0"/>
        <w:widowControl/>
        <w:suppressLineNumbers w:val="0"/>
        <w:jc w:val="left"/>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叶城县中小企业发展迅猛：新增企业数量多，发展速度快，市场适应能力强，吸收就业人员多，叶城县区域经济近年快速增长，但该区中小企业的发展壮大也同样面临着 资金与用地的瓶颈问题，企业不能形成产业集群和产生协同效应。该项目在叶城县金果镇 5 村实施标准化厂房建设。计划总投资2859万元，资金来源为财政衔接推进 乡村振兴补助资金。规划新建就业车间 ，建4栋2层8000平米就业基地以及附属设施配套能从根本上解决中小企业的发展瓶颈问题，促进中小企业集聚壮大， 提高承载能力，优化结构布局，集约节约用地。</w:t>
      </w:r>
    </w:p>
    <w:p>
      <w:pPr>
        <w:keepNext w:val="0"/>
        <w:keepLines w:val="0"/>
        <w:widowControl/>
        <w:suppressLineNumbers w:val="0"/>
        <w:jc w:val="left"/>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本项目建设期个月，即2022年3月-2022年12月</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keepNext w:val="0"/>
        <w:keepLines w:val="0"/>
        <w:widowControl/>
        <w:suppressLineNumbers w:val="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金果镇产业就业产业园项目总投入资金2859万元，其中财政资金2859万元，已完成拨付资金2859万元。规划新建4栋2层8000平米就业基地以及附属设施配套。从根本上解决中小企业的发展瓶颈问题，促进中小企业集聚壮大， 提高承载能力，优化结构布局，集约节约用地，</w:t>
      </w:r>
    </w:p>
    <w:p>
      <w:pPr>
        <w:pStyle w:val="1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叶城县金果镇产业就业基地项目规划新建4栋2层8000平米就业基地以及附属设施配套。2022年3月前：完成前期工作和施工准备工作，2022年6月前：完成土建工程建设（就业车间和配套附属用房。），</w:t>
      </w:r>
      <w:r>
        <w:rPr>
          <w:rFonts w:hint="default" w:ascii="仿宋_GB2312" w:hAnsi="黑体" w:eastAsia="仿宋_GB2312" w:cstheme="minorBidi"/>
          <w:color w:val="auto"/>
          <w:kern w:val="2"/>
          <w:sz w:val="32"/>
          <w:szCs w:val="32"/>
          <w:highlight w:val="none"/>
          <w:lang w:val="en-US" w:eastAsia="zh-CN" w:bidi="ar-SA"/>
        </w:rPr>
        <w:t>2022年</w:t>
      </w:r>
      <w:r>
        <w:rPr>
          <w:rFonts w:hint="eastAsia" w:ascii="仿宋_GB2312" w:hAnsi="黑体" w:eastAsia="仿宋_GB2312" w:cstheme="minorBidi"/>
          <w:color w:val="auto"/>
          <w:kern w:val="2"/>
          <w:sz w:val="32"/>
          <w:szCs w:val="32"/>
          <w:highlight w:val="none"/>
          <w:lang w:val="en-US" w:eastAsia="zh-CN" w:bidi="ar-SA"/>
        </w:rPr>
        <w:t>12</w:t>
      </w:r>
      <w:r>
        <w:rPr>
          <w:rFonts w:hint="default" w:ascii="仿宋_GB2312" w:hAnsi="黑体" w:eastAsia="仿宋_GB2312" w:cstheme="minorBidi"/>
          <w:color w:val="auto"/>
          <w:kern w:val="2"/>
          <w:sz w:val="32"/>
          <w:szCs w:val="32"/>
          <w:highlight w:val="none"/>
          <w:lang w:val="en-US" w:eastAsia="zh-CN" w:bidi="ar-SA"/>
        </w:rPr>
        <w:t>月</w:t>
      </w:r>
      <w:r>
        <w:rPr>
          <w:rFonts w:hint="eastAsia" w:ascii="仿宋_GB2312" w:hAnsi="黑体" w:eastAsia="仿宋_GB2312" w:cstheme="minorBidi"/>
          <w:color w:val="auto"/>
          <w:kern w:val="2"/>
          <w:sz w:val="32"/>
          <w:szCs w:val="32"/>
          <w:highlight w:val="none"/>
          <w:lang w:val="en-US" w:eastAsia="zh-CN" w:bidi="ar-SA"/>
        </w:rPr>
        <w:t>前：完成全部建设施工工作，项目竣工。解决中小企业的发展瓶颈问题，促进中小企业集聚壮大， 提高承载能力，优化结构布局，集体节约用地。</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二、绩效自评工作开展情况</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1.绩效评价范围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2.绩效评价对象</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5.绩效评价标准</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1.项目资金到位情况分析。</w:t>
      </w:r>
    </w:p>
    <w:p>
      <w:pPr>
        <w:pStyle w:val="15"/>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新财扶【2021】39号、喀地财扶【2021】9号共安排下达资金2859万元，为财政衔接推进乡村振兴补助资金，最终确定项目资金总数为2859万元。</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5"/>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截至2022年12月31日，实际支出2859万元，预算执行率100%。</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1.产出指标完成情况分析。</w:t>
      </w:r>
    </w:p>
    <w:p>
      <w:pPr>
        <w:pageBreakBefore w:val="0"/>
        <w:numPr>
          <w:ilvl w:val="0"/>
          <w:numId w:val="1"/>
        </w:numPr>
        <w:kinsoku/>
        <w:wordWrap/>
        <w:topLinePunct w:val="0"/>
        <w:autoSpaceDE/>
        <w:autoSpaceDN/>
        <w:bidi w:val="0"/>
        <w:spacing w:line="560" w:lineRule="exact"/>
        <w:ind w:left="-13" w:leftChars="0" w:firstLine="643" w:firstLineChars="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对于“产出数量”</w:t>
      </w:r>
    </w:p>
    <w:p>
      <w:pPr>
        <w:keepNext w:val="0"/>
        <w:keepLines w:val="0"/>
        <w:widowControl/>
        <w:suppressLineNumbers w:val="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新建就业产业基地面积8000平方米，与预期目标指标一致，指标标杆分值为10分，根据评分标准，该指标不扣分，得10分。</w:t>
      </w:r>
    </w:p>
    <w:p>
      <w:pPr>
        <w:pageBreakBefore w:val="0"/>
        <w:numPr>
          <w:ilvl w:val="0"/>
          <w:numId w:val="1"/>
        </w:numPr>
        <w:kinsoku/>
        <w:wordWrap/>
        <w:topLinePunct w:val="0"/>
        <w:autoSpaceDE/>
        <w:autoSpaceDN/>
        <w:bidi w:val="0"/>
        <w:spacing w:line="560" w:lineRule="exact"/>
        <w:ind w:left="-13" w:leftChars="0" w:firstLine="643" w:firstLineChars="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对于“产出质量”：</w:t>
      </w:r>
    </w:p>
    <w:p>
      <w:pPr>
        <w:keepNext w:val="0"/>
        <w:keepLines w:val="0"/>
        <w:widowControl/>
        <w:suppressLineNumbers w:val="0"/>
        <w:jc w:val="left"/>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项目工程验收合格率100%，与预期目标指标一致，指标标杆分值为10分，根据评分标准，该指标不扣分，得10分。</w:t>
      </w:r>
    </w:p>
    <w:p>
      <w:pPr>
        <w:pStyle w:val="8"/>
        <w:pageBreakBefore w:val="0"/>
        <w:numPr>
          <w:ilvl w:val="0"/>
          <w:numId w:val="1"/>
        </w:numPr>
        <w:kinsoku/>
        <w:wordWrap/>
        <w:topLinePunct w:val="0"/>
        <w:autoSpaceDE/>
        <w:autoSpaceDN/>
        <w:bidi w:val="0"/>
        <w:spacing w:before="0" w:after="0" w:line="560" w:lineRule="exact"/>
        <w:ind w:left="-13" w:leftChars="0" w:firstLine="643" w:firstLineChars="0"/>
        <w:jc w:val="both"/>
        <w:rPr>
          <w:rFonts w:hint="eastAsia" w:ascii="仿宋_GB2312" w:hAnsi="黑体" w:eastAsia="仿宋_GB2312" w:cstheme="minorBidi"/>
          <w:b w:val="0"/>
          <w:bCs/>
          <w:color w:val="auto"/>
          <w:kern w:val="2"/>
          <w:sz w:val="32"/>
          <w:szCs w:val="32"/>
          <w:highlight w:val="none"/>
          <w:lang w:val="en-US" w:eastAsia="zh-CN" w:bidi="ar-SA"/>
        </w:rPr>
      </w:pPr>
      <w:r>
        <w:rPr>
          <w:rFonts w:hint="eastAsia" w:ascii="仿宋_GB2312" w:hAnsi="黑体" w:eastAsia="仿宋_GB2312" w:cstheme="minorBidi"/>
          <w:b w:val="0"/>
          <w:bCs/>
          <w:color w:val="auto"/>
          <w:kern w:val="2"/>
          <w:sz w:val="32"/>
          <w:szCs w:val="32"/>
          <w:highlight w:val="none"/>
          <w:lang w:val="en-US" w:eastAsia="zh-CN" w:bidi="ar-SA"/>
        </w:rPr>
        <w:t>对于“产出时效”：</w:t>
      </w:r>
    </w:p>
    <w:p>
      <w:pPr>
        <w:pStyle w:val="8"/>
        <w:pageBreakBefore w:val="0"/>
        <w:kinsoku/>
        <w:wordWrap/>
        <w:topLinePunct w:val="0"/>
        <w:autoSpaceDE/>
        <w:autoSpaceDN/>
        <w:bidi w:val="0"/>
        <w:spacing w:before="0" w:after="0" w:line="560" w:lineRule="exact"/>
        <w:ind w:firstLine="640"/>
        <w:jc w:val="both"/>
        <w:rPr>
          <w:rFonts w:hint="eastAsia" w:ascii="仿宋_GB2312" w:hAnsi="黑体" w:eastAsia="仿宋_GB2312" w:cstheme="minorBidi"/>
          <w:b w:val="0"/>
          <w:color w:val="auto"/>
          <w:kern w:val="2"/>
          <w:sz w:val="32"/>
          <w:szCs w:val="32"/>
          <w:highlight w:val="none"/>
          <w:lang w:val="en-US" w:eastAsia="zh-CN" w:bidi="ar-SA"/>
        </w:rPr>
      </w:pPr>
      <w:r>
        <w:rPr>
          <w:rFonts w:hint="eastAsia" w:ascii="仿宋_GB2312" w:hAnsi="黑体" w:eastAsia="仿宋_GB2312" w:cstheme="minorBidi"/>
          <w:b w:val="0"/>
          <w:bCs/>
          <w:color w:val="auto"/>
          <w:kern w:val="2"/>
          <w:sz w:val="32"/>
          <w:szCs w:val="32"/>
          <w:highlight w:val="none"/>
          <w:lang w:val="en-US" w:eastAsia="zh-CN" w:bidi="ar-SA"/>
        </w:rPr>
        <w:t>预期</w:t>
      </w:r>
      <w:r>
        <w:rPr>
          <w:rFonts w:hint="eastAsia" w:ascii="仿宋_GB2312" w:hAnsi="黑体" w:eastAsia="仿宋_GB2312" w:cstheme="minorBidi"/>
          <w:b w:val="0"/>
          <w:color w:val="auto"/>
          <w:kern w:val="2"/>
          <w:sz w:val="32"/>
          <w:szCs w:val="32"/>
          <w:highlight w:val="none"/>
          <w:lang w:val="en-US" w:eastAsia="zh-CN" w:bidi="ar-SA"/>
        </w:rPr>
        <w:t>项目开工时间2022年3月1日，与预期目标指标一致，指标标杆分值为5分，根据评分标准，该指标不扣分，得5分。</w:t>
      </w:r>
    </w:p>
    <w:p>
      <w:pPr>
        <w:pStyle w:val="8"/>
        <w:pageBreakBefore w:val="0"/>
        <w:kinsoku/>
        <w:wordWrap/>
        <w:topLinePunct w:val="0"/>
        <w:autoSpaceDE/>
        <w:autoSpaceDN/>
        <w:bidi w:val="0"/>
        <w:spacing w:before="0" w:after="0" w:line="560" w:lineRule="exact"/>
        <w:ind w:firstLine="640"/>
        <w:jc w:val="both"/>
        <w:rPr>
          <w:rFonts w:hint="eastAsia" w:ascii="仿宋_GB2312" w:hAnsi="黑体" w:eastAsia="仿宋_GB2312" w:cstheme="minorBidi"/>
          <w:b w:val="0"/>
          <w:color w:val="auto"/>
          <w:kern w:val="2"/>
          <w:sz w:val="32"/>
          <w:szCs w:val="32"/>
          <w:highlight w:val="none"/>
          <w:lang w:val="en-US" w:eastAsia="zh-CN" w:bidi="ar-SA"/>
        </w:rPr>
      </w:pPr>
      <w:r>
        <w:rPr>
          <w:rFonts w:hint="eastAsia" w:ascii="仿宋_GB2312" w:hAnsi="黑体" w:eastAsia="仿宋_GB2312" w:cstheme="minorBidi"/>
          <w:b w:val="0"/>
          <w:color w:val="auto"/>
          <w:kern w:val="2"/>
          <w:sz w:val="32"/>
          <w:szCs w:val="32"/>
          <w:highlight w:val="none"/>
          <w:lang w:val="en-US" w:eastAsia="zh-CN" w:bidi="ar-SA"/>
        </w:rPr>
        <w:t>预期项目完工时间2022年12月28日，与预期目标指标一致，指标标杆分值为5分，根据评分标准，该指标不扣分，得5分。</w:t>
      </w:r>
    </w:p>
    <w:p>
      <w:pPr>
        <w:pStyle w:val="8"/>
        <w:pageBreakBefore w:val="0"/>
        <w:kinsoku/>
        <w:wordWrap/>
        <w:topLinePunct w:val="0"/>
        <w:autoSpaceDE/>
        <w:autoSpaceDN/>
        <w:bidi w:val="0"/>
        <w:spacing w:before="0" w:after="0" w:line="560" w:lineRule="exact"/>
        <w:ind w:firstLine="640"/>
        <w:jc w:val="both"/>
        <w:rPr>
          <w:rFonts w:hint="default" w:ascii="仿宋_GB2312" w:hAnsi="黑体" w:eastAsia="仿宋_GB2312" w:cstheme="minorBidi"/>
          <w:b w:val="0"/>
          <w:color w:val="auto"/>
          <w:kern w:val="2"/>
          <w:sz w:val="32"/>
          <w:szCs w:val="32"/>
          <w:highlight w:val="none"/>
          <w:lang w:val="en-US" w:eastAsia="zh-CN" w:bidi="ar-SA"/>
        </w:rPr>
      </w:pPr>
      <w:r>
        <w:rPr>
          <w:rFonts w:hint="eastAsia" w:ascii="仿宋_GB2312" w:hAnsi="黑体" w:eastAsia="仿宋_GB2312" w:cstheme="minorBidi"/>
          <w:b w:val="0"/>
          <w:color w:val="auto"/>
          <w:kern w:val="2"/>
          <w:sz w:val="32"/>
          <w:szCs w:val="32"/>
          <w:highlight w:val="none"/>
          <w:lang w:val="en-US" w:eastAsia="zh-CN" w:bidi="ar-SA"/>
        </w:rPr>
        <w:t>资金拨付及时率100%，与预期目标指标一致，指标标杆分值为10分根据评分标准，该指标不扣分，得10分。</w:t>
      </w:r>
    </w:p>
    <w:p>
      <w:pPr>
        <w:pStyle w:val="8"/>
        <w:pageBreakBefore w:val="0"/>
        <w:kinsoku/>
        <w:wordWrap/>
        <w:topLinePunct w:val="0"/>
        <w:autoSpaceDE/>
        <w:autoSpaceDN/>
        <w:bidi w:val="0"/>
        <w:spacing w:before="0" w:after="0" w:line="560" w:lineRule="exact"/>
        <w:ind w:firstLine="640"/>
        <w:jc w:val="both"/>
        <w:rPr>
          <w:rFonts w:hint="eastAsia" w:ascii="仿宋_GB2312" w:hAnsi="黑体" w:eastAsia="仿宋_GB2312" w:cstheme="minorBidi"/>
          <w:b w:val="0"/>
          <w:color w:val="auto"/>
          <w:kern w:val="2"/>
          <w:sz w:val="32"/>
          <w:szCs w:val="32"/>
          <w:highlight w:val="none"/>
          <w:lang w:val="en-US" w:eastAsia="zh-CN" w:bidi="ar-SA"/>
        </w:rPr>
      </w:pPr>
      <w:r>
        <w:rPr>
          <w:rFonts w:hint="eastAsia" w:ascii="仿宋_GB2312" w:hAnsi="黑体" w:eastAsia="仿宋_GB2312" w:cstheme="minorBidi"/>
          <w:b w:val="0"/>
          <w:color w:val="auto"/>
          <w:kern w:val="2"/>
          <w:sz w:val="32"/>
          <w:szCs w:val="32"/>
          <w:highlight w:val="none"/>
          <w:lang w:val="en-US" w:eastAsia="zh-CN" w:bidi="ar-SA"/>
        </w:rPr>
        <w:t>合计得20分。</w:t>
      </w:r>
    </w:p>
    <w:p>
      <w:pPr>
        <w:pageBreakBefore w:val="0"/>
        <w:kinsoku/>
        <w:wordWrap/>
        <w:topLinePunct w:val="0"/>
        <w:autoSpaceDE/>
        <w:autoSpaceDN/>
        <w:bidi w:val="0"/>
        <w:spacing w:line="560" w:lineRule="exact"/>
        <w:ind w:firstLine="643"/>
        <w:rPr>
          <w:rFonts w:hint="eastAsia" w:ascii="仿宋_GB2312" w:hAnsi="黑体" w:eastAsia="仿宋_GB2312" w:cstheme="minorBidi"/>
          <w:b w:val="0"/>
          <w:bCs w:val="0"/>
          <w:color w:val="auto"/>
          <w:kern w:val="2"/>
          <w:sz w:val="32"/>
          <w:szCs w:val="32"/>
          <w:highlight w:val="none"/>
          <w:lang w:val="en-US" w:eastAsia="zh-CN" w:bidi="ar-SA"/>
        </w:rPr>
      </w:pPr>
      <w:r>
        <w:rPr>
          <w:rFonts w:hint="eastAsia" w:ascii="仿宋_GB2312" w:hAnsi="黑体" w:eastAsia="仿宋_GB2312" w:cstheme="minorBidi"/>
          <w:b w:val="0"/>
          <w:bCs w:val="0"/>
          <w:color w:val="auto"/>
          <w:kern w:val="2"/>
          <w:sz w:val="32"/>
          <w:szCs w:val="32"/>
          <w:highlight w:val="none"/>
          <w:lang w:val="en-US" w:eastAsia="zh-CN" w:bidi="ar-SA"/>
        </w:rPr>
        <w:t>（4）对于“产出成本”：</w:t>
      </w:r>
    </w:p>
    <w:p>
      <w:pPr>
        <w:pStyle w:val="8"/>
        <w:pageBreakBefore w:val="0"/>
        <w:kinsoku/>
        <w:wordWrap/>
        <w:topLinePunct w:val="0"/>
        <w:autoSpaceDE/>
        <w:autoSpaceDN/>
        <w:bidi w:val="0"/>
        <w:spacing w:before="0" w:after="0" w:line="560" w:lineRule="exact"/>
        <w:ind w:firstLine="640"/>
        <w:jc w:val="both"/>
        <w:rPr>
          <w:rFonts w:hint="eastAsia" w:ascii="仿宋_GB2312" w:hAnsi="黑体" w:eastAsia="仿宋_GB2312" w:cstheme="minorBidi"/>
          <w:b w:val="0"/>
          <w:bCs w:val="0"/>
          <w:color w:val="auto"/>
          <w:kern w:val="2"/>
          <w:sz w:val="32"/>
          <w:szCs w:val="32"/>
          <w:highlight w:val="none"/>
          <w:lang w:val="en-US" w:eastAsia="zh-CN" w:bidi="ar-SA"/>
        </w:rPr>
      </w:pPr>
      <w:r>
        <w:rPr>
          <w:rFonts w:hint="eastAsia" w:ascii="仿宋_GB2312" w:hAnsi="黑体" w:eastAsia="仿宋_GB2312" w:cstheme="minorBidi"/>
          <w:b w:val="0"/>
          <w:bCs w:val="0"/>
          <w:color w:val="auto"/>
          <w:kern w:val="2"/>
          <w:sz w:val="32"/>
          <w:szCs w:val="32"/>
          <w:highlight w:val="none"/>
          <w:lang w:val="en-US" w:eastAsia="zh-CN" w:bidi="ar-SA"/>
        </w:rPr>
        <w:t>预期就业产业园每平方米建设成本0.36万元，实际就业产业园每平方米建设成本0.35万元。与预期目标指标不一致，指标标杆分值为10分，根据评分标准，该指标扣0.28分，得9.72分。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1.实施效益指标：</w:t>
      </w:r>
    </w:p>
    <w:p>
      <w:pPr>
        <w:pageBreakBefore w:val="0"/>
        <w:kinsoku/>
        <w:wordWrap/>
        <w:topLinePunct w:val="0"/>
        <w:autoSpaceDE/>
        <w:autoSpaceDN/>
        <w:bidi w:val="0"/>
        <w:spacing w:line="560" w:lineRule="exact"/>
        <w:ind w:firstLine="643"/>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带动巩固脱贫户和边缘易致贫户人150人，与预期指标一致，指标标杆分值为5分，根据评分标准，该指标不扣分，得5分。</w:t>
      </w:r>
    </w:p>
    <w:p>
      <w:pPr>
        <w:pageBreakBefore w:val="0"/>
        <w:kinsoku/>
        <w:wordWrap/>
        <w:topLinePunct w:val="0"/>
        <w:autoSpaceDE/>
        <w:autoSpaceDN/>
        <w:bidi w:val="0"/>
        <w:spacing w:line="560" w:lineRule="exact"/>
        <w:ind w:firstLine="640"/>
        <w:rPr>
          <w:rFonts w:hint="default" w:ascii="仿宋_GB2312" w:hAnsi="黑体" w:eastAsia="仿宋_GB2312" w:cstheme="minorBidi"/>
          <w:color w:val="auto"/>
          <w:kern w:val="2"/>
          <w:sz w:val="32"/>
          <w:szCs w:val="32"/>
          <w:highlight w:val="none"/>
          <w:lang w:val="en-US" w:eastAsia="zh-CN" w:bidi="ar-SA"/>
        </w:rPr>
      </w:pPr>
      <w:r>
        <w:rPr>
          <w:rFonts w:hint="default" w:ascii="仿宋_GB2312" w:hAnsi="黑体" w:eastAsia="仿宋_GB2312" w:cstheme="minorBidi"/>
          <w:color w:val="auto"/>
          <w:kern w:val="2"/>
          <w:sz w:val="32"/>
          <w:szCs w:val="32"/>
          <w:highlight w:val="none"/>
          <w:lang w:val="en-US" w:eastAsia="zh-CN" w:bidi="ar-SA"/>
        </w:rPr>
        <w:t>提高农户就业率</w:t>
      </w:r>
      <w:r>
        <w:rPr>
          <w:rFonts w:hint="eastAsia" w:ascii="仿宋_GB2312" w:hAnsi="黑体" w:eastAsia="仿宋_GB2312" w:cstheme="minorBidi"/>
          <w:color w:val="auto"/>
          <w:kern w:val="2"/>
          <w:sz w:val="32"/>
          <w:szCs w:val="32"/>
          <w:highlight w:val="none"/>
          <w:lang w:val="en-US" w:eastAsia="zh-CN" w:bidi="ar-SA"/>
        </w:rPr>
        <w:t>5%，与预期指标一致，指标标杆分值为5分，根据评分标准，该指标不扣分，得5分。</w:t>
      </w:r>
    </w:p>
    <w:p>
      <w:pPr>
        <w:pageBreakBefore w:val="0"/>
        <w:kinsoku/>
        <w:wordWrap/>
        <w:topLinePunct w:val="0"/>
        <w:autoSpaceDE/>
        <w:autoSpaceDN/>
        <w:bidi w:val="0"/>
        <w:spacing w:line="560" w:lineRule="exact"/>
        <w:ind w:left="0" w:leftChars="0" w:firstLine="640" w:firstLineChars="20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（2）对于“可持续影响指标”：</w:t>
      </w:r>
    </w:p>
    <w:p>
      <w:pPr>
        <w:pageBreakBefore w:val="0"/>
        <w:kinsoku/>
        <w:wordWrap/>
        <w:topLinePunct w:val="0"/>
        <w:autoSpaceDE/>
        <w:autoSpaceDN/>
        <w:bidi w:val="0"/>
        <w:spacing w:line="560" w:lineRule="exact"/>
        <w:ind w:firstLine="640"/>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就业基地以及附属设施配套使用年限25年，与预期指标一致，指标标杆分值为10分，根据评分标准，该指标不扣分，得10分。</w:t>
      </w:r>
    </w:p>
    <w:p>
      <w:pPr>
        <w:pageBreakBefore w:val="0"/>
        <w:numPr>
          <w:ilvl w:val="0"/>
          <w:numId w:val="0"/>
        </w:numPr>
        <w:kinsoku/>
        <w:wordWrap/>
        <w:topLinePunct w:val="0"/>
        <w:autoSpaceDE/>
        <w:autoSpaceDN/>
        <w:bidi w:val="0"/>
        <w:spacing w:line="560" w:lineRule="exact"/>
        <w:ind w:leftChars="20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（3）对于“经济效益指标”：</w:t>
      </w:r>
    </w:p>
    <w:p>
      <w:pPr>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带动增加受益脱贫户人口全年总收入60万元，与预期指标一致，指标标杆分值为10分，根据评分标准，该指标不扣分，得10分。</w:t>
      </w:r>
    </w:p>
    <w:p>
      <w:pPr>
        <w:pStyle w:val="2"/>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实施效益合计得30分。</w:t>
      </w:r>
    </w:p>
    <w:p>
      <w:pPr>
        <w:pageBreakBefore w:val="0"/>
        <w:kinsoku/>
        <w:wordWrap/>
        <w:overflowPunct w:val="0"/>
        <w:topLinePunct w:val="0"/>
        <w:autoSpaceDE/>
        <w:autoSpaceDN/>
        <w:bidi w:val="0"/>
        <w:spacing w:line="560" w:lineRule="exact"/>
        <w:ind w:firstLine="643"/>
        <w:contextualSpacing/>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2.满意度指标:</w:t>
      </w:r>
    </w:p>
    <w:p>
      <w:pPr>
        <w:pStyle w:val="8"/>
        <w:pageBreakBefore w:val="0"/>
        <w:widowControl w:val="0"/>
        <w:kinsoku/>
        <w:wordWrap/>
        <w:topLinePunct w:val="0"/>
        <w:autoSpaceDE/>
        <w:autoSpaceDN/>
        <w:bidi w:val="0"/>
        <w:spacing w:before="0" w:after="0" w:line="560" w:lineRule="exact"/>
        <w:jc w:val="both"/>
        <w:textAlignment w:val="auto"/>
        <w:rPr>
          <w:rFonts w:hint="eastAsia" w:ascii="仿宋_GB2312" w:hAnsi="黑体" w:eastAsia="仿宋_GB2312" w:cstheme="minorBidi"/>
          <w:b w:val="0"/>
          <w:bCs w:val="0"/>
          <w:color w:val="auto"/>
          <w:kern w:val="2"/>
          <w:sz w:val="32"/>
          <w:szCs w:val="32"/>
          <w:highlight w:val="none"/>
          <w:lang w:val="en-US" w:eastAsia="zh-CN" w:bidi="ar-SA"/>
        </w:rPr>
      </w:pPr>
      <w:r>
        <w:rPr>
          <w:rFonts w:hint="eastAsia" w:ascii="仿宋_GB2312" w:hAnsi="黑体" w:eastAsia="仿宋_GB2312" w:cstheme="minorBidi"/>
          <w:b w:val="0"/>
          <w:bCs w:val="0"/>
          <w:color w:val="auto"/>
          <w:kern w:val="2"/>
          <w:sz w:val="32"/>
          <w:szCs w:val="32"/>
          <w:highlight w:val="none"/>
          <w:lang w:val="en-US" w:eastAsia="zh-CN" w:bidi="ar-SA"/>
        </w:rPr>
        <w:t>受益巩固脱贫人员满意度95%，与预期目标指标一致，指标标杆分值为10分，根据评分标准，该指标不扣分，得10分。</w:t>
      </w:r>
    </w:p>
    <w:p>
      <w:pPr>
        <w:pStyle w:val="8"/>
        <w:pageBreakBefore w:val="0"/>
        <w:widowControl w:val="0"/>
        <w:kinsoku/>
        <w:wordWrap/>
        <w:topLinePunct w:val="0"/>
        <w:autoSpaceDE/>
        <w:autoSpaceDN/>
        <w:bidi w:val="0"/>
        <w:spacing w:before="0" w:after="0" w:line="560" w:lineRule="exact"/>
        <w:jc w:val="both"/>
        <w:textAlignment w:val="auto"/>
        <w:rPr>
          <w:rFonts w:hint="eastAsia" w:ascii="仿宋_GB2312" w:hAnsi="黑体" w:eastAsia="仿宋_GB2312" w:cstheme="minorBidi"/>
          <w:b w:val="0"/>
          <w:bCs w:val="0"/>
          <w:color w:val="auto"/>
          <w:kern w:val="2"/>
          <w:sz w:val="32"/>
          <w:szCs w:val="32"/>
          <w:highlight w:val="none"/>
          <w:lang w:val="en-US" w:eastAsia="zh-CN" w:bidi="ar-SA"/>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pStyle w:val="15"/>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叶城县金果镇产业就业基地建设项目项目预算2859万元，到位2859万元，实际支出2835.58万元，预算执行率为99.18%，项目绩效指标总体完成率为99.74%，无偏差。</w:t>
      </w:r>
    </w:p>
    <w:p>
      <w:pPr>
        <w:pStyle w:val="16"/>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五、综合评价结论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叶城县金果镇产业就业基地设项目</w:t>
      </w:r>
      <w:r>
        <w:rPr>
          <w:rFonts w:hint="default" w:ascii="仿宋_GB2312" w:hAnsi="黑体" w:eastAsia="仿宋_GB2312" w:cstheme="minorBidi"/>
          <w:color w:val="auto"/>
          <w:kern w:val="2"/>
          <w:sz w:val="32"/>
          <w:szCs w:val="32"/>
          <w:highlight w:val="none"/>
          <w:lang w:val="en-US" w:eastAsia="zh-CN" w:bidi="ar-SA"/>
        </w:rPr>
        <w:t>已完成</w:t>
      </w:r>
      <w:r>
        <w:rPr>
          <w:rFonts w:hint="eastAsia" w:ascii="仿宋_GB2312" w:hAnsi="黑体" w:eastAsia="仿宋_GB2312" w:cstheme="minorBidi"/>
          <w:color w:val="auto"/>
          <w:kern w:val="2"/>
          <w:sz w:val="32"/>
          <w:szCs w:val="32"/>
          <w:highlight w:val="none"/>
          <w:lang w:val="en-US" w:eastAsia="zh-CN" w:bidi="ar-SA"/>
        </w:rPr>
        <w:t>验收，合格率为100%，推动了经济发展，带动脱贫巩固户全年总收60万元，受益脱贫户150人，加快叶城县现代物流产业的进程，形成以叶城县为中心完整的农产品物流格局，带动经济发展。该项目最终评分99.68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（一）对衔接推进乡村振兴补助资金项目、绩效公告公示情况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（二）对绩效自评结果拟应用情况进行说明</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（三）对二级指标权重(分值)分配情况进行说明，赋权的方法或者原则</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pPr>
        <w:ind w:left="-1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59A592B"/>
    <w:rsid w:val="08EC01DC"/>
    <w:rsid w:val="12A245A9"/>
    <w:rsid w:val="14653122"/>
    <w:rsid w:val="187A025D"/>
    <w:rsid w:val="1937751C"/>
    <w:rsid w:val="1ABF7AF2"/>
    <w:rsid w:val="1AFF5D54"/>
    <w:rsid w:val="29EC0C5C"/>
    <w:rsid w:val="2B1E4C6A"/>
    <w:rsid w:val="2C932FD6"/>
    <w:rsid w:val="2D5F13D7"/>
    <w:rsid w:val="2E51749D"/>
    <w:rsid w:val="31AE0AA6"/>
    <w:rsid w:val="386D751C"/>
    <w:rsid w:val="3A667D78"/>
    <w:rsid w:val="41871287"/>
    <w:rsid w:val="42F07EAF"/>
    <w:rsid w:val="44BC3AD8"/>
    <w:rsid w:val="50E90F80"/>
    <w:rsid w:val="51FB483C"/>
    <w:rsid w:val="54307936"/>
    <w:rsid w:val="54575230"/>
    <w:rsid w:val="55204E82"/>
    <w:rsid w:val="651A36AB"/>
    <w:rsid w:val="6714756F"/>
    <w:rsid w:val="6E7C09C2"/>
    <w:rsid w:val="6EA62F3C"/>
    <w:rsid w:val="75FB0AD3"/>
    <w:rsid w:val="78C61C5F"/>
    <w:rsid w:val="7E984E50"/>
    <w:rsid w:val="EF3B5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Body Text"/>
    <w:basedOn w:val="1"/>
    <w:qFormat/>
    <w:uiPriority w:val="0"/>
    <w:pPr>
      <w:spacing w:before="240" w:after="240" w:line="360" w:lineRule="auto"/>
      <w:jc w:val="center"/>
    </w:pPr>
    <w:rPr>
      <w:b/>
      <w:sz w:val="44"/>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6">
    <w:name w:val="闻政-正文二级标题"/>
    <w:basedOn w:val="6"/>
    <w:next w:val="15"/>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4127</Words>
  <Characters>4405</Characters>
  <Lines>2</Lines>
  <Paragraphs>1</Paragraphs>
  <TotalTime>0</TotalTime>
  <ScaleCrop>false</ScaleCrop>
  <LinksUpToDate>false</LinksUpToDate>
  <CharactersWithSpaces>4463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2025-02-13T11:20:41Z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E0AA6F1DA27D418A83B98828D8928478</vt:lpwstr>
  </property>
</Properties>
</file>