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jc w:val="center"/>
        <w:textAlignment w:val="auto"/>
        <w:outlineLvl w:val="0"/>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val="en-US" w:eastAsia="zh-CN"/>
        </w:rPr>
        <w:t>叶城县金果镇鸽子养殖专业合作社项目</w:t>
      </w:r>
      <w:r>
        <w:rPr>
          <w:rFonts w:hint="eastAsia" w:ascii="黑体" w:hAnsi="黑体" w:eastAsia="黑体"/>
          <w:b/>
          <w:bCs/>
          <w:color w:val="auto"/>
          <w:sz w:val="36"/>
          <w:szCs w:val="36"/>
          <w:highlight w:val="none"/>
          <w:lang w:eastAsia="zh-CN"/>
        </w:rPr>
        <w:t>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7"/>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4"/>
        <w:pageBreakBefore w:val="0"/>
        <w:widowControl w:val="0"/>
        <w:kinsoku/>
        <w:overflowPunct/>
        <w:topLinePunct w:val="0"/>
        <w:autoSpaceDN/>
        <w:bidi w:val="0"/>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auto"/>
          <w:kern w:val="2"/>
          <w:sz w:val="32"/>
          <w:szCs w:val="32"/>
          <w:highlight w:val="none"/>
          <w:lang w:val="en-US" w:eastAsia="zh-CN" w:bidi="ar-SA"/>
        </w:rPr>
      </w:pP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项目名称：叶城县金果镇鸽子养殖专业合作社</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项目单位：叶城县金果镇人民政府</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主管部门：叶城县金果镇人民政府</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项目负责人：杨龙龙</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填报时间：2023年1月9日</w:t>
      </w:r>
    </w:p>
    <w:p>
      <w:pPr>
        <w:pStyle w:val="10"/>
        <w:ind w:firstLine="883"/>
        <w:rPr>
          <w:rFonts w:hint="eastAsia"/>
          <w:color w:val="auto"/>
          <w:highlight w:val="none"/>
        </w:rPr>
      </w:pPr>
    </w:p>
    <w:p>
      <w:pPr>
        <w:spacing w:line="480" w:lineRule="auto"/>
        <w:ind w:firstLine="1280" w:firstLineChars="400"/>
        <w:jc w:val="left"/>
        <w:rPr>
          <w:rFonts w:hint="eastAsia" w:ascii="仿宋_GB2312" w:hAnsi="黑体" w:eastAsia="仿宋_GB2312" w:cstheme="minorBidi"/>
          <w:color w:val="auto"/>
          <w:kern w:val="2"/>
          <w:sz w:val="32"/>
          <w:szCs w:val="32"/>
          <w:highlight w:val="none"/>
          <w:lang w:val="en-US" w:eastAsia="zh-CN" w:bidi="ar-SA"/>
        </w:rPr>
      </w:pPr>
    </w:p>
    <w:p>
      <w:pPr>
        <w:pStyle w:val="4"/>
        <w:rPr>
          <w:rFonts w:hint="eastAsia" w:ascii="仿宋_GB2312" w:hAnsi="黑体" w:eastAsia="仿宋_GB2312" w:cstheme="minorBidi"/>
          <w:color w:val="auto"/>
          <w:kern w:val="2"/>
          <w:sz w:val="32"/>
          <w:szCs w:val="32"/>
          <w:highlight w:val="none"/>
          <w:lang w:val="en-US" w:eastAsia="zh-CN" w:bidi="ar-SA"/>
        </w:rPr>
      </w:pPr>
    </w:p>
    <w:p>
      <w:pPr>
        <w:pStyle w:val="4"/>
        <w:rPr>
          <w:rFonts w:hint="eastAsia" w:ascii="仿宋_GB2312" w:hAnsi="黑体" w:eastAsia="仿宋_GB2312" w:cstheme="minorBidi"/>
          <w:color w:val="auto"/>
          <w:kern w:val="2"/>
          <w:sz w:val="32"/>
          <w:szCs w:val="32"/>
          <w:highlight w:val="none"/>
          <w:lang w:val="en-US" w:eastAsia="zh-CN" w:bidi="ar-SA"/>
        </w:rPr>
      </w:pPr>
    </w:p>
    <w:p>
      <w:pPr>
        <w:pStyle w:val="4"/>
        <w:ind w:left="0" w:leftChars="0" w:firstLine="0" w:firstLineChars="0"/>
        <w:rPr>
          <w:rFonts w:hint="eastAsia" w:ascii="仿宋_GB2312" w:hAnsi="黑体" w:eastAsia="仿宋_GB2312" w:cstheme="minorBidi"/>
          <w:color w:val="auto"/>
          <w:kern w:val="2"/>
          <w:sz w:val="32"/>
          <w:szCs w:val="32"/>
          <w:highlight w:val="none"/>
          <w:lang w:val="en-US" w:eastAsia="zh-CN" w:bidi="ar-SA"/>
        </w:rPr>
      </w:pPr>
    </w:p>
    <w:p>
      <w:pPr>
        <w:pageBreakBefore w:val="0"/>
        <w:widowControl w:val="0"/>
        <w:kinsoku/>
        <w:overflowPunct/>
        <w:topLinePunct w:val="0"/>
        <w:autoSpaceDN/>
        <w:bidi w:val="0"/>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叶城县金果镇人民政府2022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金绩效自评总结报告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金下达预算及项目情况。</w:t>
      </w:r>
    </w:p>
    <w:p>
      <w:pPr>
        <w:pStyle w:val="19"/>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根据《关于下达2022年自治区财政衔接推进乡村振兴补助资金预算的通知》（新财振〔2022〕18号），下达2022年自治区财政衔接推进乡村振兴补助资金，叶城县金果镇鸽子养殖专业合作社项目，项目总投资为</w:t>
      </w:r>
      <w:r>
        <w:rPr>
          <w:rFonts w:hint="eastAsia" w:eastAsia="方正仿宋_GBK" w:cs="方正仿宋_GBK"/>
          <w:color w:val="auto"/>
          <w:sz w:val="32"/>
          <w:szCs w:val="32"/>
          <w:highlight w:val="none"/>
          <w:lang w:val="en-US" w:eastAsia="zh-CN"/>
        </w:rPr>
        <w:t>194.31</w:t>
      </w:r>
      <w:r>
        <w:rPr>
          <w:rFonts w:hint="eastAsia" w:ascii="仿宋_GB2312" w:hAnsi="黑体" w:eastAsia="仿宋_GB2312" w:cstheme="minorBidi"/>
          <w:color w:val="auto"/>
          <w:kern w:val="2"/>
          <w:sz w:val="32"/>
          <w:szCs w:val="32"/>
          <w:highlight w:val="none"/>
          <w:lang w:val="en-US" w:eastAsia="zh-CN" w:bidi="ar-SA"/>
        </w:rPr>
        <w:t>万元，鸽子归本村农户所有，采用托养方式，有效带动当地农户畜禽养殖的积极性，该项目示范、辐射作用大，项目的实施可带动项目区及周边地区养殖业、种植业、运输业等的发展，促进农村剩余劳动力转移。</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金项目绩效目标设定情况。</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建设项目总投资1943114.28元，已完成拨付资金1943114.28元。该项目主要为金果镇新建鸽子养殖合作社，鸽子归本村农户所有，采用托养方式，有效带动当地农户畜禽养殖的积极性，该项目示范、辐射作用大，项目的实施可带动项目区及周边地区养殖业、种植业、运输业等的发展，促进农村剩余劳动力转移，该项目直接增加就业22人，估算间接带动运输、搬运、收购、屠宰等就业岗位20-70人，间接带动农户200户左右，促进当地农民增收。</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5633"/>
      <w:bookmarkStart w:id="3" w:name="_Toc2318"/>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430"/>
      <w:bookmarkStart w:id="5" w:name="_Toc16028"/>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spacing w:line="600" w:lineRule="exact"/>
        <w:ind w:firstLine="640" w:firstLineChars="20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叶城县鸽子养殖专业合作社项目根据新财扶[2021]39号喀地财扶[2021]9号文件共安排下达资金1943114.28元，为巩固拓展脱贫攻坚成果同乡村振兴衔接资金，最终确定项目资金总数为194.3万元。</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截至2022年12月31日，实际支出1943114.28元，预算执行率100%。</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color w:val="auto"/>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鸽子养殖专业合作社养殖乡镇数量3个，与预期目标一致，指标标杆分值为5.5分，根据评分标准，该指标不扣分。得5.5分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采购种鸽殖数量15000对，与预期目标一致，指标标杆分值为5.5分，根据评分标准，该指标不扣分。得5.5分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采购养殖鸽笼数量625组，与预期目标一致，指标标杆分值为5.5分，根据评分标准，该指标不扣分。得5.5分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合计得16.5分。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养殖动物存活率98%，与预期目标一致，指标标杆分值为5.5分,根据评分标准，该指标不扣分，得5.5分。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合计得5.5分。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项目开工时间2022年3月，与预期目标指标一致，指标标杆分值为5.5分,根据评分标准，该指标不扣分，得5.5分。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项目完工时间2022年9月，与预期目标指标一致，指标标杆分值为5.5分,根据评分标准，该指标不扣分，得5.5分。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项目完工及时率100%，与预期目标一致，指标标杆分值为5.5分，根据评分标准，该指标不扣分，得5.5分。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合计得16.5分。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购置养殖鸽笼成本150万元，项目经费都能控制绩效目标范围内，指标标杆分值为5分，根据评分标准，该指标不扣分，得5分。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购置种鸽成本44.31万元，项目经费都能控制绩效目标范围内，指标标杆分值为6分，根据评分标准，该指标不扣分，得6分。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合计得分11分。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受益脱贫户人口数200人，与预期指标一致，指标标杆分值为10分，根据评分标准，该指标不扣分，得10分。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带动增加受益脱贫户人口全年总收入6万元，与预期指标一致，指标标杆分值为10分，根据评分标准，该指标不扣分，得10分。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合计得分10分。</w:t>
      </w:r>
    </w:p>
    <w:p>
      <w:pPr>
        <w:pStyle w:val="4"/>
        <w:keepNext w:val="0"/>
        <w:keepLines w:val="0"/>
        <w:pageBreakBefore w:val="0"/>
        <w:widowControl w:val="0"/>
        <w:numPr>
          <w:ilvl w:val="0"/>
          <w:numId w:val="1"/>
        </w:numPr>
        <w:kinsoku/>
        <w:overflowPunct/>
        <w:topLinePunct w:val="0"/>
        <w:autoSpaceDN/>
        <w:bidi w:val="0"/>
        <w:adjustRightInd/>
        <w:snapToGrid/>
        <w:spacing w:line="560" w:lineRule="exact"/>
        <w:ind w:left="0" w:leftChars="0" w:firstLine="640" w:firstLineChars="20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种鸽持续增加收入年限3年，与预期指标一致，指标标杆分值为10分，根据评分标准，该指标不扣分，得10分。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对于“满意度指标”：受益乡镇养殖户满意度95%，与预期目标一致，根据评分标准，该指标不扣分,得10分。</w:t>
      </w:r>
    </w:p>
    <w:p>
      <w:pPr>
        <w:pStyle w:val="18"/>
        <w:ind w:left="0" w:leftChars="0" w:firstLine="640" w:firstLineChars="200"/>
        <w:rPr>
          <w:rFonts w:hint="default"/>
          <w:color w:val="auto"/>
          <w:highlight w:val="none"/>
          <w:lang w:val="en-US" w:eastAsia="zh-CN"/>
        </w:rPr>
      </w:pPr>
      <w:r>
        <w:rPr>
          <w:rFonts w:hint="eastAsia" w:ascii="仿宋_GB2312" w:hAnsi="黑体" w:cstheme="minorBidi"/>
          <w:color w:val="auto"/>
          <w:kern w:val="2"/>
          <w:sz w:val="32"/>
          <w:szCs w:val="32"/>
          <w:highlight w:val="none"/>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pStyle w:val="19"/>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叶城县鸽子养殖专业合作社项目预算194.31万元，到位194.31万元，实际支出194.31万元，预算执行率为100%，项目绩效指标总体完成率为100%，无偏差。</w:t>
      </w:r>
    </w:p>
    <w:p>
      <w:pPr>
        <w:pStyle w:val="20"/>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方正楷体_GBK" w:hAnsi="方正楷体_GBK" w:eastAsia="方正楷体_GBK" w:cs="方正楷体_GBK"/>
          <w:b/>
          <w:bCs/>
          <w:color w:val="auto"/>
          <w:sz w:val="32"/>
          <w:highlight w:val="none"/>
        </w:rPr>
      </w:pPr>
      <w:r>
        <w:rPr>
          <w:rFonts w:hint="eastAsia" w:eastAsia="方正仿宋_GBK" w:cs="方正仿宋_GBK"/>
          <w:b/>
          <w:bCs/>
          <w:color w:val="auto"/>
          <w:kern w:val="2"/>
          <w:sz w:val="32"/>
          <w:szCs w:val="32"/>
          <w:highlight w:val="none"/>
          <w:lang w:val="en-US" w:eastAsia="zh-CN" w:bidi="ar-SA"/>
        </w:rPr>
        <w:t>五、</w:t>
      </w:r>
      <w:r>
        <w:rPr>
          <w:rFonts w:hint="eastAsia" w:ascii="Times New Roman" w:hAnsi="Times New Roman" w:eastAsia="方正仿宋_GBK" w:cs="方正仿宋_GBK"/>
          <w:b/>
          <w:bCs/>
          <w:color w:val="auto"/>
          <w:kern w:val="2"/>
          <w:sz w:val="32"/>
          <w:szCs w:val="32"/>
          <w:highlight w:val="none"/>
          <w:lang w:val="en-US" w:eastAsia="zh-CN" w:bidi="ar-SA"/>
        </w:rPr>
        <w:t>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叶城县鸽子养殖专业合作社项目</w:t>
      </w:r>
      <w:r>
        <w:rPr>
          <w:rFonts w:hint="default" w:ascii="仿宋_GB2312" w:hAnsi="黑体" w:eastAsia="仿宋_GB2312" w:cstheme="minorBidi"/>
          <w:color w:val="auto"/>
          <w:kern w:val="2"/>
          <w:sz w:val="32"/>
          <w:szCs w:val="32"/>
          <w:highlight w:val="none"/>
          <w:lang w:val="en-US" w:eastAsia="zh-CN" w:bidi="ar-SA"/>
        </w:rPr>
        <w:t>已完成</w:t>
      </w:r>
      <w:r>
        <w:rPr>
          <w:rFonts w:hint="eastAsia" w:ascii="仿宋_GB2312" w:hAnsi="黑体" w:eastAsia="仿宋_GB2312" w:cstheme="minorBidi"/>
          <w:color w:val="auto"/>
          <w:kern w:val="2"/>
          <w:sz w:val="32"/>
          <w:szCs w:val="32"/>
          <w:highlight w:val="none"/>
          <w:lang w:val="en-US" w:eastAsia="zh-CN" w:bidi="ar-SA"/>
        </w:rPr>
        <w:t>购置10000对鸽子，采购鸽笼420组，鸽子归本村农户所有，采用托养方式，有效带动当地农户畜禽养殖的积极性。该项目最终评分100分，绩效评级为“优”。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lang w:val="en-US" w:eastAsia="zh-CN"/>
        </w:rPr>
        <w:t>六、</w:t>
      </w:r>
      <w:r>
        <w:rPr>
          <w:rFonts w:hint="eastAsia" w:ascii="仿宋_GB2312" w:hAnsi="黑体" w:eastAsia="仿宋_GB2312"/>
          <w:b/>
          <w:color w:val="auto"/>
          <w:sz w:val="32"/>
          <w:szCs w:val="32"/>
          <w:highlight w:val="none"/>
        </w:rPr>
        <w:t>绩效自评结果拟应用和公开情况</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861488"/>
    <w:rsid w:val="00F20A26"/>
    <w:rsid w:val="059A592B"/>
    <w:rsid w:val="08EC01DC"/>
    <w:rsid w:val="12A245A9"/>
    <w:rsid w:val="14653122"/>
    <w:rsid w:val="17F82735"/>
    <w:rsid w:val="187A025D"/>
    <w:rsid w:val="1937751C"/>
    <w:rsid w:val="19CC7701"/>
    <w:rsid w:val="1ABF7AF2"/>
    <w:rsid w:val="1B105EF8"/>
    <w:rsid w:val="1B4D6D35"/>
    <w:rsid w:val="20183F4F"/>
    <w:rsid w:val="20C02ABC"/>
    <w:rsid w:val="22084AEF"/>
    <w:rsid w:val="22E936F1"/>
    <w:rsid w:val="24A3706C"/>
    <w:rsid w:val="25EB7D6A"/>
    <w:rsid w:val="29EC0C5C"/>
    <w:rsid w:val="2B1E4C6A"/>
    <w:rsid w:val="2D5F13D7"/>
    <w:rsid w:val="2E51749D"/>
    <w:rsid w:val="31A02A0C"/>
    <w:rsid w:val="31AE0AA6"/>
    <w:rsid w:val="34D85CE0"/>
    <w:rsid w:val="386D751C"/>
    <w:rsid w:val="3A1E2D8A"/>
    <w:rsid w:val="3A667D78"/>
    <w:rsid w:val="3B6D0EF3"/>
    <w:rsid w:val="3EDE66B4"/>
    <w:rsid w:val="4040105E"/>
    <w:rsid w:val="41871287"/>
    <w:rsid w:val="432C4713"/>
    <w:rsid w:val="468C3FA5"/>
    <w:rsid w:val="4BA819CC"/>
    <w:rsid w:val="54575230"/>
    <w:rsid w:val="54C978C3"/>
    <w:rsid w:val="55DA66E7"/>
    <w:rsid w:val="5CEF0BA5"/>
    <w:rsid w:val="5EAD4FF8"/>
    <w:rsid w:val="614F4951"/>
    <w:rsid w:val="647906B5"/>
    <w:rsid w:val="651A36AB"/>
    <w:rsid w:val="6576729F"/>
    <w:rsid w:val="68665F57"/>
    <w:rsid w:val="6AC53C59"/>
    <w:rsid w:val="7132728B"/>
    <w:rsid w:val="761975A1"/>
    <w:rsid w:val="7B580975"/>
    <w:rsid w:val="7E984E50"/>
    <w:rsid w:val="7F132561"/>
    <w:rsid w:val="CFEFD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paragraph" w:styleId="8">
    <w:name w:val="heading 4"/>
    <w:basedOn w:val="1"/>
    <w:next w:val="1"/>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9">
    <w:name w:val="annotation text"/>
    <w:basedOn w:val="1"/>
    <w:unhideWhenUsed/>
    <w:qFormat/>
    <w:uiPriority w:val="99"/>
    <w:rPr>
      <w:rFonts w:cs="Times New Roman"/>
      <w:kern w:val="0"/>
      <w:sz w:val="20"/>
      <w:szCs w:val="20"/>
    </w:rPr>
  </w:style>
  <w:style w:type="paragraph" w:styleId="10">
    <w:name w:val="Body Text"/>
    <w:basedOn w:val="1"/>
    <w:qFormat/>
    <w:uiPriority w:val="0"/>
    <w:pPr>
      <w:spacing w:before="240" w:after="240" w:line="360" w:lineRule="auto"/>
      <w:jc w:val="center"/>
    </w:pPr>
    <w:rPr>
      <w:b/>
      <w:sz w:val="44"/>
    </w:rPr>
  </w:style>
  <w:style w:type="paragraph" w:styleId="11">
    <w:name w:val="Body Text Indent 2"/>
    <w:basedOn w:val="1"/>
    <w:qFormat/>
    <w:uiPriority w:val="0"/>
    <w:pPr>
      <w:ind w:firstLine="280"/>
    </w:pPr>
    <w:rPr>
      <w:rFonts w:ascii="仿宋_GB2312" w:hAnsi="仿宋_GB2312" w:eastAsia="仿宋_GB2312"/>
      <w:kern w:val="1"/>
      <w:sz w:val="28"/>
    </w:rPr>
  </w:style>
  <w:style w:type="paragraph" w:styleId="12">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3">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6">
    <w:name w:val="Strong"/>
    <w:basedOn w:val="15"/>
    <w:qFormat/>
    <w:uiPriority w:val="0"/>
    <w:rPr>
      <w:b/>
      <w:bCs/>
    </w:rPr>
  </w:style>
  <w:style w:type="paragraph" w:customStyle="1" w:styleId="17">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8">
    <w:name w:val="1 正文"/>
    <w:basedOn w:val="1"/>
    <w:qFormat/>
    <w:uiPriority w:val="0"/>
    <w:pPr>
      <w:ind w:firstLine="200"/>
    </w:pPr>
    <w:rPr>
      <w:rFonts w:eastAsia="仿宋_GB2312" w:cs="Times New Roman"/>
      <w:szCs w:val="28"/>
    </w:rPr>
  </w:style>
  <w:style w:type="paragraph" w:customStyle="1" w:styleId="19">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0">
    <w:name w:val="闻政-正文二级标题"/>
    <w:basedOn w:val="6"/>
    <w:next w:val="19"/>
    <w:qFormat/>
    <w:uiPriority w:val="3"/>
    <w:pPr>
      <w:spacing w:before="120" w:after="60" w:line="500" w:lineRule="exact"/>
      <w:ind w:left="200" w:leftChars="200" w:firstLine="0" w:firstLineChars="0"/>
    </w:pPr>
    <w:rPr>
      <w:rFonts w:ascii="Times New Roman" w:hAnsi="Times New Roman"/>
      <w:sz w:val="28"/>
    </w:rPr>
  </w:style>
  <w:style w:type="paragraph" w:customStyle="1" w:styleId="21">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3740</Words>
  <Characters>4038</Characters>
  <Lines>2</Lines>
  <Paragraphs>1</Paragraphs>
  <TotalTime>0</TotalTime>
  <ScaleCrop>false</ScaleCrop>
  <LinksUpToDate>false</LinksUpToDate>
  <CharactersWithSpaces>4084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2025-02-13T11:20:06Z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0CD24416C0914FB99231616BA908BFFD</vt:lpwstr>
  </property>
</Properties>
</file>