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widowControl w:val="0"/>
        <w:tabs>
          <w:tab w:val="left" w:pos="1680"/>
        </w:tabs>
        <w:kinsoku/>
        <w:wordWrap/>
        <w:overflowPunct/>
        <w:topLinePunct w:val="0"/>
        <w:autoSpaceDE/>
        <w:autoSpaceDN/>
        <w:bidi w:val="0"/>
        <w:spacing w:before="120" w:after="120" w:line="560" w:lineRule="exact"/>
        <w:ind w:firstLine="643"/>
        <w:jc w:val="center"/>
        <w:textAlignment w:val="auto"/>
        <w:outlineLvl w:val="0"/>
        <w:rPr>
          <w:rFonts w:hint="eastAsia" w:ascii="方正小标宋_GBK" w:hAnsi="方正小标宋_GBK" w:eastAsia="方正小标宋_GBK" w:cs="方正小标宋_GBK"/>
          <w:b/>
          <w:bCs/>
          <w:color w:val="000000"/>
          <w:sz w:val="44"/>
          <w:szCs w:val="44"/>
          <w:lang w:eastAsia="zh-CN"/>
        </w:rPr>
      </w:pPr>
      <w:r>
        <w:rPr>
          <w:rFonts w:hint="eastAsia" w:ascii="方正小标宋_GBK" w:hAnsi="方正小标宋_GBK" w:eastAsia="方正小标宋_GBK" w:cs="方正小标宋_GBK"/>
          <w:b/>
          <w:bCs/>
          <w:color w:val="000000"/>
          <w:sz w:val="44"/>
          <w:szCs w:val="44"/>
          <w:lang w:eastAsia="zh-CN"/>
        </w:rPr>
        <w:t>叶城县伯西热克乡6村和8村防渗渠建设项目支出自评总结报告</w:t>
      </w:r>
    </w:p>
    <w:p>
      <w:pPr>
        <w:pageBreakBefore w:val="0"/>
        <w:widowControl w:val="0"/>
        <w:kinsoku/>
        <w:wordWrap/>
        <w:overflowPunct/>
        <w:topLinePunct w:val="0"/>
        <w:autoSpaceDE/>
        <w:autoSpaceDN/>
        <w:bidi w:val="0"/>
        <w:spacing w:line="560" w:lineRule="exact"/>
        <w:ind w:firstLine="0" w:firstLineChars="0"/>
        <w:jc w:val="center"/>
        <w:textAlignment w:val="auto"/>
        <w:rPr>
          <w:rFonts w:hint="eastAsia" w:ascii="Times New Roman" w:hAnsi="Times New Roman" w:eastAsia="方正仿宋_GBK" w:cs="方正仿宋_GBK"/>
          <w:b/>
          <w:color w:val="auto"/>
          <w:kern w:val="0"/>
          <w:sz w:val="32"/>
          <w:szCs w:val="32"/>
          <w:highlight w:val="none"/>
          <w:lang w:bidi="en-US"/>
        </w:rPr>
      </w:pPr>
    </w:p>
    <w:p>
      <w:pPr>
        <w:pStyle w:val="2"/>
        <w:pageBreakBefore w:val="0"/>
        <w:widowControl w:val="0"/>
        <w:kinsoku/>
        <w:wordWrap/>
        <w:overflowPunct/>
        <w:topLinePunct w:val="0"/>
        <w:autoSpaceDE/>
        <w:autoSpaceDN/>
        <w:bidi w:val="0"/>
        <w:spacing w:line="560" w:lineRule="exact"/>
        <w:textAlignment w:val="auto"/>
        <w:rPr>
          <w:rFonts w:hint="eastAsia" w:ascii="Times New Roman" w:hAnsi="Times New Roman" w:eastAsia="方正仿宋_GBK" w:cs="方正仿宋_GBK"/>
          <w:b/>
          <w:color w:val="auto"/>
          <w:kern w:val="0"/>
          <w:sz w:val="32"/>
          <w:szCs w:val="32"/>
          <w:highlight w:val="none"/>
          <w:lang w:bidi="en-US"/>
        </w:rPr>
      </w:pPr>
    </w:p>
    <w:p>
      <w:pPr>
        <w:pageBreakBefore w:val="0"/>
        <w:widowControl w:val="0"/>
        <w:kinsoku/>
        <w:overflowPunct/>
        <w:topLinePunct w:val="0"/>
        <w:autoSpaceDN/>
        <w:bidi w:val="0"/>
        <w:spacing w:line="560" w:lineRule="exact"/>
        <w:textAlignment w:val="auto"/>
        <w:rPr>
          <w:rFonts w:hint="eastAsia"/>
          <w:color w:val="auto"/>
          <w:highlight w:val="none"/>
        </w:rPr>
      </w:pPr>
    </w:p>
    <w:p>
      <w:pPr>
        <w:pStyle w:val="4"/>
        <w:pageBreakBefore w:val="0"/>
        <w:widowControl w:val="0"/>
        <w:kinsoku/>
        <w:overflowPunct/>
        <w:topLinePunct w:val="0"/>
        <w:autoSpaceDN/>
        <w:bidi w:val="0"/>
        <w:spacing w:line="560" w:lineRule="exact"/>
        <w:textAlignment w:val="auto"/>
        <w:rPr>
          <w:rFonts w:hint="eastAsia" w:eastAsiaTheme="minorEastAsia"/>
          <w:lang w:eastAsia="zh-CN"/>
        </w:rPr>
      </w:pPr>
    </w:p>
    <w:p>
      <w:pPr>
        <w:pStyle w:val="4"/>
        <w:pageBreakBefore w:val="0"/>
        <w:widowControl w:val="0"/>
        <w:kinsoku/>
        <w:overflowPunct/>
        <w:topLinePunct w:val="0"/>
        <w:autoSpaceDN/>
        <w:bidi w:val="0"/>
        <w:spacing w:line="560" w:lineRule="exact"/>
        <w:textAlignment w:val="auto"/>
        <w:rPr>
          <w:rFonts w:hint="eastAsia" w:eastAsiaTheme="minorEastAsia"/>
          <w:lang w:eastAsia="zh-CN"/>
        </w:rPr>
      </w:pPr>
    </w:p>
    <w:p>
      <w:pPr>
        <w:pStyle w:val="4"/>
        <w:pageBreakBefore w:val="0"/>
        <w:widowControl w:val="0"/>
        <w:kinsoku/>
        <w:overflowPunct/>
        <w:topLinePunct w:val="0"/>
        <w:autoSpaceDN/>
        <w:bidi w:val="0"/>
        <w:spacing w:line="560" w:lineRule="exact"/>
        <w:textAlignment w:val="auto"/>
        <w:rPr>
          <w:rFonts w:hint="eastAsia" w:eastAsiaTheme="minorEastAsia"/>
          <w:lang w:eastAsia="zh-CN"/>
        </w:rPr>
      </w:pPr>
    </w:p>
    <w:p>
      <w:pPr>
        <w:pageBreakBefore w:val="0"/>
        <w:widowControl w:val="0"/>
        <w:kinsoku/>
        <w:wordWrap/>
        <w:overflowPunct/>
        <w:topLinePunct w:val="0"/>
        <w:autoSpaceDE/>
        <w:autoSpaceDN/>
        <w:bidi w:val="0"/>
        <w:spacing w:line="560" w:lineRule="exact"/>
        <w:textAlignment w:val="auto"/>
        <w:rPr>
          <w:rFonts w:hint="eastAsia"/>
          <w:color w:val="auto"/>
          <w:highlight w:val="none"/>
        </w:rPr>
      </w:pPr>
    </w:p>
    <w:p>
      <w:pPr>
        <w:pageBreakBefore w:val="0"/>
        <w:widowControl w:val="0"/>
        <w:kinsoku/>
        <w:wordWrap/>
        <w:overflowPunct/>
        <w:topLinePunct w:val="0"/>
        <w:autoSpaceDE/>
        <w:autoSpaceDN/>
        <w:bidi w:val="0"/>
        <w:spacing w:line="560" w:lineRule="exact"/>
        <w:ind w:firstLine="0" w:firstLineChars="0"/>
        <w:jc w:val="both"/>
        <w:textAlignment w:val="auto"/>
        <w:rPr>
          <w:rFonts w:hint="eastAsia" w:ascii="Times New Roman" w:hAnsi="Times New Roman" w:eastAsia="方正仿宋_GBK" w:cs="方正仿宋_GBK"/>
          <w:color w:val="auto"/>
          <w:kern w:val="0"/>
          <w:sz w:val="32"/>
          <w:szCs w:val="32"/>
          <w:highlight w:val="none"/>
          <w:lang w:bidi="en-US"/>
        </w:rPr>
      </w:pPr>
    </w:p>
    <w:p>
      <w:pPr>
        <w:keepNext w:val="0"/>
        <w:keepLines w:val="0"/>
        <w:pageBreakBefore w:val="0"/>
        <w:widowControl w:val="0"/>
        <w:numPr>
          <w:ilvl w:val="0"/>
          <w:numId w:val="0"/>
        </w:numPr>
        <w:kinsoku/>
        <w:overflowPunct/>
        <w:topLinePunct w:val="0"/>
        <w:autoSpaceDN/>
        <w:bidi w:val="0"/>
        <w:adjustRightInd/>
        <w:snapToGrid/>
        <w:spacing w:line="560" w:lineRule="exact"/>
        <w:jc w:val="left"/>
        <w:textAlignment w:val="auto"/>
        <w:rPr>
          <w:rFonts w:hint="eastAsia" w:ascii="仿宋_GB2312" w:hAnsi="黑体" w:eastAsia="仿宋_GB2312" w:cstheme="minorBidi"/>
          <w:color w:val="000000"/>
          <w:kern w:val="2"/>
          <w:sz w:val="32"/>
          <w:szCs w:val="32"/>
          <w:lang w:val="en-US" w:eastAsia="zh-CN" w:bidi="ar-SA"/>
        </w:rPr>
      </w:pPr>
    </w:p>
    <w:p>
      <w:pPr>
        <w:spacing w:line="700" w:lineRule="exact"/>
        <w:jc w:val="left"/>
        <w:rPr>
          <w:rFonts w:hint="eastAsia" w:ascii="方正小标宋_GBK" w:hAnsi="方正小标宋_GBK" w:eastAsia="方正小标宋_GBK" w:cs="方正小标宋_GBK"/>
          <w:color w:val="000000"/>
          <w:kern w:val="2"/>
          <w:sz w:val="32"/>
          <w:szCs w:val="32"/>
          <w:lang w:val="en-US" w:eastAsia="zh-CN" w:bidi="ar-SA"/>
        </w:rPr>
      </w:pPr>
      <w:r>
        <w:rPr>
          <w:rFonts w:hint="eastAsia" w:ascii="仿宋_GB2312" w:hAnsi="黑体" w:eastAsia="仿宋_GB2312" w:cstheme="minorBidi"/>
          <w:color w:val="000000"/>
          <w:kern w:val="2"/>
          <w:sz w:val="32"/>
          <w:szCs w:val="32"/>
          <w:lang w:val="en-US" w:eastAsia="zh-CN" w:bidi="ar-SA"/>
        </w:rPr>
        <w:t xml:space="preserve">    </w:t>
      </w:r>
      <w:r>
        <w:rPr>
          <w:rFonts w:hint="eastAsia" w:ascii="方正小标宋_GBK" w:hAnsi="方正小标宋_GBK" w:eastAsia="方正小标宋_GBK" w:cs="方正小标宋_GBK"/>
          <w:color w:val="000000"/>
          <w:kern w:val="2"/>
          <w:sz w:val="32"/>
          <w:szCs w:val="32"/>
          <w:lang w:val="en-US" w:eastAsia="zh-CN" w:bidi="ar-SA"/>
        </w:rPr>
        <w:t>项目名称：叶城县伯西热克乡6村和8村防渗渠建设项目</w:t>
      </w:r>
    </w:p>
    <w:p>
      <w:pPr>
        <w:spacing w:line="700" w:lineRule="exact"/>
        <w:jc w:val="left"/>
        <w:rPr>
          <w:rFonts w:hint="eastAsia" w:ascii="方正小标宋_GBK" w:hAnsi="方正小标宋_GBK" w:eastAsia="方正小标宋_GBK" w:cs="方正小标宋_GBK"/>
          <w:color w:val="000000"/>
          <w:kern w:val="2"/>
          <w:sz w:val="32"/>
          <w:szCs w:val="32"/>
          <w:lang w:val="en-US" w:eastAsia="zh-CN" w:bidi="ar-SA"/>
        </w:rPr>
      </w:pPr>
      <w:r>
        <w:rPr>
          <w:rFonts w:hint="eastAsia" w:ascii="方正小标宋_GBK" w:hAnsi="方正小标宋_GBK" w:eastAsia="方正小标宋_GBK" w:cs="方正小标宋_GBK"/>
          <w:color w:val="000000"/>
          <w:kern w:val="2"/>
          <w:sz w:val="32"/>
          <w:szCs w:val="32"/>
          <w:lang w:val="en-US" w:eastAsia="zh-CN" w:bidi="ar-SA"/>
        </w:rPr>
        <w:t xml:space="preserve">    实施单位：叶城县伯西热克乡人民政府</w:t>
      </w:r>
    </w:p>
    <w:p>
      <w:pPr>
        <w:spacing w:line="700" w:lineRule="exact"/>
        <w:ind w:firstLine="640" w:firstLineChars="200"/>
        <w:jc w:val="left"/>
        <w:rPr>
          <w:rFonts w:hint="eastAsia" w:ascii="方正小标宋_GBK" w:hAnsi="方正小标宋_GBK" w:eastAsia="方正小标宋_GBK" w:cs="方正小标宋_GBK"/>
          <w:color w:val="000000"/>
          <w:kern w:val="2"/>
          <w:sz w:val="32"/>
          <w:szCs w:val="32"/>
          <w:lang w:val="en-US" w:eastAsia="zh-CN" w:bidi="ar-SA"/>
        </w:rPr>
      </w:pPr>
      <w:r>
        <w:rPr>
          <w:rFonts w:hint="eastAsia" w:ascii="方正小标宋_GBK" w:hAnsi="方正小标宋_GBK" w:eastAsia="方正小标宋_GBK" w:cs="方正小标宋_GBK"/>
          <w:color w:val="000000"/>
          <w:kern w:val="2"/>
          <w:sz w:val="32"/>
          <w:szCs w:val="32"/>
          <w:lang w:val="en-US" w:eastAsia="zh-CN" w:bidi="ar-SA"/>
        </w:rPr>
        <w:t>主管部门：叶城县农业农村局</w:t>
      </w:r>
    </w:p>
    <w:p>
      <w:pPr>
        <w:spacing w:line="700" w:lineRule="exact"/>
        <w:ind w:firstLine="640" w:firstLineChars="200"/>
        <w:jc w:val="left"/>
        <w:rPr>
          <w:rFonts w:hint="eastAsia" w:ascii="方正小标宋_GBK" w:hAnsi="方正小标宋_GBK" w:eastAsia="方正小标宋_GBK" w:cs="方正小标宋_GBK"/>
          <w:color w:val="000000"/>
          <w:kern w:val="2"/>
          <w:sz w:val="32"/>
          <w:szCs w:val="32"/>
          <w:lang w:val="en-US" w:eastAsia="zh-CN" w:bidi="ar-SA"/>
        </w:rPr>
      </w:pPr>
      <w:r>
        <w:rPr>
          <w:rFonts w:hint="eastAsia" w:ascii="方正小标宋_GBK" w:hAnsi="方正小标宋_GBK" w:eastAsia="方正小标宋_GBK" w:cs="方正小标宋_GBK"/>
          <w:color w:val="000000"/>
          <w:kern w:val="2"/>
          <w:sz w:val="32"/>
          <w:szCs w:val="32"/>
          <w:lang w:val="en-US" w:eastAsia="zh-CN" w:bidi="ar-SA"/>
        </w:rPr>
        <w:t>项目负责人：文雄</w:t>
      </w:r>
    </w:p>
    <w:p>
      <w:pPr>
        <w:spacing w:line="700" w:lineRule="exact"/>
        <w:ind w:firstLine="640" w:firstLineChars="200"/>
        <w:jc w:val="left"/>
        <w:rPr>
          <w:rFonts w:hint="eastAsia" w:ascii="方正小标宋_GBK" w:hAnsi="方正小标宋_GBK" w:eastAsia="方正小标宋_GBK" w:cs="方正小标宋_GBK"/>
          <w:color w:val="000000"/>
          <w:kern w:val="2"/>
          <w:sz w:val="32"/>
          <w:szCs w:val="32"/>
          <w:lang w:val="en-US" w:eastAsia="zh-CN" w:bidi="ar-SA"/>
        </w:rPr>
      </w:pPr>
      <w:r>
        <w:rPr>
          <w:rFonts w:hint="eastAsia" w:ascii="方正小标宋_GBK" w:hAnsi="方正小标宋_GBK" w:eastAsia="方正小标宋_GBK" w:cs="方正小标宋_GBK"/>
          <w:color w:val="000000"/>
          <w:kern w:val="2"/>
          <w:sz w:val="32"/>
          <w:szCs w:val="32"/>
          <w:lang w:val="en-US" w:eastAsia="zh-CN" w:bidi="ar-SA"/>
        </w:rPr>
        <w:t>填报时间： 2024年1月</w:t>
      </w:r>
    </w:p>
    <w:p>
      <w:pPr>
        <w:spacing w:line="560" w:lineRule="exact"/>
        <w:ind w:firstLine="1200" w:firstLineChars="400"/>
        <w:jc w:val="left"/>
        <w:rPr>
          <w:rFonts w:hint="eastAsia" w:ascii="Times New Roman" w:hAnsi="Times New Roman" w:eastAsia="方正仿宋_GBK" w:cs="方正仿宋_GBK"/>
          <w:color w:val="auto"/>
          <w:kern w:val="0"/>
          <w:sz w:val="30"/>
          <w:szCs w:val="30"/>
          <w:lang w:bidi="en-US"/>
        </w:rPr>
      </w:pPr>
    </w:p>
    <w:p>
      <w:pPr>
        <w:pStyle w:val="8"/>
        <w:pageBreakBefore w:val="0"/>
        <w:widowControl w:val="0"/>
        <w:kinsoku/>
        <w:wordWrap/>
        <w:overflowPunct/>
        <w:topLinePunct w:val="0"/>
        <w:autoSpaceDE/>
        <w:autoSpaceDN/>
        <w:bidi w:val="0"/>
        <w:spacing w:line="560" w:lineRule="exact"/>
        <w:textAlignment w:val="auto"/>
        <w:rPr>
          <w:rFonts w:hint="eastAsia" w:ascii="Times New Roman" w:hAnsi="Times New Roman" w:eastAsia="方正仿宋_GBK" w:cs="方正仿宋_GBK"/>
          <w:lang w:eastAsia="zh-CN"/>
        </w:rPr>
      </w:pPr>
    </w:p>
    <w:p>
      <w:pPr>
        <w:pageBreakBefore w:val="0"/>
        <w:widowControl w:val="0"/>
        <w:kinsoku/>
        <w:overflowPunct/>
        <w:topLinePunct w:val="0"/>
        <w:autoSpaceDN/>
        <w:bidi w:val="0"/>
        <w:spacing w:line="560" w:lineRule="exact"/>
        <w:jc w:val="both"/>
        <w:textAlignment w:val="auto"/>
        <w:rPr>
          <w:rFonts w:hint="eastAsia" w:ascii="黑体" w:hAnsi="黑体" w:eastAsia="黑体"/>
          <w:b/>
          <w:bCs/>
          <w:color w:val="000000"/>
          <w:sz w:val="32"/>
          <w:szCs w:val="32"/>
          <w:lang w:eastAsia="zh-CN"/>
        </w:rPr>
      </w:pPr>
    </w:p>
    <w:p>
      <w:pPr>
        <w:pageBreakBefore w:val="0"/>
        <w:widowControl w:val="0"/>
        <w:kinsoku/>
        <w:overflowPunct/>
        <w:topLinePunct w:val="0"/>
        <w:autoSpaceDN/>
        <w:bidi w:val="0"/>
        <w:spacing w:line="560" w:lineRule="exact"/>
        <w:jc w:val="center"/>
        <w:textAlignment w:val="auto"/>
        <w:rPr>
          <w:rFonts w:hint="eastAsia" w:ascii="方正小标宋_GBK" w:hAnsi="方正小标宋_GBK" w:eastAsia="方正小标宋_GBK" w:cs="方正小标宋_GBK"/>
          <w:b/>
          <w:bCs/>
          <w:color w:val="000000"/>
          <w:sz w:val="44"/>
          <w:szCs w:val="44"/>
        </w:rPr>
      </w:pPr>
      <w:r>
        <w:rPr>
          <w:rFonts w:hint="eastAsia" w:ascii="方正小标宋_GBK" w:hAnsi="方正小标宋_GBK" w:eastAsia="方正小标宋_GBK" w:cs="方正小标宋_GBK"/>
          <w:b/>
          <w:bCs/>
          <w:color w:val="000000"/>
          <w:sz w:val="44"/>
          <w:szCs w:val="44"/>
          <w:lang w:eastAsia="zh-CN"/>
        </w:rPr>
        <w:t>叶城县伯西热克乡6村和8村防渗渠建设项目</w:t>
      </w:r>
      <w:r>
        <w:rPr>
          <w:rFonts w:hint="eastAsia" w:ascii="方正小标宋_GBK" w:hAnsi="方正小标宋_GBK" w:eastAsia="方正小标宋_GBK" w:cs="方正小标宋_GBK"/>
          <w:b/>
          <w:bCs/>
          <w:color w:val="000000"/>
          <w:sz w:val="44"/>
          <w:szCs w:val="44"/>
        </w:rPr>
        <w:t>绩效自评总结报告</w:t>
      </w:r>
    </w:p>
    <w:p>
      <w:pPr>
        <w:keepNext w:val="0"/>
        <w:keepLines w:val="0"/>
        <w:pageBreakBefore w:val="0"/>
        <w:widowControl w:val="0"/>
        <w:kinsoku/>
        <w:overflowPunct/>
        <w:topLinePunct w:val="0"/>
        <w:autoSpaceDN/>
        <w:bidi w:val="0"/>
        <w:adjustRightInd/>
        <w:snapToGrid/>
        <w:spacing w:line="560" w:lineRule="exact"/>
        <w:ind w:firstLine="640" w:firstLineChars="200"/>
        <w:jc w:val="left"/>
        <w:textAlignment w:val="auto"/>
        <w:rPr>
          <w:rFonts w:hint="eastAsia" w:ascii="方正黑体_GBK" w:hAnsi="方正黑体_GBK" w:eastAsia="方正黑体_GBK" w:cs="方正黑体_GBK"/>
          <w:b/>
          <w:color w:val="000000"/>
          <w:sz w:val="32"/>
          <w:szCs w:val="32"/>
        </w:rPr>
      </w:pPr>
      <w:r>
        <w:rPr>
          <w:rFonts w:hint="eastAsia" w:ascii="方正黑体_GBK" w:hAnsi="方正黑体_GBK" w:eastAsia="方正黑体_GBK" w:cs="方正黑体_GBK"/>
          <w:b/>
          <w:color w:val="000000"/>
          <w:sz w:val="32"/>
          <w:szCs w:val="32"/>
        </w:rPr>
        <w:t>一、绩效目标分解下达情况</w:t>
      </w:r>
    </w:p>
    <w:p>
      <w:pPr>
        <w:keepNext w:val="0"/>
        <w:keepLines w:val="0"/>
        <w:pageBreakBefore w:val="0"/>
        <w:widowControl w:val="0"/>
        <w:kinsoku/>
        <w:overflowPunct/>
        <w:topLinePunct w:val="0"/>
        <w:autoSpaceDN/>
        <w:bidi w:val="0"/>
        <w:adjustRightInd/>
        <w:snapToGrid/>
        <w:spacing w:line="560" w:lineRule="exact"/>
        <w:ind w:firstLine="640" w:firstLineChars="200"/>
        <w:jc w:val="left"/>
        <w:textAlignment w:val="auto"/>
        <w:rPr>
          <w:rFonts w:hint="eastAsia" w:ascii="方正楷体_GBK" w:hAnsi="方正楷体_GBK" w:eastAsia="方正楷体_GBK" w:cs="方正楷体_GBK"/>
          <w:b/>
          <w:bCs/>
          <w:color w:val="000000"/>
          <w:sz w:val="32"/>
          <w:szCs w:val="32"/>
        </w:rPr>
      </w:pPr>
      <w:r>
        <w:rPr>
          <w:rFonts w:hint="eastAsia" w:ascii="方正楷体_GBK" w:hAnsi="方正楷体_GBK" w:eastAsia="方正楷体_GBK" w:cs="方正楷体_GBK"/>
          <w:b/>
          <w:bCs/>
          <w:color w:val="000000"/>
          <w:sz w:val="32"/>
          <w:szCs w:val="32"/>
        </w:rPr>
        <w:t>1.</w:t>
      </w:r>
      <w:r>
        <w:rPr>
          <w:rFonts w:hint="eastAsia" w:ascii="方正楷体_GBK" w:hAnsi="方正楷体_GBK" w:eastAsia="方正楷体_GBK" w:cs="方正楷体_GBK"/>
          <w:b/>
          <w:bCs/>
          <w:color w:val="000000"/>
          <w:sz w:val="32"/>
          <w:szCs w:val="32"/>
          <w:lang w:eastAsia="zh-CN"/>
        </w:rPr>
        <w:t>财政衔接推进乡村振兴补助资金</w:t>
      </w:r>
      <w:r>
        <w:rPr>
          <w:rFonts w:hint="eastAsia" w:ascii="方正楷体_GBK" w:hAnsi="方正楷体_GBK" w:eastAsia="方正楷体_GBK" w:cs="方正楷体_GBK"/>
          <w:b/>
          <w:bCs/>
          <w:color w:val="000000"/>
          <w:sz w:val="32"/>
          <w:szCs w:val="32"/>
        </w:rPr>
        <w:t>下达预算及项目情况。</w:t>
      </w:r>
    </w:p>
    <w:p>
      <w:pPr>
        <w:keepNext w:val="0"/>
        <w:keepLines w:val="0"/>
        <w:pageBreakBefore w:val="0"/>
        <w:widowControl w:val="0"/>
        <w:numPr>
          <w:ilvl w:val="0"/>
          <w:numId w:val="0"/>
        </w:numPr>
        <w:kinsoku/>
        <w:overflowPunct/>
        <w:topLinePunct w:val="0"/>
        <w:autoSpaceDN/>
        <w:bidi w:val="0"/>
        <w:adjustRightInd/>
        <w:snapToGrid/>
        <w:spacing w:line="560" w:lineRule="exact"/>
        <w:ind w:firstLine="640" w:firstLineChars="200"/>
        <w:jc w:val="left"/>
        <w:textAlignment w:val="auto"/>
        <w:rPr>
          <w:rFonts w:hint="eastAsia" w:ascii="方正仿宋_GBK" w:hAnsi="方正仿宋_GBK" w:eastAsia="方正仿宋_GBK" w:cs="方正仿宋_GBK"/>
          <w:b/>
          <w:bCs/>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t>根据《关于下达2023年乡村振兴衔接资金预算的通知》（</w:t>
      </w:r>
      <w:r>
        <w:rPr>
          <w:rFonts w:hint="eastAsia" w:ascii="方正仿宋_GBK" w:hAnsi="方正仿宋_GBK" w:eastAsia="方正仿宋_GBK" w:cs="方正仿宋_GBK"/>
          <w:color w:val="000000"/>
          <w:kern w:val="2"/>
          <w:sz w:val="32"/>
          <w:szCs w:val="32"/>
          <w:lang w:val="en-US" w:eastAsia="zh-CN" w:bidi="ar-SA"/>
        </w:rPr>
        <w:t>喀地财振〔2022〕4号</w:t>
      </w:r>
      <w:r>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t>），下达2023年乡村振兴衔接资金，叶城县伯西热克乡6村和8村防渗渠建设项目，项目总投资为911.74万元，该项目实施中预计可带动当地脱贫人口就近就地就业5人，按照施工期八个月计算，每人每天工资120-150元，预计可通过发放工资增加农民收入14余万元。带动当地特色产业的发展，活跃当地的经济市场，促进资源的合理利用，带动当地就业市场的发展。</w:t>
      </w:r>
    </w:p>
    <w:p>
      <w:pPr>
        <w:keepNext w:val="0"/>
        <w:keepLines w:val="0"/>
        <w:pageBreakBefore w:val="0"/>
        <w:widowControl w:val="0"/>
        <w:numPr>
          <w:ilvl w:val="0"/>
          <w:numId w:val="0"/>
        </w:numPr>
        <w:kinsoku/>
        <w:overflowPunct/>
        <w:topLinePunct w:val="0"/>
        <w:autoSpaceDN/>
        <w:bidi w:val="0"/>
        <w:adjustRightInd/>
        <w:snapToGrid/>
        <w:spacing w:line="560" w:lineRule="exact"/>
        <w:ind w:firstLine="640" w:firstLineChars="200"/>
        <w:jc w:val="left"/>
        <w:textAlignment w:val="auto"/>
        <w:rPr>
          <w:rFonts w:hint="eastAsia" w:ascii="方正楷体_GBK" w:hAnsi="方正楷体_GBK" w:eastAsia="方正楷体_GBK" w:cs="方正楷体_GBK"/>
          <w:b/>
          <w:bCs/>
          <w:color w:val="000000"/>
          <w:sz w:val="32"/>
          <w:szCs w:val="32"/>
        </w:rPr>
      </w:pPr>
      <w:r>
        <w:rPr>
          <w:rFonts w:hint="eastAsia" w:ascii="方正楷体_GBK" w:hAnsi="方正楷体_GBK" w:eastAsia="方正楷体_GBK" w:cs="方正楷体_GBK"/>
          <w:b/>
          <w:bCs/>
          <w:color w:val="000000"/>
          <w:sz w:val="32"/>
          <w:szCs w:val="32"/>
          <w:lang w:val="en-US" w:eastAsia="zh-CN"/>
        </w:rPr>
        <w:t>2.</w:t>
      </w:r>
      <w:r>
        <w:rPr>
          <w:rFonts w:hint="eastAsia" w:ascii="方正楷体_GBK" w:hAnsi="方正楷体_GBK" w:eastAsia="方正楷体_GBK" w:cs="方正楷体_GBK"/>
          <w:b/>
          <w:bCs/>
          <w:color w:val="000000"/>
          <w:sz w:val="32"/>
          <w:szCs w:val="32"/>
          <w:lang w:eastAsia="zh-CN"/>
        </w:rPr>
        <w:t>财政衔接推进乡村振兴补助资金</w:t>
      </w:r>
      <w:r>
        <w:rPr>
          <w:rFonts w:hint="eastAsia" w:ascii="方正楷体_GBK" w:hAnsi="方正楷体_GBK" w:eastAsia="方正楷体_GBK" w:cs="方正楷体_GBK"/>
          <w:b/>
          <w:bCs/>
          <w:color w:val="000000"/>
          <w:sz w:val="32"/>
          <w:szCs w:val="32"/>
        </w:rPr>
        <w:t>项目绩效目标设定情况。</w:t>
      </w:r>
    </w:p>
    <w:p>
      <w:pPr>
        <w:keepNext w:val="0"/>
        <w:keepLines w:val="0"/>
        <w:pageBreakBefore w:val="0"/>
        <w:widowControl w:val="0"/>
        <w:kinsoku/>
        <w:overflowPunct/>
        <w:topLinePunct w:val="0"/>
        <w:autoSpaceDN/>
        <w:bidi w:val="0"/>
        <w:adjustRightInd/>
        <w:snapToGrid/>
        <w:spacing w:line="560" w:lineRule="exact"/>
        <w:ind w:firstLine="640" w:firstLineChars="200"/>
        <w:jc w:val="left"/>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 xml:space="preserve">项目实施过程中预计可带动当地农户就近就地就业50人，按照施工期2个月计算，每人每天工资170元，预计可通过发放工资增加农民收50余万元。该项目实施后可大幅度改善项目村村民生活环境，提高村民生活素质，进一步增强项目村农户幸福感和获得感。  </w:t>
      </w:r>
    </w:p>
    <w:p>
      <w:pPr>
        <w:keepNext w:val="0"/>
        <w:keepLines w:val="0"/>
        <w:pageBreakBefore w:val="0"/>
        <w:widowControl w:val="0"/>
        <w:kinsoku/>
        <w:overflowPunct/>
        <w:topLinePunct w:val="0"/>
        <w:autoSpaceDN/>
        <w:bidi w:val="0"/>
        <w:adjustRightInd/>
        <w:snapToGrid/>
        <w:spacing w:line="560" w:lineRule="exact"/>
        <w:ind w:firstLine="640" w:firstLineChars="200"/>
        <w:jc w:val="left"/>
        <w:textAlignment w:val="auto"/>
        <w:rPr>
          <w:rFonts w:hint="eastAsia" w:ascii="方正黑体_GBK" w:hAnsi="方正黑体_GBK" w:eastAsia="方正黑体_GBK" w:cs="方正黑体_GBK"/>
          <w:b/>
          <w:color w:val="000000"/>
          <w:sz w:val="32"/>
          <w:szCs w:val="32"/>
        </w:rPr>
      </w:pPr>
      <w:r>
        <w:rPr>
          <w:rFonts w:hint="eastAsia" w:ascii="方正黑体_GBK" w:hAnsi="方正黑体_GBK" w:eastAsia="方正黑体_GBK" w:cs="方正黑体_GBK"/>
          <w:color w:val="000000"/>
          <w:kern w:val="2"/>
          <w:sz w:val="32"/>
          <w:szCs w:val="32"/>
          <w:lang w:val="en-US" w:eastAsia="zh-CN" w:bidi="ar-SA"/>
        </w:rPr>
        <w:t xml:space="preserve"> </w:t>
      </w:r>
      <w:r>
        <w:rPr>
          <w:rFonts w:hint="eastAsia" w:ascii="方正黑体_GBK" w:hAnsi="方正黑体_GBK" w:eastAsia="方正黑体_GBK" w:cs="方正黑体_GBK"/>
          <w:b/>
          <w:color w:val="000000"/>
          <w:sz w:val="32"/>
          <w:szCs w:val="32"/>
        </w:rPr>
        <w:t>二、绩效自评工作开展情况</w:t>
      </w:r>
    </w:p>
    <w:p>
      <w:pPr>
        <w:keepNext w:val="0"/>
        <w:keepLines w:val="0"/>
        <w:pageBreakBefore w:val="0"/>
        <w:widowControl w:val="0"/>
        <w:kinsoku/>
        <w:overflowPunct/>
        <w:topLinePunct w:val="0"/>
        <w:autoSpaceDN/>
        <w:bidi w:val="0"/>
        <w:adjustRightInd/>
        <w:snapToGrid/>
        <w:spacing w:line="560" w:lineRule="exact"/>
        <w:ind w:firstLine="640" w:firstLineChars="200"/>
        <w:jc w:val="left"/>
        <w:textAlignment w:val="auto"/>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包括自评工作开展范围、对象、时间及方式等。</w:t>
      </w:r>
    </w:p>
    <w:p>
      <w:pPr>
        <w:pStyle w:val="17"/>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方正楷体_GBK" w:hAnsi="方正楷体_GBK" w:eastAsia="方正楷体_GBK" w:cs="方正楷体_GBK"/>
          <w:b/>
          <w:bCs/>
          <w:color w:val="000000"/>
          <w:kern w:val="2"/>
          <w:sz w:val="32"/>
          <w:szCs w:val="32"/>
          <w:lang w:val="en-US" w:eastAsia="zh-CN" w:bidi="ar-SA"/>
        </w:rPr>
      </w:pPr>
      <w:r>
        <w:rPr>
          <w:rFonts w:hint="eastAsia" w:ascii="方正楷体_GBK" w:hAnsi="方正楷体_GBK" w:eastAsia="方正楷体_GBK" w:cs="方正楷体_GBK"/>
          <w:b/>
          <w:bCs/>
          <w:color w:val="000000"/>
          <w:kern w:val="2"/>
          <w:sz w:val="32"/>
          <w:szCs w:val="32"/>
          <w:lang w:val="en-US" w:eastAsia="zh-CN" w:bidi="ar-SA"/>
        </w:rPr>
        <w:t>1. 绩效评价范围</w:t>
      </w:r>
    </w:p>
    <w:p>
      <w:pPr>
        <w:pStyle w:val="17"/>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本次评价范围涵盖项目总体绩效目标、各项绩效指标完成情况以及预算执行情况。覆盖项目预算资金支出的所有内容进行评价。包括项目决策、项目实施和项目成果验收流程等。</w:t>
      </w:r>
    </w:p>
    <w:p>
      <w:pPr>
        <w:pStyle w:val="17"/>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方正楷体_GBK" w:hAnsi="方正楷体_GBK" w:eastAsia="方正楷体_GBK" w:cs="方正楷体_GBK"/>
          <w:b/>
          <w:bCs/>
          <w:color w:val="000000"/>
          <w:kern w:val="2"/>
          <w:sz w:val="32"/>
          <w:szCs w:val="32"/>
          <w:lang w:val="en-US" w:eastAsia="zh-CN" w:bidi="ar-SA"/>
        </w:rPr>
      </w:pPr>
      <w:r>
        <w:rPr>
          <w:rFonts w:hint="eastAsia" w:ascii="方正楷体_GBK" w:hAnsi="方正楷体_GBK" w:eastAsia="方正楷体_GBK" w:cs="方正楷体_GBK"/>
          <w:b/>
          <w:bCs/>
          <w:color w:val="000000"/>
          <w:kern w:val="2"/>
          <w:sz w:val="32"/>
          <w:szCs w:val="32"/>
          <w:lang w:val="en-US" w:eastAsia="zh-CN" w:bidi="ar-SA"/>
        </w:rPr>
        <w:t>2. 绩效评价对象</w:t>
      </w:r>
    </w:p>
    <w:p>
      <w:pPr>
        <w:pStyle w:val="17"/>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p>
    <w:p>
      <w:pPr>
        <w:pStyle w:val="17"/>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方正楷体_GBK" w:hAnsi="方正楷体_GBK" w:eastAsia="方正楷体_GBK" w:cs="方正楷体_GBK"/>
          <w:b/>
          <w:bCs/>
          <w:color w:val="000000"/>
          <w:kern w:val="2"/>
          <w:sz w:val="32"/>
          <w:szCs w:val="32"/>
          <w:lang w:val="en-US" w:eastAsia="zh-CN" w:bidi="ar-SA"/>
        </w:rPr>
      </w:pPr>
      <w:r>
        <w:rPr>
          <w:rFonts w:hint="eastAsia" w:ascii="方正楷体_GBK" w:hAnsi="方正楷体_GBK" w:eastAsia="方正楷体_GBK" w:cs="方正楷体_GBK"/>
          <w:b/>
          <w:bCs/>
          <w:color w:val="000000"/>
          <w:kern w:val="2"/>
          <w:sz w:val="32"/>
          <w:szCs w:val="32"/>
          <w:lang w:val="en-US" w:eastAsia="zh-CN" w:bidi="ar-SA"/>
        </w:rPr>
        <w:t>3.绩效评价时间</w:t>
      </w:r>
    </w:p>
    <w:p>
      <w:pPr>
        <w:pStyle w:val="17"/>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2024年1月1日-2024年1月31日</w:t>
      </w:r>
    </w:p>
    <w:p>
      <w:pPr>
        <w:pStyle w:val="17"/>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方正楷体_GBK" w:hAnsi="方正楷体_GBK" w:eastAsia="方正楷体_GBK" w:cs="方正楷体_GBK"/>
          <w:color w:val="000000"/>
          <w:kern w:val="2"/>
          <w:sz w:val="32"/>
          <w:szCs w:val="32"/>
          <w:lang w:val="en-US" w:eastAsia="zh-CN" w:bidi="ar-SA"/>
        </w:rPr>
      </w:pPr>
      <w:r>
        <w:rPr>
          <w:rFonts w:hint="eastAsia" w:ascii="方正楷体_GBK" w:hAnsi="方正楷体_GBK" w:eastAsia="方正楷体_GBK" w:cs="方正楷体_GBK"/>
          <w:b/>
          <w:bCs/>
          <w:color w:val="000000"/>
          <w:kern w:val="2"/>
          <w:sz w:val="32"/>
          <w:szCs w:val="32"/>
          <w:lang w:val="en-US" w:eastAsia="zh-CN" w:bidi="ar-SA"/>
        </w:rPr>
        <w:t>4. 绩效评价方法</w:t>
      </w:r>
    </w:p>
    <w:p>
      <w:pPr>
        <w:pStyle w:val="17"/>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本次绩效评价方法的选用坚持简便有效的原则采用综合分析法。</w:t>
      </w:r>
    </w:p>
    <w:p>
      <w:pPr>
        <w:pStyle w:val="17"/>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方正楷体_GBK" w:hAnsi="方正楷体_GBK" w:eastAsia="方正楷体_GBK" w:cs="方正楷体_GBK"/>
          <w:b/>
          <w:bCs/>
          <w:color w:val="000000"/>
          <w:kern w:val="2"/>
          <w:sz w:val="32"/>
          <w:szCs w:val="32"/>
          <w:lang w:val="en-US" w:eastAsia="zh-CN" w:bidi="ar-SA"/>
        </w:rPr>
      </w:pPr>
      <w:r>
        <w:rPr>
          <w:rFonts w:hint="eastAsia" w:ascii="方正楷体_GBK" w:hAnsi="方正楷体_GBK" w:eastAsia="方正楷体_GBK" w:cs="方正楷体_GBK"/>
          <w:b/>
          <w:bCs/>
          <w:color w:val="000000"/>
          <w:kern w:val="2"/>
          <w:sz w:val="32"/>
          <w:szCs w:val="32"/>
          <w:lang w:val="en-US" w:eastAsia="zh-CN" w:bidi="ar-SA"/>
        </w:rPr>
        <w:t>5. 绩效评价标准</w:t>
      </w:r>
    </w:p>
    <w:p>
      <w:pPr>
        <w:pStyle w:val="17"/>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绩效评价标准通常包括计划标准、行业标准、历史标准等，用于对绩效指标完成情况进行比较、分析、评价。本次评价主要采用了计划标准。</w:t>
      </w:r>
    </w:p>
    <w:p>
      <w:pPr>
        <w:pStyle w:val="17"/>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方正仿宋_GBK" w:hAnsi="方正仿宋_GBK" w:eastAsia="方正仿宋_GBK" w:cs="方正仿宋_GBK"/>
          <w:color w:val="000000"/>
          <w:kern w:val="2"/>
          <w:sz w:val="32"/>
          <w:szCs w:val="32"/>
          <w:lang w:val="en-US" w:eastAsia="zh-CN" w:bidi="ar-SA"/>
        </w:rPr>
      </w:pPr>
      <w:bookmarkStart w:id="0" w:name="_Toc17882"/>
      <w:bookmarkStart w:id="1" w:name="_Toc31464"/>
      <w:r>
        <w:rPr>
          <w:rFonts w:hint="eastAsia" w:ascii="方正仿宋_GBK" w:hAnsi="方正仿宋_GBK" w:eastAsia="方正仿宋_GBK" w:cs="方正仿宋_GBK"/>
          <w:color w:val="000000"/>
          <w:kern w:val="2"/>
          <w:sz w:val="32"/>
          <w:szCs w:val="32"/>
          <w:lang w:val="en-US" w:eastAsia="zh-CN" w:bidi="ar-SA"/>
        </w:rPr>
        <w:t>计划标准：指以预先制定的目标、计划、预算、定额等作为评价标准。</w:t>
      </w:r>
      <w:bookmarkEnd w:id="0"/>
      <w:bookmarkEnd w:id="1"/>
    </w:p>
    <w:p>
      <w:pPr>
        <w:pStyle w:val="17"/>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方正仿宋_GBK" w:hAnsi="方正仿宋_GBK" w:eastAsia="方正仿宋_GBK" w:cs="方正仿宋_GBK"/>
          <w:color w:val="000000"/>
          <w:kern w:val="2"/>
          <w:sz w:val="32"/>
          <w:szCs w:val="32"/>
          <w:lang w:val="en-US" w:eastAsia="zh-CN" w:bidi="ar-SA"/>
        </w:rPr>
      </w:pPr>
      <w:bookmarkStart w:id="2" w:name="_Toc2318"/>
      <w:bookmarkStart w:id="3" w:name="_Toc5633"/>
      <w:r>
        <w:rPr>
          <w:rFonts w:hint="eastAsia" w:ascii="方正仿宋_GBK" w:hAnsi="方正仿宋_GBK" w:eastAsia="方正仿宋_GBK" w:cs="方正仿宋_GBK"/>
          <w:color w:val="000000"/>
          <w:kern w:val="2"/>
          <w:sz w:val="32"/>
          <w:szCs w:val="32"/>
          <w:lang w:val="en-US" w:eastAsia="zh-CN" w:bidi="ar-SA"/>
        </w:rPr>
        <w:t>行业标准：指参照国家公布的行业指标数据制定的评价标准。</w:t>
      </w:r>
      <w:bookmarkEnd w:id="2"/>
      <w:bookmarkEnd w:id="3"/>
    </w:p>
    <w:p>
      <w:pPr>
        <w:pStyle w:val="17"/>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方正仿宋_GBK" w:hAnsi="方正仿宋_GBK" w:eastAsia="方正仿宋_GBK" w:cs="方正仿宋_GBK"/>
          <w:color w:val="000000"/>
          <w:kern w:val="2"/>
          <w:sz w:val="32"/>
          <w:szCs w:val="32"/>
          <w:lang w:val="en-US" w:eastAsia="zh-CN" w:bidi="ar-SA"/>
        </w:rPr>
      </w:pPr>
      <w:bookmarkStart w:id="4" w:name="_Toc430"/>
      <w:bookmarkStart w:id="5" w:name="_Toc16028"/>
      <w:r>
        <w:rPr>
          <w:rFonts w:hint="eastAsia" w:ascii="方正仿宋_GBK" w:hAnsi="方正仿宋_GBK" w:eastAsia="方正仿宋_GBK" w:cs="方正仿宋_GBK"/>
          <w:color w:val="000000"/>
          <w:kern w:val="2"/>
          <w:sz w:val="32"/>
          <w:szCs w:val="32"/>
          <w:lang w:val="en-US" w:eastAsia="zh-CN" w:bidi="ar-SA"/>
        </w:rPr>
        <w:t>历史标准：指参照历史数据制定的评价标准，为体现绩效改进的原则，在可实现的条件下应当确定相对较高的评价标准。</w:t>
      </w:r>
      <w:bookmarkEnd w:id="4"/>
      <w:bookmarkEnd w:id="5"/>
    </w:p>
    <w:p>
      <w:pPr>
        <w:keepNext w:val="0"/>
        <w:keepLines w:val="0"/>
        <w:pageBreakBefore w:val="0"/>
        <w:widowControl w:val="0"/>
        <w:kinsoku/>
        <w:overflowPunct/>
        <w:topLinePunct w:val="0"/>
        <w:autoSpaceDN/>
        <w:bidi w:val="0"/>
        <w:adjustRightInd/>
        <w:snapToGrid/>
        <w:spacing w:line="560" w:lineRule="exact"/>
        <w:ind w:firstLine="640" w:firstLineChars="200"/>
        <w:jc w:val="left"/>
        <w:textAlignment w:val="auto"/>
        <w:rPr>
          <w:rFonts w:hint="eastAsia" w:ascii="方正黑体_GBK" w:hAnsi="方正黑体_GBK" w:eastAsia="方正黑体_GBK" w:cs="方正黑体_GBK"/>
          <w:b/>
          <w:color w:val="000000"/>
          <w:sz w:val="32"/>
          <w:szCs w:val="32"/>
        </w:rPr>
      </w:pPr>
      <w:r>
        <w:rPr>
          <w:rFonts w:hint="eastAsia" w:ascii="方正黑体_GBK" w:hAnsi="方正黑体_GBK" w:eastAsia="方正黑体_GBK" w:cs="方正黑体_GBK"/>
          <w:b/>
          <w:color w:val="000000"/>
          <w:sz w:val="32"/>
          <w:szCs w:val="32"/>
        </w:rPr>
        <w:t>三、绩效目标自评完成情况分析</w:t>
      </w:r>
    </w:p>
    <w:p>
      <w:pPr>
        <w:keepNext w:val="0"/>
        <w:keepLines w:val="0"/>
        <w:pageBreakBefore w:val="0"/>
        <w:widowControl w:val="0"/>
        <w:kinsoku/>
        <w:overflowPunct/>
        <w:topLinePunct w:val="0"/>
        <w:autoSpaceDN/>
        <w:bidi w:val="0"/>
        <w:adjustRightInd/>
        <w:snapToGrid/>
        <w:spacing w:line="560" w:lineRule="exact"/>
        <w:ind w:firstLine="640" w:firstLineChars="200"/>
        <w:jc w:val="left"/>
        <w:textAlignment w:val="auto"/>
        <w:rPr>
          <w:rFonts w:ascii="仿宋_GB2312" w:hAnsi="黑体" w:eastAsia="仿宋_GB2312"/>
          <w:b/>
          <w:bCs/>
          <w:color w:val="000000"/>
          <w:sz w:val="32"/>
          <w:szCs w:val="32"/>
        </w:rPr>
      </w:pPr>
      <w:r>
        <w:rPr>
          <w:rFonts w:hint="eastAsia" w:ascii="方正楷体_GBK" w:hAnsi="方正楷体_GBK" w:eastAsia="方正楷体_GBK" w:cs="方正楷体_GBK"/>
          <w:b/>
          <w:bCs/>
          <w:color w:val="000000"/>
          <w:sz w:val="32"/>
          <w:szCs w:val="32"/>
        </w:rPr>
        <w:t>(一）资金投入情况分析</w:t>
      </w:r>
      <w:r>
        <w:rPr>
          <w:rFonts w:hint="eastAsia" w:ascii="仿宋_GB2312" w:hAnsi="黑体" w:eastAsia="仿宋_GB2312"/>
          <w:b/>
          <w:bCs/>
          <w:color w:val="000000"/>
          <w:sz w:val="32"/>
          <w:szCs w:val="32"/>
        </w:rPr>
        <w:t>。</w:t>
      </w:r>
    </w:p>
    <w:p>
      <w:pPr>
        <w:keepNext w:val="0"/>
        <w:keepLines w:val="0"/>
        <w:pageBreakBefore w:val="0"/>
        <w:widowControl w:val="0"/>
        <w:kinsoku/>
        <w:overflowPunct/>
        <w:topLinePunct w:val="0"/>
        <w:autoSpaceDN/>
        <w:bidi w:val="0"/>
        <w:adjustRightInd/>
        <w:snapToGrid/>
        <w:spacing w:line="560" w:lineRule="exact"/>
        <w:ind w:firstLine="643" w:firstLineChars="200"/>
        <w:jc w:val="left"/>
        <w:textAlignment w:val="auto"/>
        <w:rPr>
          <w:rFonts w:hint="eastAsia" w:ascii="方正仿宋_GBK" w:hAnsi="方正仿宋_GBK" w:eastAsia="方正仿宋_GBK" w:cs="方正仿宋_GBK"/>
          <w:b/>
          <w:bCs/>
          <w:color w:val="000000"/>
          <w:sz w:val="32"/>
          <w:szCs w:val="32"/>
        </w:rPr>
      </w:pPr>
      <w:r>
        <w:rPr>
          <w:rFonts w:hint="eastAsia" w:ascii="方正仿宋_GBK" w:hAnsi="方正仿宋_GBK" w:eastAsia="方正仿宋_GBK" w:cs="方正仿宋_GBK"/>
          <w:b/>
          <w:bCs/>
          <w:color w:val="000000"/>
          <w:sz w:val="32"/>
          <w:szCs w:val="32"/>
        </w:rPr>
        <w:t>1.项目资金到位情况分析。</w:t>
      </w:r>
    </w:p>
    <w:p>
      <w:pPr>
        <w:pStyle w:val="17"/>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t>该项目共安排下达资金911.74万元，为衔接资金，最终确定项目资金总数为911.74万元。</w:t>
      </w:r>
    </w:p>
    <w:p>
      <w:pPr>
        <w:pStyle w:val="17"/>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方正仿宋_GBK" w:hAnsi="方正仿宋_GBK" w:eastAsia="方正仿宋_GBK" w:cs="方正仿宋_GBK"/>
          <w:b/>
          <w:bCs/>
          <w:color w:val="000000" w:themeColor="text1"/>
          <w:kern w:val="2"/>
          <w:sz w:val="32"/>
          <w:szCs w:val="32"/>
          <w:lang w:val="en-US" w:eastAsia="zh-CN" w:bidi="ar-SA"/>
          <w14:textFill>
            <w14:solidFill>
              <w14:schemeClr w14:val="tx1"/>
            </w14:solidFill>
          </w14:textFill>
        </w:rPr>
      </w:pPr>
      <w:r>
        <w:rPr>
          <w:rFonts w:hint="eastAsia" w:ascii="方正仿宋_GBK" w:hAnsi="方正仿宋_GBK" w:eastAsia="方正仿宋_GBK" w:cs="方正仿宋_GBK"/>
          <w:b/>
          <w:bCs/>
          <w:color w:val="000000" w:themeColor="text1"/>
          <w:kern w:val="2"/>
          <w:sz w:val="32"/>
          <w:szCs w:val="32"/>
          <w:lang w:val="en-US" w:eastAsia="zh-CN" w:bidi="ar-SA"/>
          <w14:textFill>
            <w14:solidFill>
              <w14:schemeClr w14:val="tx1"/>
            </w14:solidFill>
          </w14:textFill>
        </w:rPr>
        <w:t>2.项目资金执行情况分析。</w:t>
      </w:r>
    </w:p>
    <w:p>
      <w:pPr>
        <w:pStyle w:val="17"/>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t>截至2023年12月31日，实际支出876.47万元，预算执行率96.13%。</w:t>
      </w:r>
    </w:p>
    <w:p>
      <w:pPr>
        <w:pStyle w:val="17"/>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方正仿宋_GBK" w:hAnsi="方正仿宋_GBK" w:eastAsia="方正仿宋_GBK" w:cs="方正仿宋_GBK"/>
          <w:b/>
          <w:bCs/>
          <w:color w:val="000000" w:themeColor="text1"/>
          <w:kern w:val="2"/>
          <w:sz w:val="32"/>
          <w:szCs w:val="32"/>
          <w:lang w:val="en-US" w:eastAsia="zh-CN" w:bidi="ar-SA"/>
          <w14:textFill>
            <w14:solidFill>
              <w14:schemeClr w14:val="tx1"/>
            </w14:solidFill>
          </w14:textFill>
        </w:rPr>
      </w:pPr>
      <w:r>
        <w:rPr>
          <w:rFonts w:hint="eastAsia" w:ascii="方正仿宋_GBK" w:hAnsi="方正仿宋_GBK" w:eastAsia="方正仿宋_GBK" w:cs="方正仿宋_GBK"/>
          <w:b/>
          <w:bCs/>
          <w:color w:val="000000" w:themeColor="text1"/>
          <w:kern w:val="2"/>
          <w:sz w:val="32"/>
          <w:szCs w:val="32"/>
          <w:lang w:val="en-US" w:eastAsia="zh-CN" w:bidi="ar-SA"/>
          <w14:textFill>
            <w14:solidFill>
              <w14:schemeClr w14:val="tx1"/>
            </w14:solidFill>
          </w14:textFill>
        </w:rPr>
        <w:t>3.项目资金管理情况分析。</w:t>
      </w:r>
    </w:p>
    <w:p>
      <w:pPr>
        <w:pStyle w:val="17"/>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t>本项目支出符合《喀什地区财政巩固拓展脱贫攻坚成果同乡村振兴有效衔接资金管理办法（试行）》</w:t>
      </w:r>
      <w:bookmarkStart w:id="6" w:name="_GoBack"/>
      <w:bookmarkEnd w:id="6"/>
      <w:r>
        <w:rPr>
          <w:rFonts w:hint="eastAsia" w:ascii="方正仿宋_GBK" w:hAnsi="方正仿宋_GBK" w:eastAsia="方正仿宋_GBK" w:cs="方正仿宋_GBK"/>
          <w:color w:val="000000"/>
          <w:kern w:val="2"/>
          <w:sz w:val="32"/>
          <w:szCs w:val="32"/>
          <w:lang w:val="en-US" w:eastAsia="zh-CN" w:bidi="ar-SA"/>
        </w:rPr>
        <w:t>以及本单位根据国家财经法规和财务管理制度制定的相关财务管理制度，其中包括《会计人员集中核算工作管理制度》、《财务收支审批制度》、《财务稽核制度》、《财务牵制制度》、《会计主管岗位职责》等制度规定，严格执行国库集中支付制度直接支付，资金的拨付过程有完整的审批程序和手续，不存在截留、挤占、挪用等情况。</w:t>
      </w:r>
    </w:p>
    <w:p>
      <w:pPr>
        <w:keepNext w:val="0"/>
        <w:keepLines w:val="0"/>
        <w:pageBreakBefore w:val="0"/>
        <w:widowControl w:val="0"/>
        <w:kinsoku/>
        <w:overflowPunct/>
        <w:topLinePunct w:val="0"/>
        <w:autoSpaceDN/>
        <w:bidi w:val="0"/>
        <w:adjustRightInd/>
        <w:snapToGrid/>
        <w:spacing w:line="560" w:lineRule="exact"/>
        <w:ind w:firstLine="640" w:firstLineChars="200"/>
        <w:jc w:val="left"/>
        <w:textAlignment w:val="auto"/>
        <w:rPr>
          <w:rFonts w:hint="eastAsia" w:ascii="仿宋_GB2312" w:hAnsi="黑体" w:eastAsia="仿宋_GB2312"/>
          <w:b/>
          <w:bCs/>
          <w:color w:val="000000"/>
          <w:sz w:val="32"/>
          <w:szCs w:val="32"/>
        </w:rPr>
      </w:pPr>
      <w:r>
        <w:rPr>
          <w:rFonts w:hint="eastAsia" w:ascii="方正黑体_GBK" w:hAnsi="方正黑体_GBK" w:eastAsia="方正黑体_GBK" w:cs="方正黑体_GBK"/>
          <w:b/>
          <w:bCs/>
          <w:color w:val="000000"/>
          <w:sz w:val="32"/>
          <w:szCs w:val="32"/>
        </w:rPr>
        <w:t>(二）绩效目标完成情况分析。</w:t>
      </w:r>
    </w:p>
    <w:p>
      <w:pPr>
        <w:keepNext w:val="0"/>
        <w:keepLines w:val="0"/>
        <w:pageBreakBefore w:val="0"/>
        <w:widowControl w:val="0"/>
        <w:kinsoku/>
        <w:overflowPunct/>
        <w:topLinePunct w:val="0"/>
        <w:autoSpaceDN/>
        <w:bidi w:val="0"/>
        <w:adjustRightInd/>
        <w:snapToGrid/>
        <w:spacing w:line="560" w:lineRule="exact"/>
        <w:ind w:firstLine="640" w:firstLineChars="200"/>
        <w:jc w:val="left"/>
        <w:textAlignment w:val="auto"/>
        <w:rPr>
          <w:rFonts w:hint="eastAsia" w:ascii="方正楷体_GBK" w:hAnsi="方正楷体_GBK" w:eastAsia="方正楷体_GBK" w:cs="方正楷体_GBK"/>
          <w:sz w:val="32"/>
          <w:szCs w:val="32"/>
        </w:rPr>
      </w:pPr>
      <w:r>
        <w:rPr>
          <w:rFonts w:hint="eastAsia" w:ascii="方正楷体_GBK" w:hAnsi="方正楷体_GBK" w:eastAsia="方正楷体_GBK" w:cs="方正楷体_GBK"/>
          <w:b/>
          <w:bCs/>
          <w:color w:val="000000"/>
          <w:sz w:val="32"/>
          <w:szCs w:val="32"/>
        </w:rPr>
        <w:t>1.产出指标完成情况分析。</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（1）对于“产出数量”</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240" w:lineRule="auto"/>
        <w:ind w:left="0" w:right="0" w:firstLine="640" w:firstLineChars="200"/>
        <w:jc w:val="left"/>
        <w:textAlignment w:val="auto"/>
        <w:rPr>
          <w:rFonts w:hint="eastAsia" w:ascii="方正仿宋_GBK" w:hAnsi="方正仿宋_GBK" w:eastAsia="方正仿宋_GBK" w:cs="方正仿宋_GBK"/>
          <w:color w:val="000000" w:themeColor="text1"/>
          <w:kern w:val="2"/>
          <w:sz w:val="32"/>
          <w:szCs w:val="32"/>
          <w:lang w:val="en-US" w:eastAsia="zh-CN" w:bidi="ar"/>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t>修建防渗渠长度0.3m³/s-0.5m³/s等于9.14公里，与预期目标一致，指标标杆分值为8分，根据评分标准，该指标不扣分。得8分</w:t>
      </w:r>
      <w:r>
        <w:rPr>
          <w:rFonts w:hint="eastAsia" w:ascii="方正仿宋_GBK" w:hAnsi="方正仿宋_GBK" w:eastAsia="方正仿宋_GBK" w:cs="方正仿宋_GBK"/>
          <w:color w:val="000000" w:themeColor="text1"/>
          <w:kern w:val="2"/>
          <w:sz w:val="32"/>
          <w:szCs w:val="32"/>
          <w:lang w:val="en-US" w:eastAsia="zh-CN" w:bidi="ar"/>
          <w14:textFill>
            <w14:solidFill>
              <w14:schemeClr w14:val="tx1"/>
            </w14:solidFill>
          </w14:textFill>
        </w:rPr>
        <w:t>。</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t>合计得8分。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t>（2）对于“产出质量”：</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t>项目验收合格率100%，与预期目标一致，指标标杆分值为8分,根据评分标准，该指标不扣分，得8分。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t>合计得8分。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t>（3）对于“产出时效”：</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t>项目开工时间2023年5月，与预期目标指标一致，指标标杆分值为8分,根据评分标准，该指标不扣分，得8分。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t>项目完工时间2023年12月，与预期目标指标一致，指标标杆分值为8分,根据评分标准，该指标不扣分，得8分。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t>工程完成及时率100%，与预期目标一致，指标标杆分值为8分，根据评分标准，该指标不扣分，得8分。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t>合计得24分。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t>（4）对于“产出成本”：</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t>防渗渠每公里建设成本95.89万元/公里，与预期目标不一致，指标标杆分值为10分，根据评分标准，该指标扣分，得9.6分。偏差原因：该项目剩余资金已退回国库，成本随之资金数变动；改进措施：做好年初预算分析。</w:t>
      </w:r>
    </w:p>
    <w:p>
      <w:pPr>
        <w:pStyle w:val="4"/>
        <w:keepNext w:val="0"/>
        <w:keepLines w:val="0"/>
        <w:pageBreakBefore w:val="0"/>
        <w:widowControl w:val="0"/>
        <w:kinsoku/>
        <w:overflowPunct/>
        <w:topLinePunct w:val="0"/>
        <w:autoSpaceDN/>
        <w:bidi w:val="0"/>
        <w:adjustRightInd/>
        <w:snapToGrid/>
        <w:spacing w:line="560" w:lineRule="exact"/>
        <w:textAlignment w:val="auto"/>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t>合计得分9.6分。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方正楷体_GBK" w:hAnsi="方正楷体_GBK" w:eastAsia="方正楷体_GBK" w:cs="方正楷体_GBK"/>
          <w:b/>
          <w:bCs/>
          <w:color w:val="000000"/>
          <w:kern w:val="2"/>
          <w:sz w:val="32"/>
          <w:szCs w:val="32"/>
          <w:lang w:val="en-US" w:eastAsia="zh-CN" w:bidi="ar-SA"/>
        </w:rPr>
      </w:pPr>
      <w:r>
        <w:rPr>
          <w:rFonts w:hint="eastAsia" w:ascii="方正楷体_GBK" w:hAnsi="方正楷体_GBK" w:eastAsia="方正楷体_GBK" w:cs="方正楷体_GBK"/>
          <w:b/>
          <w:bCs/>
          <w:color w:val="000000"/>
          <w:kern w:val="2"/>
          <w:sz w:val="32"/>
          <w:szCs w:val="32"/>
          <w:lang w:val="en-US" w:eastAsia="zh-CN" w:bidi="ar-SA"/>
        </w:rPr>
        <w:t>2.效益指标完成情况分析。</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方正楷体_GBK" w:hAnsi="方正楷体_GBK" w:eastAsia="方正楷体_GBK" w:cs="方正楷体_GBK"/>
          <w:b/>
          <w:bCs/>
          <w:color w:val="000000"/>
          <w:kern w:val="2"/>
          <w:sz w:val="32"/>
          <w:szCs w:val="32"/>
          <w:lang w:val="en-US" w:eastAsia="zh-CN" w:bidi="ar-SA"/>
        </w:rPr>
      </w:pPr>
      <w:r>
        <w:rPr>
          <w:rFonts w:hint="eastAsia" w:ascii="方正楷体_GBK" w:hAnsi="方正楷体_GBK" w:eastAsia="方正楷体_GBK" w:cs="方正楷体_GBK"/>
          <w:b/>
          <w:bCs/>
          <w:color w:val="000000"/>
          <w:kern w:val="2"/>
          <w:sz w:val="32"/>
          <w:szCs w:val="32"/>
          <w:lang w:val="en-US" w:eastAsia="zh-CN" w:bidi="ar-SA"/>
        </w:rPr>
        <w:t>1.实施效益指标：</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t>（1）对于“社会效益指标”：</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t>带动脱贫户和边缘易致贫户人数50人，与预期指标一致，指标标杆分值为10分，根据评分标准，该指标不扣分，得10分。</w:t>
      </w:r>
    </w:p>
    <w:p>
      <w:pPr>
        <w:pStyle w:val="4"/>
        <w:keepNext w:val="0"/>
        <w:keepLines w:val="0"/>
        <w:pageBreakBefore w:val="0"/>
        <w:widowControl w:val="0"/>
        <w:kinsoku/>
        <w:overflowPunct/>
        <w:topLinePunct w:val="0"/>
        <w:autoSpaceDN/>
        <w:bidi w:val="0"/>
        <w:adjustRightInd/>
        <w:snapToGrid/>
        <w:spacing w:line="560" w:lineRule="exact"/>
        <w:textAlignment w:val="auto"/>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t>合计得分10分。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t>（2）对于“经济效益指标”：</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t>带动增加巩固脱贫户全年总收入50万元，与预期指标一致，指标标杆分值为10分，根据评分标准，该指标不扣分，得10分。</w:t>
      </w:r>
    </w:p>
    <w:p>
      <w:pPr>
        <w:pStyle w:val="4"/>
        <w:keepNext w:val="0"/>
        <w:keepLines w:val="0"/>
        <w:pageBreakBefore w:val="0"/>
        <w:widowControl w:val="0"/>
        <w:kinsoku/>
        <w:overflowPunct/>
        <w:topLinePunct w:val="0"/>
        <w:autoSpaceDN/>
        <w:bidi w:val="0"/>
        <w:adjustRightInd/>
        <w:snapToGrid/>
        <w:spacing w:line="560" w:lineRule="exact"/>
        <w:textAlignment w:val="auto"/>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t>合计得分10分。</w:t>
      </w:r>
    </w:p>
    <w:p>
      <w:pPr>
        <w:pStyle w:val="4"/>
        <w:keepNext w:val="0"/>
        <w:keepLines w:val="0"/>
        <w:pageBreakBefore w:val="0"/>
        <w:widowControl w:val="0"/>
        <w:numPr>
          <w:ilvl w:val="0"/>
          <w:numId w:val="1"/>
        </w:numPr>
        <w:kinsoku/>
        <w:overflowPunct/>
        <w:topLinePunct w:val="0"/>
        <w:autoSpaceDN/>
        <w:bidi w:val="0"/>
        <w:adjustRightInd/>
        <w:snapToGrid/>
        <w:spacing w:line="560" w:lineRule="exact"/>
        <w:ind w:left="0" w:leftChars="0" w:firstLine="640" w:firstLineChars="200"/>
        <w:textAlignment w:val="auto"/>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t>对于“生态效益指标”：</w:t>
      </w:r>
    </w:p>
    <w:p>
      <w:pPr>
        <w:pStyle w:val="4"/>
        <w:keepNext w:val="0"/>
        <w:keepLines w:val="0"/>
        <w:pageBreakBefore w:val="0"/>
        <w:widowControl w:val="0"/>
        <w:numPr>
          <w:ilvl w:val="0"/>
          <w:numId w:val="0"/>
        </w:numPr>
        <w:kinsoku/>
        <w:overflowPunct/>
        <w:topLinePunct w:val="0"/>
        <w:autoSpaceDN/>
        <w:bidi w:val="0"/>
        <w:adjustRightInd/>
        <w:snapToGrid/>
        <w:spacing w:line="560" w:lineRule="exact"/>
        <w:ind w:firstLine="640" w:firstLineChars="200"/>
        <w:textAlignment w:val="auto"/>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t>该项目无生态效益指标</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t>（4）对于“可持续影响指标”：</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t>防渗渠设计使用年限10年以上，与预期指标一致，指标标杆分值为10分，根据评分标准，该指标不扣分，得 10分。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t>实施效益指标合计得30分。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方正楷体_GBK" w:hAnsi="方正楷体_GBK" w:eastAsia="方正楷体_GBK" w:cs="方正楷体_GBK"/>
          <w:b/>
          <w:bCs/>
          <w:color w:val="000000"/>
          <w:kern w:val="2"/>
          <w:sz w:val="32"/>
          <w:szCs w:val="32"/>
          <w:lang w:val="en-US" w:eastAsia="zh-CN" w:bidi="ar-SA"/>
        </w:rPr>
      </w:pPr>
      <w:r>
        <w:rPr>
          <w:rFonts w:hint="eastAsia" w:ascii="方正楷体_GBK" w:hAnsi="方正楷体_GBK" w:eastAsia="方正楷体_GBK" w:cs="方正楷体_GBK"/>
          <w:b/>
          <w:bCs/>
          <w:color w:val="000000"/>
          <w:kern w:val="2"/>
          <w:sz w:val="32"/>
          <w:szCs w:val="32"/>
          <w:lang w:val="en-US" w:eastAsia="zh-CN" w:bidi="ar-SA"/>
        </w:rPr>
        <w:t>3.满意度指标完成情况分析。</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t>对于“满意度指标”：受益脱贫户人口满意度95%，与预期目标一致，根据评分标准，该指标不扣分，得10分。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right="0" w:firstLine="640" w:firstLineChars="200"/>
        <w:jc w:val="left"/>
        <w:textAlignment w:val="auto"/>
        <w:rPr>
          <w:rFonts w:hint="eastAsia" w:ascii="方正黑体_GBK" w:hAnsi="方正黑体_GBK" w:eastAsia="方正黑体_GBK" w:cs="方正黑体_GBK"/>
          <w:b/>
          <w:bCs/>
          <w:color w:val="000000"/>
          <w:kern w:val="2"/>
          <w:sz w:val="32"/>
          <w:szCs w:val="32"/>
          <w:lang w:val="en-US" w:eastAsia="zh-CN" w:bidi="ar-SA"/>
        </w:rPr>
      </w:pPr>
      <w:r>
        <w:rPr>
          <w:rFonts w:hint="eastAsia" w:ascii="方正黑体_GBK" w:hAnsi="方正黑体_GBK" w:eastAsia="方正黑体_GBK" w:cs="方正黑体_GBK"/>
          <w:b/>
          <w:bCs/>
          <w:color w:val="000000"/>
          <w:kern w:val="2"/>
          <w:sz w:val="32"/>
          <w:szCs w:val="32"/>
          <w:lang w:val="en-US" w:eastAsia="zh-CN" w:bidi="ar-SA"/>
        </w:rPr>
        <w:t>四、偏离绩效目标的原因和下一步改进措施</w:t>
      </w:r>
    </w:p>
    <w:p>
      <w:pPr>
        <w:pStyle w:val="17"/>
        <w:pageBreakBefore w:val="0"/>
        <w:kinsoku/>
        <w:wordWrap/>
        <w:topLinePunct w:val="0"/>
        <w:autoSpaceDE/>
        <w:autoSpaceDN/>
        <w:bidi w:val="0"/>
        <w:spacing w:line="560" w:lineRule="exact"/>
        <w:ind w:firstLine="640"/>
        <w:rPr>
          <w:rFonts w:hint="default"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t>叶城县伯西热克乡6村和8村防渗渠建设项目预算911.74万元，到位911.74万元，实际支出876.47万元，预算执行率为96.13%，项目绩效指标总体完成率为99.2%，</w:t>
      </w:r>
      <w:r>
        <w:rPr>
          <w:rFonts w:hint="eastAsia" w:ascii="方正仿宋_GBK" w:hAnsi="方正仿宋_GBK" w:eastAsia="方正仿宋_GBK" w:cs="方正仿宋_GBK"/>
          <w:i w:val="0"/>
          <w:color w:val="000000"/>
          <w:kern w:val="0"/>
          <w:sz w:val="32"/>
          <w:szCs w:val="32"/>
          <w:u w:val="none"/>
          <w:lang w:val="en-US" w:eastAsia="zh-CN" w:bidi="ar"/>
        </w:rPr>
        <w:t>偏差率3.07%。偏差原因：该项目剩余资金已退回国库，成本随之资金数变动；改进措施：做好年初预算分析。</w:t>
      </w:r>
    </w:p>
    <w:p>
      <w:pPr>
        <w:pStyle w:val="18"/>
        <w:keepNext/>
        <w:keepLines/>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方正黑体_GBK" w:hAnsi="方正黑体_GBK" w:eastAsia="方正黑体_GBK" w:cs="方正黑体_GBK"/>
          <w:b/>
          <w:bCs/>
          <w:color w:val="auto"/>
          <w:sz w:val="32"/>
          <w:highlight w:val="none"/>
        </w:rPr>
      </w:pPr>
      <w:r>
        <w:rPr>
          <w:rFonts w:hint="eastAsia" w:ascii="方正黑体_GBK" w:hAnsi="方正黑体_GBK" w:eastAsia="方正黑体_GBK" w:cs="方正黑体_GBK"/>
          <w:b/>
          <w:bCs/>
          <w:color w:val="auto"/>
          <w:kern w:val="2"/>
          <w:sz w:val="32"/>
          <w:szCs w:val="32"/>
          <w:highlight w:val="none"/>
          <w:lang w:val="en-US" w:eastAsia="zh-CN" w:bidi="ar-SA"/>
        </w:rPr>
        <w:t>五、综合评价结论</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both"/>
        <w:textAlignment w:val="auto"/>
        <w:outlineLvl w:val="9"/>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评价结果分为优、良、中、差四个等级：优（90分（含）—100分）；良（80分（含）—90分）；中（60分（含）—80分）；差（0分—60分）。</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both"/>
        <w:textAlignment w:val="auto"/>
        <w:outlineLvl w:val="9"/>
        <w:rPr>
          <w:rFonts w:hint="eastAsia" w:ascii="仿宋_GB2312" w:hAnsi="黑体" w:eastAsia="仿宋_GB2312" w:cstheme="minorBidi"/>
          <w:color w:val="FF0000"/>
          <w:kern w:val="2"/>
          <w:sz w:val="32"/>
          <w:szCs w:val="32"/>
          <w:lang w:val="en-US" w:eastAsia="zh-CN" w:bidi="ar-SA"/>
        </w:rPr>
      </w:pPr>
      <w:r>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t>叶城县伯西热克乡6村和8村防渗渠建设项目已建成9.14公里防渗渠，该项目实施后可大幅度改善项目村村民生活环境，提高村民生活素质，进一步增强项目村农户幸福感和获得感。该项目最终评分99.2分，绩效评级为“优”。</w:t>
      </w:r>
    </w:p>
    <w:p>
      <w:pPr>
        <w:keepNext w:val="0"/>
        <w:keepLines w:val="0"/>
        <w:pageBreakBefore w:val="0"/>
        <w:widowControl w:val="0"/>
        <w:numPr>
          <w:ilvl w:val="0"/>
          <w:numId w:val="0"/>
        </w:numPr>
        <w:kinsoku/>
        <w:overflowPunct/>
        <w:topLinePunct w:val="0"/>
        <w:autoSpaceDN/>
        <w:bidi w:val="0"/>
        <w:adjustRightInd/>
        <w:snapToGrid/>
        <w:spacing w:line="560" w:lineRule="exact"/>
        <w:ind w:leftChars="200"/>
        <w:jc w:val="left"/>
        <w:textAlignment w:val="auto"/>
        <w:rPr>
          <w:rFonts w:hint="eastAsia" w:ascii="方正黑体_GBK" w:hAnsi="方正黑体_GBK" w:eastAsia="方正黑体_GBK" w:cs="方正黑体_GBK"/>
          <w:b/>
          <w:color w:val="000000"/>
          <w:sz w:val="32"/>
          <w:szCs w:val="32"/>
        </w:rPr>
      </w:pPr>
      <w:r>
        <w:rPr>
          <w:rFonts w:hint="eastAsia" w:ascii="方正黑体_GBK" w:hAnsi="方正黑体_GBK" w:eastAsia="方正黑体_GBK" w:cs="方正黑体_GBK"/>
          <w:b/>
          <w:color w:val="000000"/>
          <w:sz w:val="32"/>
          <w:szCs w:val="32"/>
          <w:lang w:val="en-US" w:eastAsia="zh-CN"/>
        </w:rPr>
        <w:t>六、</w:t>
      </w:r>
      <w:r>
        <w:rPr>
          <w:rFonts w:hint="eastAsia" w:ascii="方正黑体_GBK" w:hAnsi="方正黑体_GBK" w:eastAsia="方正黑体_GBK" w:cs="方正黑体_GBK"/>
          <w:b/>
          <w:color w:val="000000"/>
          <w:sz w:val="32"/>
          <w:szCs w:val="32"/>
        </w:rPr>
        <w:t>绩效自评结果拟应用和公开情况</w:t>
      </w:r>
    </w:p>
    <w:p>
      <w:pPr>
        <w:pStyle w:val="17"/>
        <w:keepNext w:val="0"/>
        <w:keepLines w:val="0"/>
        <w:pageBreakBefore w:val="0"/>
        <w:widowControl w:val="0"/>
        <w:kinsoku/>
        <w:overflowPunct/>
        <w:topLinePunct w:val="0"/>
        <w:autoSpaceDN/>
        <w:bidi w:val="0"/>
        <w:adjustRightInd/>
        <w:snapToGrid/>
        <w:spacing w:line="560" w:lineRule="exact"/>
        <w:ind w:firstLine="640"/>
        <w:textAlignment w:val="auto"/>
        <w:rPr>
          <w:rFonts w:hint="eastAsia" w:ascii="方正楷体_GBK" w:hAnsi="方正楷体_GBK" w:eastAsia="方正楷体_GBK" w:cs="方正楷体_GBK"/>
          <w:b/>
          <w:bCs/>
          <w:color w:val="000000"/>
          <w:kern w:val="2"/>
          <w:sz w:val="32"/>
          <w:szCs w:val="32"/>
          <w:lang w:val="en-US" w:eastAsia="zh-CN" w:bidi="ar-SA"/>
        </w:rPr>
      </w:pPr>
      <w:r>
        <w:rPr>
          <w:rFonts w:hint="eastAsia" w:ascii="方正楷体_GBK" w:hAnsi="方正楷体_GBK" w:eastAsia="方正楷体_GBK" w:cs="方正楷体_GBK"/>
          <w:b/>
          <w:bCs/>
          <w:color w:val="000000"/>
          <w:kern w:val="2"/>
          <w:sz w:val="32"/>
          <w:szCs w:val="32"/>
          <w:lang w:val="en-US" w:eastAsia="zh-CN" w:bidi="ar-SA"/>
        </w:rPr>
        <w:t>（一）对衔接推进乡村振兴补助资金项目、绩效公告公示情况</w:t>
      </w:r>
    </w:p>
    <w:p>
      <w:pPr>
        <w:pStyle w:val="17"/>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黑体" w:eastAsia="仿宋_GB2312" w:cstheme="minorBidi"/>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按照《国务院办公厅关于印发2022年政务公开工作要点的通知》（国办发【2022】8号）、《新疆维吾尔自治区财政衔接推进乡村振兴补助资金管理办法》（新财规【2021】11号）文件要求：由叶城县财政局乡村振兴股核对本项目资金及建设内容、由叶城县财政局绩效评价中心于</w:t>
      </w:r>
      <w:r>
        <w:rPr>
          <w:rFonts w:hint="eastAsia" w:ascii="方正仿宋_GBK" w:hAnsi="方正仿宋_GBK" w:eastAsia="方正仿宋_GBK" w:cs="方正仿宋_GBK"/>
          <w:color w:val="auto"/>
          <w:kern w:val="2"/>
          <w:sz w:val="32"/>
          <w:szCs w:val="32"/>
          <w:lang w:val="en-US" w:eastAsia="zh-CN" w:bidi="ar-SA"/>
        </w:rPr>
        <w:t>2023年3月20日</w:t>
      </w:r>
      <w:r>
        <w:rPr>
          <w:rFonts w:hint="eastAsia" w:ascii="方正仿宋_GBK" w:hAnsi="方正仿宋_GBK" w:eastAsia="方正仿宋_GBK" w:cs="方正仿宋_GBK"/>
          <w:color w:val="000000"/>
          <w:kern w:val="2"/>
          <w:sz w:val="32"/>
          <w:szCs w:val="32"/>
          <w:lang w:val="en-US" w:eastAsia="zh-CN" w:bidi="ar-SA"/>
        </w:rPr>
        <w:t>对项目绩效目标在叶城县人民政府网（http://www.xjyc.gov.cn/ycx/c107308/zwgk.shtml）进行公开，项目实施前在相关乡镇进行了张榜公开，接受社会</w:t>
      </w:r>
      <w:r>
        <w:rPr>
          <w:rFonts w:hint="eastAsia" w:ascii="仿宋_GB2312" w:hAnsi="黑体" w:eastAsia="仿宋_GB2312" w:cstheme="minorBidi"/>
          <w:color w:val="000000"/>
          <w:kern w:val="2"/>
          <w:sz w:val="32"/>
          <w:szCs w:val="32"/>
          <w:lang w:val="en-US" w:eastAsia="zh-CN" w:bidi="ar-SA"/>
        </w:rPr>
        <w:t>监督。</w:t>
      </w:r>
    </w:p>
    <w:p>
      <w:pPr>
        <w:pStyle w:val="17"/>
        <w:keepNext w:val="0"/>
        <w:keepLines w:val="0"/>
        <w:pageBreakBefore w:val="0"/>
        <w:widowControl w:val="0"/>
        <w:kinsoku/>
        <w:overflowPunct/>
        <w:topLinePunct w:val="0"/>
        <w:autoSpaceDN/>
        <w:bidi w:val="0"/>
        <w:adjustRightInd/>
        <w:snapToGrid/>
        <w:spacing w:line="560" w:lineRule="exact"/>
        <w:ind w:firstLine="640"/>
        <w:textAlignment w:val="auto"/>
        <w:rPr>
          <w:rFonts w:hint="eastAsia" w:ascii="方正楷体_GBK" w:hAnsi="方正楷体_GBK" w:eastAsia="方正楷体_GBK" w:cs="方正楷体_GBK"/>
          <w:b/>
          <w:bCs/>
          <w:color w:val="000000"/>
          <w:kern w:val="2"/>
          <w:sz w:val="32"/>
          <w:szCs w:val="32"/>
          <w:lang w:val="en-US" w:eastAsia="zh-CN" w:bidi="ar-SA"/>
        </w:rPr>
      </w:pPr>
      <w:r>
        <w:rPr>
          <w:rFonts w:hint="eastAsia" w:ascii="方正楷体_GBK" w:hAnsi="方正楷体_GBK" w:eastAsia="方正楷体_GBK" w:cs="方正楷体_GBK"/>
          <w:b/>
          <w:bCs/>
          <w:color w:val="000000"/>
          <w:kern w:val="2"/>
          <w:sz w:val="32"/>
          <w:szCs w:val="32"/>
          <w:lang w:val="en-US" w:eastAsia="zh-CN" w:bidi="ar-SA"/>
        </w:rPr>
        <w:t>（二）对绩效自评结果拟应用情况进行说明</w:t>
      </w:r>
    </w:p>
    <w:p>
      <w:pPr>
        <w:pStyle w:val="17"/>
        <w:keepNext w:val="0"/>
        <w:keepLines w:val="0"/>
        <w:pageBreakBefore w:val="0"/>
        <w:widowControl w:val="0"/>
        <w:kinsoku/>
        <w:overflowPunct/>
        <w:topLinePunct w:val="0"/>
        <w:autoSpaceDN/>
        <w:bidi w:val="0"/>
        <w:adjustRightInd/>
        <w:snapToGrid/>
        <w:spacing w:line="560" w:lineRule="exact"/>
        <w:ind w:firstLine="64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 xml:space="preserve">绩效自评的结果应用，既是开展绩效评价工作的基本前提，又是加强财政支出管理、增强资金绩效理念、合理配置公共资源、优化财政支出结构、强化资金管理水平、提高资金使用效益的重要手段。为使绩效评价结果得到合理应用，将此次绩效评价结果作为以后年度建设资金分配的重要依据。绩效评价是对效果的评价，评价结果直接反应项目实施的效益。评价结果优秀并绩效突出的：对于实施过程评价的项目，财政部门要在安排该项目后续资金时给予优先保障；对于完成结果评价的项目，财政部门要在安排该部门其他项目资金时给予综合考虑。评价结果为不合格的：对于实施过程评价的项目，财政部门要及时提出整改意见，整改期间暂停已安排资金的拨款或支付，未按要求落实整改的，要会同有关部门向同级人民政府提出暂停该项目实施的建议，由同级人民政府确定该项目是否继续实施；对于完成结果评价的项目，在安排该部门新增项目资金时，应从紧考虑，并加强项目前期论证和综合分析，以确保项目资金使用的安全有效。                                          </w:t>
      </w:r>
    </w:p>
    <w:p>
      <w:pPr>
        <w:pStyle w:val="17"/>
        <w:keepNext w:val="0"/>
        <w:keepLines w:val="0"/>
        <w:pageBreakBefore w:val="0"/>
        <w:widowControl w:val="0"/>
        <w:kinsoku/>
        <w:overflowPunct/>
        <w:topLinePunct w:val="0"/>
        <w:autoSpaceDN/>
        <w:bidi w:val="0"/>
        <w:adjustRightInd/>
        <w:snapToGrid/>
        <w:spacing w:line="560" w:lineRule="exact"/>
        <w:ind w:firstLine="64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该项目结果应用：一是将自评结果报送县财政局及地区财政局，根据绩效自评结果作为下一年度资金安排参考。二是今后我单位会注重结果导向、强调成本效益、硬化责任约束，不断加强绩效管理队伍建设，提升业务素质，提高预算管理水平和政策实施效果，实现预算和绩效管理一体化，着力提高财政资源配置效率和使用效益，全面提升我单位公共服务水平。</w:t>
      </w:r>
    </w:p>
    <w:p>
      <w:pPr>
        <w:pStyle w:val="17"/>
        <w:keepNext w:val="0"/>
        <w:keepLines w:val="0"/>
        <w:pageBreakBefore w:val="0"/>
        <w:widowControl w:val="0"/>
        <w:kinsoku/>
        <w:overflowPunct/>
        <w:topLinePunct w:val="0"/>
        <w:autoSpaceDN/>
        <w:bidi w:val="0"/>
        <w:adjustRightInd/>
        <w:snapToGrid/>
        <w:spacing w:line="560" w:lineRule="exact"/>
        <w:ind w:firstLine="64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本项目在本年度实施过程中，严格按照衔接补助资金管理办法，部门实行监督管理制度和项目负责人终生追责制等管理方法，夯实各级部门职责，对被评价项目的绩效情况、完成程度和存在的问题与建议加以综合分析，建立评价结果在部门预算安排中的激励与约束机制，逐步发挥绩效评价工作的应有作用。</w:t>
      </w:r>
    </w:p>
    <w:p>
      <w:pPr>
        <w:pStyle w:val="17"/>
        <w:keepNext w:val="0"/>
        <w:keepLines w:val="0"/>
        <w:pageBreakBefore w:val="0"/>
        <w:widowControl w:val="0"/>
        <w:kinsoku/>
        <w:overflowPunct/>
        <w:topLinePunct w:val="0"/>
        <w:autoSpaceDN/>
        <w:bidi w:val="0"/>
        <w:adjustRightInd/>
        <w:snapToGrid/>
        <w:spacing w:line="560" w:lineRule="exact"/>
        <w:ind w:firstLine="640"/>
        <w:textAlignment w:val="auto"/>
        <w:rPr>
          <w:rFonts w:hint="eastAsia" w:ascii="方正楷体_GBK" w:hAnsi="方正楷体_GBK" w:eastAsia="方正楷体_GBK" w:cs="方正楷体_GBK"/>
          <w:b/>
          <w:bCs/>
          <w:color w:val="000000"/>
          <w:kern w:val="2"/>
          <w:sz w:val="32"/>
          <w:szCs w:val="32"/>
          <w:lang w:val="en-US" w:eastAsia="zh-CN" w:bidi="ar-SA"/>
        </w:rPr>
      </w:pPr>
      <w:r>
        <w:rPr>
          <w:rFonts w:hint="eastAsia" w:ascii="方正楷体_GBK" w:hAnsi="方正楷体_GBK" w:eastAsia="方正楷体_GBK" w:cs="方正楷体_GBK"/>
          <w:b/>
          <w:bCs/>
          <w:color w:val="000000"/>
          <w:kern w:val="2"/>
          <w:sz w:val="32"/>
          <w:szCs w:val="32"/>
          <w:lang w:val="en-US" w:eastAsia="zh-CN" w:bidi="ar-SA"/>
        </w:rPr>
        <w:t>（三）对二级指标权重(分值)分配情况进行说明，赋权的方法或者原则</w:t>
      </w:r>
    </w:p>
    <w:p>
      <w:pPr>
        <w:pStyle w:val="17"/>
        <w:keepNext w:val="0"/>
        <w:keepLines w:val="0"/>
        <w:pageBreakBefore w:val="0"/>
        <w:widowControl w:val="0"/>
        <w:kinsoku/>
        <w:overflowPunct/>
        <w:topLinePunct w:val="0"/>
        <w:autoSpaceDN/>
        <w:bidi w:val="0"/>
        <w:adjustRightInd/>
        <w:snapToGrid/>
        <w:spacing w:line="560" w:lineRule="exact"/>
        <w:ind w:firstLine="64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绩效评价指标体系中各指标的权重和分值由本项目绩效评价小组根据绩效评价原理和评价需求，在调研基础上，考虑本项目绩效评价的侧重点和关键环节，依据指标的重要性产生，并经充分讨论后，报绩效评价小组进行审查，根据审查意见，对相关指标权重和分值调整后确定。</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left"/>
        <w:textAlignment w:val="auto"/>
        <w:rPr>
          <w:rFonts w:hint="eastAsia" w:ascii="方正黑体_GBK" w:hAnsi="方正黑体_GBK" w:eastAsia="方正黑体_GBK" w:cs="方正黑体_GBK"/>
          <w:b/>
          <w:color w:val="000000"/>
          <w:sz w:val="32"/>
          <w:szCs w:val="32"/>
          <w:lang w:val="en-US" w:eastAsia="zh-CN"/>
        </w:rPr>
      </w:pPr>
      <w:r>
        <w:rPr>
          <w:rFonts w:hint="eastAsia" w:ascii="方正黑体_GBK" w:hAnsi="方正黑体_GBK" w:eastAsia="方正黑体_GBK" w:cs="方正黑体_GBK"/>
          <w:b/>
          <w:color w:val="000000"/>
          <w:sz w:val="32"/>
          <w:szCs w:val="32"/>
          <w:lang w:val="en-US" w:eastAsia="zh-CN"/>
        </w:rPr>
        <w:t>七、绩效评价工作有关说明</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单位成立了项目绩效评价工作小组，项目组长为</w:t>
      </w:r>
      <w:r>
        <w:rPr>
          <w:rFonts w:hint="eastAsia" w:ascii="方正仿宋_GBK" w:hAnsi="方正仿宋_GBK" w:eastAsia="方正仿宋_GBK" w:cs="方正仿宋_GBK"/>
          <w:sz w:val="32"/>
          <w:szCs w:val="32"/>
          <w:lang w:val="en-US" w:eastAsia="zh-CN"/>
        </w:rPr>
        <w:t>文雄</w:t>
      </w:r>
      <w:r>
        <w:rPr>
          <w:rFonts w:hint="eastAsia" w:ascii="方正仿宋_GBK" w:hAnsi="方正仿宋_GBK" w:eastAsia="方正仿宋_GBK" w:cs="方正仿宋_GBK"/>
          <w:color w:val="000000"/>
          <w:kern w:val="2"/>
          <w:sz w:val="32"/>
          <w:szCs w:val="32"/>
          <w:lang w:val="en-US" w:eastAsia="zh-CN" w:bidi="ar-SA"/>
        </w:rPr>
        <w:t>，主要负责制定项目评价方案。项目成员为戴玉祥，主要负责收集核查项目资料、现场实地调查资料、绩效的监控情况资料、最终形成自评报告的初稿。</w:t>
      </w:r>
    </w:p>
    <w:p>
      <w:pPr>
        <w:pStyle w:val="17"/>
        <w:keepNext w:val="0"/>
        <w:keepLines w:val="0"/>
        <w:pageBreakBefore w:val="0"/>
        <w:widowControl w:val="0"/>
        <w:kinsoku/>
        <w:overflowPunct/>
        <w:topLinePunct w:val="0"/>
        <w:autoSpaceDN/>
        <w:bidi w:val="0"/>
        <w:adjustRightInd/>
        <w:snapToGrid/>
        <w:spacing w:line="560" w:lineRule="exact"/>
        <w:textAlignment w:val="auto"/>
        <w:rPr>
          <w:rFonts w:hint="eastAsia" w:ascii="仿宋_GB2312" w:hAnsi="黑体" w:eastAsia="仿宋_GB2312" w:cstheme="minorBidi"/>
          <w:color w:val="000000"/>
          <w:kern w:val="2"/>
          <w:sz w:val="32"/>
          <w:szCs w:val="32"/>
          <w:lang w:val="en-US" w:eastAsia="zh-CN" w:bidi="ar-SA"/>
        </w:rPr>
      </w:pPr>
    </w:p>
    <w:p>
      <w:pPr>
        <w:pStyle w:val="4"/>
        <w:keepNext w:val="0"/>
        <w:keepLines w:val="0"/>
        <w:pageBreakBefore w:val="0"/>
        <w:widowControl w:val="0"/>
        <w:numPr>
          <w:ilvl w:val="0"/>
          <w:numId w:val="0"/>
        </w:numPr>
        <w:kinsoku/>
        <w:overflowPunct/>
        <w:topLinePunct w:val="0"/>
        <w:autoSpaceDN/>
        <w:bidi w:val="0"/>
        <w:adjustRightInd/>
        <w:snapToGrid/>
        <w:spacing w:line="560" w:lineRule="exact"/>
        <w:ind w:leftChars="200"/>
        <w:textAlignment w:val="auto"/>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HYb2gj">
    <w:altName w:val="宋体"/>
    <w:panose1 w:val="00000000000000000000"/>
    <w:charset w:val="86"/>
    <w:family w:val="modern"/>
    <w:pitch w:val="default"/>
    <w:sig w:usb0="00000000" w:usb1="00000000" w:usb2="00000010" w:usb3="00000000" w:csb0="00040000" w:csb1="0000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黑体_GBK">
    <w:altName w:val="微软雅黑"/>
    <w:panose1 w:val="02000000000000000000"/>
    <w:charset w:val="86"/>
    <w:family w:val="auto"/>
    <w:pitch w:val="default"/>
    <w:sig w:usb0="00000000" w:usb1="00000000" w:usb2="00000000" w:usb3="00000000" w:csb0="00040000" w:csb1="00000000"/>
  </w:font>
  <w:font w:name="方正楷体_GBK">
    <w:altName w:val="微软雅黑"/>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D90F69C"/>
    <w:multiLevelType w:val="singleLevel"/>
    <w:tmpl w:val="8D90F69C"/>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U0YTY3NzE3ZmQ4Zjc1OWI1MzllYTJmNmQwMTJhNGQifQ=="/>
  </w:docVars>
  <w:rsids>
    <w:rsidRoot w:val="00F20A26"/>
    <w:rsid w:val="001839C0"/>
    <w:rsid w:val="003E0379"/>
    <w:rsid w:val="0055176E"/>
    <w:rsid w:val="00F20A26"/>
    <w:rsid w:val="03920B3D"/>
    <w:rsid w:val="059A592B"/>
    <w:rsid w:val="066E7ECF"/>
    <w:rsid w:val="08EC01DC"/>
    <w:rsid w:val="0A203F80"/>
    <w:rsid w:val="0E2C798C"/>
    <w:rsid w:val="0F0472C7"/>
    <w:rsid w:val="129064AA"/>
    <w:rsid w:val="12A245A9"/>
    <w:rsid w:val="14653122"/>
    <w:rsid w:val="15C10B6C"/>
    <w:rsid w:val="1615055B"/>
    <w:rsid w:val="164A6BD5"/>
    <w:rsid w:val="17DE15D0"/>
    <w:rsid w:val="17DE5DBD"/>
    <w:rsid w:val="17F82735"/>
    <w:rsid w:val="187A025D"/>
    <w:rsid w:val="1937751C"/>
    <w:rsid w:val="1ABF7AF2"/>
    <w:rsid w:val="1B4D6D35"/>
    <w:rsid w:val="1FDE48A3"/>
    <w:rsid w:val="20183F4F"/>
    <w:rsid w:val="22084AEF"/>
    <w:rsid w:val="22D13B74"/>
    <w:rsid w:val="22E936F1"/>
    <w:rsid w:val="29EC0C5C"/>
    <w:rsid w:val="2B1E4C6A"/>
    <w:rsid w:val="2D5F13D7"/>
    <w:rsid w:val="2E51749D"/>
    <w:rsid w:val="31A02A0C"/>
    <w:rsid w:val="31AE0AA6"/>
    <w:rsid w:val="386D751C"/>
    <w:rsid w:val="3A667D78"/>
    <w:rsid w:val="3C932C2F"/>
    <w:rsid w:val="3CF55DB1"/>
    <w:rsid w:val="41871287"/>
    <w:rsid w:val="420B0967"/>
    <w:rsid w:val="47207E1C"/>
    <w:rsid w:val="495B2DDE"/>
    <w:rsid w:val="4BA819CC"/>
    <w:rsid w:val="54575230"/>
    <w:rsid w:val="55DA66E7"/>
    <w:rsid w:val="575664F2"/>
    <w:rsid w:val="5CEF0BA5"/>
    <w:rsid w:val="5D6E62C0"/>
    <w:rsid w:val="5DA81C65"/>
    <w:rsid w:val="614F4951"/>
    <w:rsid w:val="647906B5"/>
    <w:rsid w:val="651A36AB"/>
    <w:rsid w:val="6566758C"/>
    <w:rsid w:val="6AC53C59"/>
    <w:rsid w:val="6D0E2A64"/>
    <w:rsid w:val="71A83BF0"/>
    <w:rsid w:val="7415710F"/>
    <w:rsid w:val="7B580975"/>
    <w:rsid w:val="7E984E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4"/>
    <w:qFormat/>
    <w:uiPriority w:val="9"/>
    <w:pPr>
      <w:keepNext/>
      <w:keepLines/>
      <w:spacing w:before="340" w:after="330" w:line="578" w:lineRule="auto"/>
      <w:jc w:val="left"/>
      <w:outlineLvl w:val="0"/>
    </w:pPr>
    <w:rPr>
      <w:rFonts w:ascii="Times New Roman" w:hAnsi="Times New Roman" w:cs="Times New Roman"/>
      <w:b/>
      <w:bCs/>
      <w:kern w:val="44"/>
      <w:sz w:val="32"/>
      <w:szCs w:val="44"/>
    </w:rPr>
  </w:style>
  <w:style w:type="paragraph" w:styleId="6">
    <w:name w:val="heading 2"/>
    <w:basedOn w:val="1"/>
    <w:next w:val="1"/>
    <w:qFormat/>
    <w:uiPriority w:val="0"/>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2">
    <w:name w:val="heading 3"/>
    <w:basedOn w:val="1"/>
    <w:next w:val="1"/>
    <w:qFormat/>
    <w:uiPriority w:val="9"/>
    <w:pPr>
      <w:keepNext/>
      <w:keepLines/>
      <w:spacing w:before="260" w:after="260" w:line="416" w:lineRule="auto"/>
      <w:jc w:val="left"/>
      <w:outlineLvl w:val="2"/>
    </w:pPr>
    <w:rPr>
      <w:rFonts w:cs="Times New Roman"/>
      <w:bCs/>
      <w:kern w:val="0"/>
      <w:szCs w:val="32"/>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4">
    <w:name w:val="Body Text First Indent 2"/>
    <w:basedOn w:val="5"/>
    <w:unhideWhenUsed/>
    <w:qFormat/>
    <w:uiPriority w:val="0"/>
    <w:pPr>
      <w:ind w:firstLine="420"/>
    </w:pPr>
  </w:style>
  <w:style w:type="paragraph" w:styleId="5">
    <w:name w:val="Body Text Indent"/>
    <w:basedOn w:val="1"/>
    <w:unhideWhenUsed/>
    <w:qFormat/>
    <w:uiPriority w:val="99"/>
    <w:pPr>
      <w:spacing w:after="120"/>
      <w:ind w:left="420" w:leftChars="200"/>
    </w:pPr>
    <w:rPr>
      <w:rFonts w:cs="Times New Roman"/>
      <w:kern w:val="0"/>
      <w:szCs w:val="20"/>
    </w:rPr>
  </w:style>
  <w:style w:type="paragraph" w:styleId="7">
    <w:name w:val="annotation text"/>
    <w:basedOn w:val="1"/>
    <w:unhideWhenUsed/>
    <w:qFormat/>
    <w:uiPriority w:val="99"/>
    <w:rPr>
      <w:rFonts w:cs="Times New Roman"/>
      <w:kern w:val="0"/>
      <w:sz w:val="20"/>
      <w:szCs w:val="20"/>
    </w:rPr>
  </w:style>
  <w:style w:type="paragraph" w:styleId="8">
    <w:name w:val="Body Text"/>
    <w:basedOn w:val="1"/>
    <w:qFormat/>
    <w:uiPriority w:val="0"/>
    <w:pPr>
      <w:spacing w:before="240" w:after="240" w:line="360" w:lineRule="auto"/>
      <w:jc w:val="center"/>
    </w:pPr>
    <w:rPr>
      <w:b/>
      <w:sz w:val="44"/>
    </w:rPr>
  </w:style>
  <w:style w:type="paragraph" w:styleId="9">
    <w:name w:val="Plain Text"/>
    <w:basedOn w:val="1"/>
    <w:semiHidden/>
    <w:unhideWhenUsed/>
    <w:qFormat/>
    <w:uiPriority w:val="99"/>
    <w:rPr>
      <w:rFonts w:ascii="宋体" w:hAnsi="Courier New"/>
    </w:rPr>
  </w:style>
  <w:style w:type="paragraph" w:styleId="10">
    <w:name w:val="Body Text Indent 2"/>
    <w:basedOn w:val="1"/>
    <w:qFormat/>
    <w:uiPriority w:val="0"/>
    <w:pPr>
      <w:ind w:firstLine="280"/>
    </w:pPr>
    <w:rPr>
      <w:rFonts w:ascii="仿宋_GB2312" w:hAnsi="仿宋_GB2312" w:eastAsia="仿宋_GB2312"/>
      <w:kern w:val="1"/>
      <w:sz w:val="28"/>
    </w:rPr>
  </w:style>
  <w:style w:type="paragraph" w:styleId="11">
    <w:name w:val="footer"/>
    <w:basedOn w:val="1"/>
    <w:unhideWhenUsed/>
    <w:qFormat/>
    <w:uiPriority w:val="99"/>
    <w:pPr>
      <w:tabs>
        <w:tab w:val="center" w:pos="4153"/>
        <w:tab w:val="right" w:pos="8306"/>
      </w:tabs>
      <w:snapToGrid w:val="0"/>
      <w:jc w:val="left"/>
    </w:pPr>
    <w:rPr>
      <w:rFonts w:cs="Times New Roman"/>
      <w:kern w:val="0"/>
      <w:sz w:val="18"/>
      <w:szCs w:val="18"/>
    </w:rPr>
  </w:style>
  <w:style w:type="paragraph" w:styleId="12">
    <w:name w:val="header"/>
    <w:basedOn w:val="1"/>
    <w:unhideWhenUsed/>
    <w:qFormat/>
    <w:uiPriority w:val="99"/>
    <w:pPr>
      <w:pBdr>
        <w:bottom w:val="single" w:color="auto" w:sz="6" w:space="1"/>
      </w:pBdr>
      <w:tabs>
        <w:tab w:val="center" w:pos="4153"/>
        <w:tab w:val="right" w:pos="8306"/>
      </w:tabs>
      <w:snapToGrid w:val="0"/>
      <w:jc w:val="center"/>
    </w:pPr>
    <w:rPr>
      <w:rFonts w:cs="Times New Roman"/>
      <w:kern w:val="0"/>
      <w:sz w:val="18"/>
      <w:szCs w:val="18"/>
    </w:rPr>
  </w:style>
  <w:style w:type="character" w:styleId="15">
    <w:name w:val="Strong"/>
    <w:basedOn w:val="14"/>
    <w:qFormat/>
    <w:uiPriority w:val="0"/>
    <w:rPr>
      <w:b/>
      <w:bCs/>
    </w:rPr>
  </w:style>
  <w:style w:type="paragraph" w:customStyle="1" w:styleId="16">
    <w:name w:val="Default"/>
    <w:next w:val="1"/>
    <w:qFormat/>
    <w:uiPriority w:val="0"/>
    <w:pPr>
      <w:widowControl w:val="0"/>
      <w:autoSpaceDE w:val="0"/>
      <w:autoSpaceDN w:val="0"/>
      <w:adjustRightInd w:val="0"/>
    </w:pPr>
    <w:rPr>
      <w:rFonts w:ascii="HYb2gj" w:hAnsi="Times New Roman" w:eastAsia="HYb2gj" w:cs="HYb2gj"/>
      <w:color w:val="000000"/>
      <w:sz w:val="24"/>
      <w:szCs w:val="24"/>
      <w:lang w:val="en-US" w:eastAsia="zh-CN" w:bidi="ar-SA"/>
    </w:rPr>
  </w:style>
  <w:style w:type="paragraph" w:customStyle="1" w:styleId="17">
    <w:name w:val="闻政-正文段落文字"/>
    <w:basedOn w:val="1"/>
    <w:qFormat/>
    <w:uiPriority w:val="3"/>
    <w:pPr>
      <w:spacing w:line="500" w:lineRule="exact"/>
      <w:ind w:firstLine="200"/>
    </w:pPr>
    <w:rPr>
      <w:rFonts w:ascii="Times New Roman" w:hAnsi="Times New Roman" w:cs="Times New Roman"/>
      <w:kern w:val="0"/>
      <w:szCs w:val="28"/>
    </w:rPr>
  </w:style>
  <w:style w:type="paragraph" w:customStyle="1" w:styleId="18">
    <w:name w:val="闻政-正文二级标题"/>
    <w:basedOn w:val="6"/>
    <w:next w:val="17"/>
    <w:qFormat/>
    <w:uiPriority w:val="3"/>
    <w:pPr>
      <w:spacing w:before="120" w:after="60" w:line="500" w:lineRule="exact"/>
      <w:ind w:left="200" w:leftChars="200" w:firstLine="0" w:firstLineChars="0"/>
    </w:pPr>
    <w:rPr>
      <w:rFonts w:ascii="Times New Roman" w:hAnsi="Times New Roman"/>
      <w:sz w:val="28"/>
    </w:rPr>
  </w:style>
  <w:style w:type="paragraph" w:customStyle="1" w:styleId="19">
    <w:name w:val="列表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52</Words>
  <Characters>301</Characters>
  <Lines>2</Lines>
  <Paragraphs>1</Paragraphs>
  <TotalTime>2</TotalTime>
  <ScaleCrop>false</ScaleCrop>
  <LinksUpToDate>false</LinksUpToDate>
  <CharactersWithSpaces>352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2019-10-08T05:02:00Z</dcterms:created>
  <dc:creator>姜波</dc:creator>
  <cp:lastModifiedBy>Administrator</cp:lastModifiedBy>
  <dcterms:modified xsi:type="dcterms:W3CDTF">2025-08-15T11:22:07Z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142E5A9C18F84525B783F38126DF44B5_13</vt:lpwstr>
  </property>
</Properties>
</file>