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tabs>
          <w:tab w:val="left" w:pos="1680"/>
        </w:tabs>
        <w:kinsoku/>
        <w:wordWrap/>
        <w:overflowPunct/>
        <w:topLinePunct w:val="0"/>
        <w:autoSpaceDE/>
        <w:autoSpaceDN/>
        <w:bidi w:val="0"/>
        <w:spacing w:before="120" w:after="120" w:line="560" w:lineRule="exact"/>
        <w:jc w:val="center"/>
        <w:textAlignment w:val="auto"/>
        <w:outlineLvl w:val="0"/>
        <w:rPr>
          <w:rFonts w:hint="eastAsia" w:ascii="方正小标宋_GBK" w:hAnsi="方正小标宋_GBK" w:eastAsia="方正小标宋_GBK" w:cs="方正小标宋_GBK"/>
          <w:b/>
          <w:bCs/>
          <w:color w:val="000000"/>
          <w:sz w:val="44"/>
          <w:szCs w:val="44"/>
          <w:lang w:eastAsia="zh-CN"/>
        </w:rPr>
      </w:pPr>
      <w:r>
        <w:rPr>
          <w:rFonts w:hint="eastAsia" w:ascii="方正小标宋_GBK" w:hAnsi="方正小标宋_GBK" w:eastAsia="方正小标宋_GBK" w:cs="方正小标宋_GBK"/>
          <w:b/>
          <w:bCs/>
          <w:color w:val="000000"/>
          <w:sz w:val="44"/>
          <w:szCs w:val="44"/>
          <w:lang w:eastAsia="zh-CN"/>
        </w:rPr>
        <w:t>叶城县伯西热克乡博亚克恰喀（14）村示范村乡村建设项目支出自评总结报告</w:t>
      </w:r>
    </w:p>
    <w:p>
      <w:pPr>
        <w:pageBreakBefore w:val="0"/>
        <w:widowControl w:val="0"/>
        <w:kinsoku/>
        <w:wordWrap/>
        <w:overflowPunct/>
        <w:topLinePunct w:val="0"/>
        <w:autoSpaceDE/>
        <w:autoSpaceDN/>
        <w:bidi w:val="0"/>
        <w:spacing w:line="560" w:lineRule="exact"/>
        <w:ind w:firstLine="0" w:firstLineChars="0"/>
        <w:jc w:val="center"/>
        <w:textAlignment w:val="auto"/>
        <w:rPr>
          <w:rFonts w:hint="eastAsia" w:ascii="Times New Roman" w:hAnsi="Times New Roman" w:eastAsia="方正仿宋_GBK" w:cs="方正仿宋_GBK"/>
          <w:b/>
          <w:color w:val="auto"/>
          <w:kern w:val="0"/>
          <w:sz w:val="32"/>
          <w:szCs w:val="32"/>
          <w:highlight w:val="none"/>
          <w:lang w:bidi="en-US"/>
        </w:rPr>
      </w:pPr>
    </w:p>
    <w:p>
      <w:pPr>
        <w:pStyle w:val="2"/>
        <w:pageBreakBefore w:val="0"/>
        <w:widowControl w:val="0"/>
        <w:kinsoku/>
        <w:wordWrap/>
        <w:overflowPunct/>
        <w:topLinePunct w:val="0"/>
        <w:autoSpaceDE/>
        <w:autoSpaceDN/>
        <w:bidi w:val="0"/>
        <w:spacing w:line="560" w:lineRule="exact"/>
        <w:textAlignment w:val="auto"/>
        <w:rPr>
          <w:rFonts w:hint="eastAsia" w:ascii="Times New Roman" w:hAnsi="Times New Roman" w:eastAsia="方正仿宋_GBK" w:cs="方正仿宋_GBK"/>
          <w:b/>
          <w:color w:val="auto"/>
          <w:kern w:val="0"/>
          <w:sz w:val="32"/>
          <w:szCs w:val="32"/>
          <w:highlight w:val="none"/>
          <w:lang w:bidi="en-US"/>
        </w:rPr>
      </w:pPr>
    </w:p>
    <w:p>
      <w:pPr>
        <w:pageBreakBefore w:val="0"/>
        <w:widowControl w:val="0"/>
        <w:kinsoku/>
        <w:overflowPunct/>
        <w:topLinePunct w:val="0"/>
        <w:autoSpaceDN/>
        <w:bidi w:val="0"/>
        <w:spacing w:line="560" w:lineRule="exact"/>
        <w:textAlignment w:val="auto"/>
        <w:rPr>
          <w:rFonts w:hint="eastAsia"/>
          <w:color w:val="auto"/>
          <w:highlight w:val="none"/>
        </w:rPr>
      </w:pPr>
    </w:p>
    <w:p>
      <w:pPr>
        <w:pStyle w:val="4"/>
        <w:pageBreakBefore w:val="0"/>
        <w:widowControl w:val="0"/>
        <w:kinsoku/>
        <w:overflowPunct/>
        <w:topLinePunct w:val="0"/>
        <w:autoSpaceDN/>
        <w:bidi w:val="0"/>
        <w:spacing w:line="560" w:lineRule="exact"/>
        <w:textAlignment w:val="auto"/>
        <w:rPr>
          <w:rFonts w:hint="eastAsia" w:eastAsiaTheme="minorEastAsia"/>
          <w:lang w:eastAsia="zh-CN"/>
        </w:rPr>
      </w:pPr>
    </w:p>
    <w:p>
      <w:pPr>
        <w:pStyle w:val="4"/>
        <w:pageBreakBefore w:val="0"/>
        <w:widowControl w:val="0"/>
        <w:kinsoku/>
        <w:overflowPunct/>
        <w:topLinePunct w:val="0"/>
        <w:autoSpaceDN/>
        <w:bidi w:val="0"/>
        <w:spacing w:line="560" w:lineRule="exact"/>
        <w:textAlignment w:val="auto"/>
        <w:rPr>
          <w:rFonts w:hint="eastAsia" w:eastAsiaTheme="minorEastAsia"/>
          <w:lang w:eastAsia="zh-CN"/>
        </w:rPr>
      </w:pPr>
    </w:p>
    <w:p>
      <w:pPr>
        <w:pStyle w:val="4"/>
        <w:pageBreakBefore w:val="0"/>
        <w:widowControl w:val="0"/>
        <w:kinsoku/>
        <w:overflowPunct/>
        <w:topLinePunct w:val="0"/>
        <w:autoSpaceDN/>
        <w:bidi w:val="0"/>
        <w:spacing w:line="560" w:lineRule="exact"/>
        <w:textAlignment w:val="auto"/>
        <w:rPr>
          <w:rFonts w:hint="eastAsia" w:eastAsiaTheme="minorEastAsia"/>
          <w:lang w:eastAsia="zh-CN"/>
        </w:rPr>
      </w:pPr>
    </w:p>
    <w:p>
      <w:pPr>
        <w:pageBreakBefore w:val="0"/>
        <w:widowControl w:val="0"/>
        <w:kinsoku/>
        <w:wordWrap/>
        <w:overflowPunct/>
        <w:topLinePunct w:val="0"/>
        <w:autoSpaceDE/>
        <w:autoSpaceDN/>
        <w:bidi w:val="0"/>
        <w:spacing w:line="560" w:lineRule="exact"/>
        <w:textAlignment w:val="auto"/>
        <w:rPr>
          <w:rFonts w:hint="eastAsia"/>
          <w:color w:val="auto"/>
          <w:highlight w:val="none"/>
        </w:rPr>
      </w:pPr>
    </w:p>
    <w:p>
      <w:pPr>
        <w:pageBreakBefore w:val="0"/>
        <w:widowControl w:val="0"/>
        <w:kinsoku/>
        <w:wordWrap/>
        <w:overflowPunct/>
        <w:topLinePunct w:val="0"/>
        <w:autoSpaceDE/>
        <w:autoSpaceDN/>
        <w:bidi w:val="0"/>
        <w:spacing w:line="560" w:lineRule="exact"/>
        <w:ind w:firstLine="0" w:firstLineChars="0"/>
        <w:jc w:val="both"/>
        <w:textAlignment w:val="auto"/>
        <w:rPr>
          <w:rFonts w:hint="eastAsia" w:ascii="Times New Roman" w:hAnsi="Times New Roman" w:eastAsia="方正仿宋_GBK" w:cs="方正仿宋_GBK"/>
          <w:color w:val="auto"/>
          <w:kern w:val="0"/>
          <w:sz w:val="32"/>
          <w:szCs w:val="32"/>
          <w:highlight w:val="none"/>
          <w:lang w:bidi="en-US"/>
        </w:rPr>
      </w:pPr>
    </w:p>
    <w:p>
      <w:pPr>
        <w:keepNext w:val="0"/>
        <w:keepLines w:val="0"/>
        <w:pageBreakBefore w:val="0"/>
        <w:widowControl w:val="0"/>
        <w:numPr>
          <w:ilvl w:val="0"/>
          <w:numId w:val="0"/>
        </w:numPr>
        <w:kinsoku/>
        <w:overflowPunct/>
        <w:topLinePunct w:val="0"/>
        <w:autoSpaceDN/>
        <w:bidi w:val="0"/>
        <w:adjustRightInd/>
        <w:snapToGrid/>
        <w:spacing w:line="560" w:lineRule="exact"/>
        <w:jc w:val="left"/>
        <w:textAlignment w:val="auto"/>
        <w:rPr>
          <w:rFonts w:hint="eastAsia" w:ascii="仿宋_GB2312" w:hAnsi="黑体" w:eastAsia="仿宋_GB2312" w:cstheme="minorBidi"/>
          <w:color w:val="000000"/>
          <w:kern w:val="2"/>
          <w:sz w:val="32"/>
          <w:szCs w:val="32"/>
          <w:lang w:val="en-US" w:eastAsia="zh-CN" w:bidi="ar-SA"/>
        </w:rPr>
      </w:pPr>
    </w:p>
    <w:p>
      <w:pPr>
        <w:spacing w:line="700" w:lineRule="exact"/>
        <w:jc w:val="left"/>
        <w:rPr>
          <w:rFonts w:hint="eastAsia" w:ascii="方正小标宋_GBK" w:hAnsi="方正小标宋_GBK" w:eastAsia="方正小标宋_GBK" w:cs="方正小标宋_GBK"/>
          <w:color w:val="000000"/>
          <w:kern w:val="2"/>
          <w:sz w:val="32"/>
          <w:szCs w:val="32"/>
          <w:lang w:val="en-US" w:eastAsia="zh-CN" w:bidi="ar-SA"/>
        </w:rPr>
      </w:pPr>
      <w:r>
        <w:rPr>
          <w:rFonts w:hint="eastAsia" w:ascii="仿宋_GB2312" w:hAnsi="黑体" w:eastAsia="仿宋_GB2312" w:cstheme="minorBidi"/>
          <w:color w:val="000000"/>
          <w:kern w:val="2"/>
          <w:sz w:val="32"/>
          <w:szCs w:val="32"/>
          <w:lang w:val="en-US" w:eastAsia="zh-CN" w:bidi="ar-SA"/>
        </w:rPr>
        <w:t xml:space="preserve">   </w:t>
      </w:r>
      <w:r>
        <w:rPr>
          <w:rFonts w:hint="eastAsia" w:ascii="方正小标宋_GBK" w:hAnsi="方正小标宋_GBK" w:eastAsia="方正小标宋_GBK" w:cs="方正小标宋_GBK"/>
          <w:color w:val="000000"/>
          <w:kern w:val="2"/>
          <w:sz w:val="32"/>
          <w:szCs w:val="32"/>
          <w:lang w:val="en-US" w:eastAsia="zh-CN" w:bidi="ar-SA"/>
        </w:rPr>
        <w:t xml:space="preserve"> 项目名称：叶城县伯西热克乡博亚克恰喀（14）村示范村乡村建设项目</w:t>
      </w:r>
    </w:p>
    <w:p>
      <w:pPr>
        <w:spacing w:line="700" w:lineRule="exact"/>
        <w:jc w:val="left"/>
        <w:rPr>
          <w:rFonts w:hint="eastAsia" w:ascii="方正小标宋_GBK" w:hAnsi="方正小标宋_GBK" w:eastAsia="方正小标宋_GBK" w:cs="方正小标宋_GBK"/>
          <w:color w:val="000000"/>
          <w:kern w:val="2"/>
          <w:sz w:val="32"/>
          <w:szCs w:val="32"/>
          <w:lang w:val="en-US" w:eastAsia="zh-CN" w:bidi="ar-SA"/>
        </w:rPr>
      </w:pPr>
      <w:r>
        <w:rPr>
          <w:rFonts w:hint="eastAsia" w:ascii="方正小标宋_GBK" w:hAnsi="方正小标宋_GBK" w:eastAsia="方正小标宋_GBK" w:cs="方正小标宋_GBK"/>
          <w:color w:val="000000"/>
          <w:kern w:val="2"/>
          <w:sz w:val="32"/>
          <w:szCs w:val="32"/>
          <w:lang w:val="en-US" w:eastAsia="zh-CN" w:bidi="ar-SA"/>
        </w:rPr>
        <w:t xml:space="preserve">    实施单位：叶城县伯西热克乡人民政府</w:t>
      </w:r>
    </w:p>
    <w:p>
      <w:pPr>
        <w:spacing w:line="700" w:lineRule="exact"/>
        <w:ind w:firstLine="640" w:firstLineChars="200"/>
        <w:jc w:val="left"/>
        <w:rPr>
          <w:rFonts w:hint="eastAsia" w:ascii="方正小标宋_GBK" w:hAnsi="方正小标宋_GBK" w:eastAsia="方正小标宋_GBK" w:cs="方正小标宋_GBK"/>
          <w:color w:val="000000"/>
          <w:kern w:val="2"/>
          <w:sz w:val="32"/>
          <w:szCs w:val="32"/>
          <w:lang w:val="en-US" w:eastAsia="zh-CN" w:bidi="ar-SA"/>
        </w:rPr>
      </w:pPr>
      <w:r>
        <w:rPr>
          <w:rFonts w:hint="eastAsia" w:ascii="方正小标宋_GBK" w:hAnsi="方正小标宋_GBK" w:eastAsia="方正小标宋_GBK" w:cs="方正小标宋_GBK"/>
          <w:color w:val="000000"/>
          <w:kern w:val="2"/>
          <w:sz w:val="32"/>
          <w:szCs w:val="32"/>
          <w:lang w:val="en-US" w:eastAsia="zh-CN" w:bidi="ar-SA"/>
        </w:rPr>
        <w:t>主管部门：叶城县住房和城乡建设局</w:t>
      </w:r>
    </w:p>
    <w:p>
      <w:pPr>
        <w:spacing w:line="700" w:lineRule="exact"/>
        <w:ind w:firstLine="640" w:firstLineChars="200"/>
        <w:jc w:val="left"/>
        <w:rPr>
          <w:rFonts w:hint="eastAsia" w:ascii="方正小标宋_GBK" w:hAnsi="方正小标宋_GBK" w:eastAsia="方正小标宋_GBK" w:cs="方正小标宋_GBK"/>
          <w:color w:val="000000"/>
          <w:kern w:val="2"/>
          <w:sz w:val="32"/>
          <w:szCs w:val="32"/>
          <w:lang w:val="en-US" w:eastAsia="zh-CN" w:bidi="ar-SA"/>
        </w:rPr>
      </w:pPr>
      <w:r>
        <w:rPr>
          <w:rFonts w:hint="eastAsia" w:ascii="方正小标宋_GBK" w:hAnsi="方正小标宋_GBK" w:eastAsia="方正小标宋_GBK" w:cs="方正小标宋_GBK"/>
          <w:color w:val="000000"/>
          <w:kern w:val="2"/>
          <w:sz w:val="32"/>
          <w:szCs w:val="32"/>
          <w:lang w:val="en-US" w:eastAsia="zh-CN" w:bidi="ar-SA"/>
        </w:rPr>
        <w:t>项目负责人：文雄</w:t>
      </w:r>
    </w:p>
    <w:p>
      <w:pPr>
        <w:spacing w:line="700" w:lineRule="exact"/>
        <w:ind w:firstLine="640" w:firstLineChars="200"/>
        <w:jc w:val="left"/>
        <w:rPr>
          <w:rFonts w:hint="eastAsia" w:ascii="方正小标宋_GBK" w:hAnsi="方正小标宋_GBK" w:eastAsia="方正小标宋_GBK" w:cs="方正小标宋_GBK"/>
          <w:color w:val="000000"/>
          <w:kern w:val="2"/>
          <w:sz w:val="32"/>
          <w:szCs w:val="32"/>
          <w:lang w:val="en-US" w:eastAsia="zh-CN" w:bidi="ar-SA"/>
        </w:rPr>
      </w:pPr>
      <w:r>
        <w:rPr>
          <w:rFonts w:hint="eastAsia" w:ascii="方正小标宋_GBK" w:hAnsi="方正小标宋_GBK" w:eastAsia="方正小标宋_GBK" w:cs="方正小标宋_GBK"/>
          <w:color w:val="000000"/>
          <w:kern w:val="2"/>
          <w:sz w:val="32"/>
          <w:szCs w:val="32"/>
          <w:lang w:val="en-US" w:eastAsia="zh-CN" w:bidi="ar-SA"/>
        </w:rPr>
        <w:t>填报时间： 2024年1月</w:t>
      </w:r>
    </w:p>
    <w:p>
      <w:pPr>
        <w:spacing w:line="560" w:lineRule="exact"/>
        <w:ind w:firstLine="1200" w:firstLineChars="400"/>
        <w:jc w:val="left"/>
        <w:rPr>
          <w:rFonts w:hint="eastAsia" w:ascii="Times New Roman" w:hAnsi="Times New Roman" w:eastAsia="方正仿宋_GBK" w:cs="方正仿宋_GBK"/>
          <w:color w:val="auto"/>
          <w:kern w:val="0"/>
          <w:sz w:val="30"/>
          <w:szCs w:val="30"/>
          <w:lang w:bidi="en-US"/>
        </w:rPr>
      </w:pPr>
    </w:p>
    <w:p>
      <w:pPr>
        <w:pStyle w:val="8"/>
        <w:pageBreakBefore w:val="0"/>
        <w:widowControl w:val="0"/>
        <w:kinsoku/>
        <w:wordWrap/>
        <w:overflowPunct/>
        <w:topLinePunct w:val="0"/>
        <w:autoSpaceDE/>
        <w:autoSpaceDN/>
        <w:bidi w:val="0"/>
        <w:spacing w:line="560" w:lineRule="exact"/>
        <w:textAlignment w:val="auto"/>
        <w:rPr>
          <w:rFonts w:hint="eastAsia" w:ascii="Times New Roman" w:hAnsi="Times New Roman" w:eastAsia="方正仿宋_GBK" w:cs="方正仿宋_GBK"/>
          <w:lang w:eastAsia="zh-CN"/>
        </w:rPr>
      </w:pPr>
    </w:p>
    <w:p>
      <w:pPr>
        <w:pageBreakBefore w:val="0"/>
        <w:widowControl w:val="0"/>
        <w:kinsoku/>
        <w:overflowPunct/>
        <w:topLinePunct w:val="0"/>
        <w:autoSpaceDN/>
        <w:bidi w:val="0"/>
        <w:spacing w:line="560" w:lineRule="exact"/>
        <w:jc w:val="both"/>
        <w:textAlignment w:val="auto"/>
        <w:rPr>
          <w:rFonts w:hint="eastAsia" w:ascii="黑体" w:hAnsi="黑体" w:eastAsia="黑体"/>
          <w:b/>
          <w:bCs/>
          <w:color w:val="000000"/>
          <w:sz w:val="32"/>
          <w:szCs w:val="32"/>
          <w:lang w:eastAsia="zh-CN"/>
        </w:rPr>
      </w:pPr>
    </w:p>
    <w:p>
      <w:pPr>
        <w:pageBreakBefore w:val="0"/>
        <w:widowControl w:val="0"/>
        <w:kinsoku/>
        <w:overflowPunct/>
        <w:topLinePunct w:val="0"/>
        <w:autoSpaceDN/>
        <w:bidi w:val="0"/>
        <w:spacing w:line="560" w:lineRule="exact"/>
        <w:jc w:val="center"/>
        <w:textAlignment w:val="auto"/>
        <w:rPr>
          <w:rFonts w:hint="eastAsia" w:ascii="方正小标宋_GBK" w:hAnsi="方正小标宋_GBK" w:eastAsia="方正小标宋_GBK" w:cs="方正小标宋_GBK"/>
          <w:b/>
          <w:bCs/>
          <w:color w:val="000000"/>
          <w:sz w:val="44"/>
          <w:szCs w:val="44"/>
        </w:rPr>
      </w:pPr>
      <w:r>
        <w:rPr>
          <w:rFonts w:hint="eastAsia" w:ascii="方正小标宋_GBK" w:hAnsi="方正小标宋_GBK" w:eastAsia="方正小标宋_GBK" w:cs="方正小标宋_GBK"/>
          <w:b/>
          <w:bCs/>
          <w:color w:val="000000"/>
          <w:sz w:val="44"/>
          <w:szCs w:val="44"/>
          <w:lang w:val="en-US" w:eastAsia="zh-CN"/>
        </w:rPr>
        <w:t>叶城县伯西热克镇2023</w:t>
      </w:r>
      <w:r>
        <w:rPr>
          <w:rFonts w:hint="eastAsia" w:ascii="方正小标宋_GBK" w:hAnsi="方正小标宋_GBK" w:eastAsia="方正小标宋_GBK" w:cs="方正小标宋_GBK"/>
          <w:b/>
          <w:bCs/>
          <w:color w:val="000000"/>
          <w:sz w:val="44"/>
          <w:szCs w:val="44"/>
        </w:rPr>
        <w:t>年</w:t>
      </w:r>
      <w:r>
        <w:rPr>
          <w:rFonts w:hint="eastAsia" w:ascii="方正小标宋_GBK" w:hAnsi="方正小标宋_GBK" w:eastAsia="方正小标宋_GBK" w:cs="方正小标宋_GBK"/>
          <w:b/>
          <w:bCs/>
          <w:color w:val="000000"/>
          <w:sz w:val="44"/>
          <w:szCs w:val="44"/>
          <w:lang w:eastAsia="zh-CN"/>
        </w:rPr>
        <w:t>财政衔接推进乡村振兴资金</w:t>
      </w:r>
      <w:r>
        <w:rPr>
          <w:rFonts w:hint="eastAsia" w:ascii="方正小标宋_GBK" w:hAnsi="方正小标宋_GBK" w:eastAsia="方正小标宋_GBK" w:cs="方正小标宋_GBK"/>
          <w:b/>
          <w:bCs/>
          <w:color w:val="000000"/>
          <w:sz w:val="44"/>
          <w:szCs w:val="44"/>
        </w:rPr>
        <w:t>绩效自评总结报告</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黑体_GBK" w:hAnsi="方正黑体_GBK" w:eastAsia="方正黑体_GBK" w:cs="方正黑体_GBK"/>
          <w:b/>
          <w:color w:val="000000"/>
          <w:sz w:val="32"/>
          <w:szCs w:val="32"/>
        </w:rPr>
      </w:pPr>
      <w:r>
        <w:rPr>
          <w:rFonts w:hint="eastAsia" w:ascii="方正黑体_GBK" w:hAnsi="方正黑体_GBK" w:eastAsia="方正黑体_GBK" w:cs="方正黑体_GBK"/>
          <w:b/>
          <w:color w:val="000000"/>
          <w:sz w:val="32"/>
          <w:szCs w:val="32"/>
        </w:rPr>
        <w:t>一、绩效目标分解下达情况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楷体_GBK" w:hAnsi="方正楷体_GBK" w:eastAsia="方正楷体_GBK" w:cs="方正楷体_GBK"/>
          <w:b/>
          <w:bCs/>
          <w:color w:val="000000"/>
          <w:sz w:val="32"/>
          <w:szCs w:val="32"/>
        </w:rPr>
      </w:pPr>
      <w:r>
        <w:rPr>
          <w:rFonts w:hint="eastAsia" w:ascii="方正楷体_GBK" w:hAnsi="方正楷体_GBK" w:eastAsia="方正楷体_GBK" w:cs="方正楷体_GBK"/>
          <w:b/>
          <w:bCs/>
          <w:color w:val="000000"/>
          <w:sz w:val="32"/>
          <w:szCs w:val="32"/>
        </w:rPr>
        <w:t>1.</w:t>
      </w:r>
      <w:r>
        <w:rPr>
          <w:rFonts w:hint="eastAsia" w:ascii="方正楷体_GBK" w:hAnsi="方正楷体_GBK" w:eastAsia="方正楷体_GBK" w:cs="方正楷体_GBK"/>
          <w:b/>
          <w:bCs/>
          <w:color w:val="000000"/>
          <w:sz w:val="32"/>
          <w:szCs w:val="32"/>
          <w:lang w:eastAsia="zh-CN"/>
        </w:rPr>
        <w:t>财政衔接推进乡村振兴补助资金</w:t>
      </w:r>
      <w:r>
        <w:rPr>
          <w:rFonts w:hint="eastAsia" w:ascii="方正楷体_GBK" w:hAnsi="方正楷体_GBK" w:eastAsia="方正楷体_GBK" w:cs="方正楷体_GBK"/>
          <w:b/>
          <w:bCs/>
          <w:color w:val="000000"/>
          <w:sz w:val="32"/>
          <w:szCs w:val="32"/>
        </w:rPr>
        <w:t>下达预算及项目情况。</w:t>
      </w:r>
    </w:p>
    <w:p>
      <w:pPr>
        <w:pStyle w:val="1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根据《关于下达2023年乡村振兴衔接资金预算的通知》（</w:t>
      </w:r>
      <w:r>
        <w:rPr>
          <w:rFonts w:hint="eastAsia" w:ascii="方正仿宋_GBK" w:hAnsi="方正仿宋_GBK" w:eastAsia="方正仿宋_GBK" w:cs="方正仿宋_GBK"/>
          <w:color w:val="000000"/>
          <w:kern w:val="2"/>
          <w:sz w:val="32"/>
          <w:szCs w:val="32"/>
          <w:lang w:val="en-US" w:eastAsia="zh-CN" w:bidi="ar-SA"/>
        </w:rPr>
        <w:t>喀地财振〔2022〕4号）</w:t>
      </w: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下达2023年乡村振兴衔接资金，叶城县伯西热克乡博亚克恰喀（14）村示范村乡村建设项目，项目总投资为780万元，将用于对全村368户农户进行污水处理整治，修建化粪池、检查井，铺设污水管网约8公里；在伯西热克乡14村改建防渗渠5.1公里（Q=0.2-.0.5m³/s,L=5.1km)及配套附属设施。带动当地特色产业的发展，活跃当地的经济市场，促进资源的合理利用，带动当地就业市场的发展。带动增加受益脱贫户人口全年总收入达到28万元，受益脱贫户人口数达到20人，促进美丽乡村的建设和发展，改善当地的投资环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楷体_GBK" w:hAnsi="方正楷体_GBK" w:eastAsia="方正楷体_GBK" w:cs="方正楷体_GBK"/>
          <w:b/>
          <w:bCs/>
          <w:color w:val="000000"/>
          <w:sz w:val="32"/>
          <w:szCs w:val="32"/>
        </w:rPr>
      </w:pPr>
      <w:r>
        <w:rPr>
          <w:rFonts w:hint="eastAsia" w:ascii="方正楷体_GBK" w:hAnsi="方正楷体_GBK" w:eastAsia="方正楷体_GBK" w:cs="方正楷体_GBK"/>
          <w:b/>
          <w:bCs/>
          <w:color w:val="000000"/>
          <w:sz w:val="32"/>
          <w:szCs w:val="32"/>
          <w:lang w:val="en-US" w:eastAsia="zh-CN"/>
        </w:rPr>
        <w:t>2.</w:t>
      </w:r>
      <w:r>
        <w:rPr>
          <w:rFonts w:hint="eastAsia" w:ascii="方正楷体_GBK" w:hAnsi="方正楷体_GBK" w:eastAsia="方正楷体_GBK" w:cs="方正楷体_GBK"/>
          <w:b/>
          <w:bCs/>
          <w:color w:val="000000"/>
          <w:sz w:val="32"/>
          <w:szCs w:val="32"/>
          <w:lang w:eastAsia="zh-CN"/>
        </w:rPr>
        <w:t>财政衔接推进乡村振兴补助资金</w:t>
      </w:r>
      <w:r>
        <w:rPr>
          <w:rFonts w:hint="eastAsia" w:ascii="方正楷体_GBK" w:hAnsi="方正楷体_GBK" w:eastAsia="方正楷体_GBK" w:cs="方正楷体_GBK"/>
          <w:b/>
          <w:bCs/>
          <w:color w:val="000000"/>
          <w:sz w:val="32"/>
          <w:szCs w:val="32"/>
        </w:rPr>
        <w:t>项目绩效目标设定情况。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将用于对全村368户农户进行污水处理整治，修建化粪池、检查井，铺设污水管网约8公里；在伯西热克乡14村改建防渗渠5.1公里（Q=0.2-.0.5m³/s,L=5.1km)及配套附属设施。带动当地特色产业的发展，活跃当地的经济市场，促进资源的合理利用，带动当地就业市场的发展。带动增加受益脱贫户人口全年总收入达到28万元，受益脱贫户人口数达到20人，促进美丽乡村的建设和发展，改善当地的投资环境。</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黑体_GBK" w:hAnsi="方正黑体_GBK" w:eastAsia="方正黑体_GBK" w:cs="方正黑体_GBK"/>
          <w:b/>
          <w:color w:val="000000"/>
          <w:sz w:val="32"/>
          <w:szCs w:val="32"/>
        </w:rPr>
      </w:pPr>
      <w:r>
        <w:rPr>
          <w:rFonts w:hint="eastAsia" w:ascii="方正黑体_GBK" w:hAnsi="方正黑体_GBK" w:eastAsia="方正黑体_GBK" w:cs="方正黑体_GBK"/>
          <w:b/>
          <w:color w:val="000000"/>
          <w:sz w:val="32"/>
          <w:szCs w:val="32"/>
        </w:rPr>
        <w:t>二、绩效自评工作开展情况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包括自评工作开展范围、对象、时间及方式等。</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1. 绩效评价范围</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本次评价范围涵盖项目总体绩效目标、各项绩效指标完成情况</w:t>
      </w:r>
      <w:bookmarkStart w:id="6" w:name="_GoBack"/>
      <w:r>
        <w:rPr>
          <w:rFonts w:hint="eastAsia" w:ascii="方正仿宋_GBK" w:hAnsi="方正仿宋_GBK" w:eastAsia="方正仿宋_GBK" w:cs="方正仿宋_GBK"/>
          <w:color w:val="000000"/>
          <w:kern w:val="2"/>
          <w:sz w:val="32"/>
          <w:szCs w:val="32"/>
          <w:lang w:val="en-US" w:eastAsia="zh-CN" w:bidi="ar-SA"/>
        </w:rPr>
        <w:t>以及</w:t>
      </w:r>
      <w:bookmarkEnd w:id="6"/>
      <w:r>
        <w:rPr>
          <w:rFonts w:hint="eastAsia" w:ascii="方正仿宋_GBK" w:hAnsi="方正仿宋_GBK" w:eastAsia="方正仿宋_GBK" w:cs="方正仿宋_GBK"/>
          <w:color w:val="000000"/>
          <w:kern w:val="2"/>
          <w:sz w:val="32"/>
          <w:szCs w:val="32"/>
          <w:lang w:val="en-US" w:eastAsia="zh-CN" w:bidi="ar-SA"/>
        </w:rPr>
        <w:t>预算执行情况。覆盖项目预算资金支出的所有内容进行评价。包括项目决策、项目实施和项目成果验收流程等。</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2. 绩效评价对象</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3.绩效评价时间</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2024年1月1日-2024年1月31日</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4. 绩效评价方法</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本次绩效评价方法的选用坚持简便有效的原则采用综合分析法。</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5. 绩效评价标准</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绩效评价标准通常包括计划标准、行业标准、历史标准等，用于对绩效指标完成情况进行比较、分析、评价。本次评价主要采用了计划标准。</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bookmarkStart w:id="0" w:name="_Toc31464"/>
      <w:bookmarkStart w:id="1" w:name="_Toc17882"/>
      <w:r>
        <w:rPr>
          <w:rFonts w:hint="eastAsia" w:ascii="方正仿宋_GBK" w:hAnsi="方正仿宋_GBK" w:eastAsia="方正仿宋_GBK" w:cs="方正仿宋_GBK"/>
          <w:color w:val="000000"/>
          <w:kern w:val="2"/>
          <w:sz w:val="32"/>
          <w:szCs w:val="32"/>
          <w:lang w:val="en-US" w:eastAsia="zh-CN" w:bidi="ar-SA"/>
        </w:rPr>
        <w:t>计划标准：指以预先制定的目标、计划、预算、定额等作为评价标准。</w:t>
      </w:r>
      <w:bookmarkEnd w:id="0"/>
      <w:bookmarkEnd w:id="1"/>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bookmarkStart w:id="2" w:name="_Toc2318"/>
      <w:bookmarkStart w:id="3" w:name="_Toc5633"/>
      <w:r>
        <w:rPr>
          <w:rFonts w:hint="eastAsia" w:ascii="方正仿宋_GBK" w:hAnsi="方正仿宋_GBK" w:eastAsia="方正仿宋_GBK" w:cs="方正仿宋_GBK"/>
          <w:color w:val="000000"/>
          <w:kern w:val="2"/>
          <w:sz w:val="32"/>
          <w:szCs w:val="32"/>
          <w:lang w:val="en-US" w:eastAsia="zh-CN" w:bidi="ar-SA"/>
        </w:rPr>
        <w:t>行业标准：指参照国家公布的行业指标数据制定的评价标准。</w:t>
      </w:r>
      <w:bookmarkEnd w:id="2"/>
      <w:bookmarkEnd w:id="3"/>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bookmarkStart w:id="4" w:name="_Toc430"/>
      <w:bookmarkStart w:id="5" w:name="_Toc16028"/>
      <w:r>
        <w:rPr>
          <w:rFonts w:hint="eastAsia" w:ascii="方正仿宋_GBK" w:hAnsi="方正仿宋_GBK" w:eastAsia="方正仿宋_GBK" w:cs="方正仿宋_GBK"/>
          <w:color w:val="000000"/>
          <w:kern w:val="2"/>
          <w:sz w:val="32"/>
          <w:szCs w:val="32"/>
          <w:lang w:val="en-US" w:eastAsia="zh-CN" w:bidi="ar-SA"/>
        </w:rPr>
        <w:t>历史标准：指参照历史数据制定的评价标准，为体现绩效改进的原则，在可实现的条件下应当确定相对较高的评价标准。</w:t>
      </w:r>
      <w:bookmarkEnd w:id="4"/>
      <w:bookmarkEnd w:id="5"/>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黑体_GBK" w:hAnsi="方正黑体_GBK" w:eastAsia="方正黑体_GBK" w:cs="方正黑体_GBK"/>
          <w:b/>
          <w:color w:val="000000"/>
          <w:sz w:val="32"/>
          <w:szCs w:val="32"/>
        </w:rPr>
      </w:pPr>
      <w:r>
        <w:rPr>
          <w:rFonts w:hint="eastAsia" w:ascii="方正黑体_GBK" w:hAnsi="方正黑体_GBK" w:eastAsia="方正黑体_GBK" w:cs="方正黑体_GBK"/>
          <w:b/>
          <w:color w:val="000000"/>
          <w:sz w:val="32"/>
          <w:szCs w:val="32"/>
        </w:rPr>
        <w:t>三、绩效目标自评完成情况分析</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楷体_GBK" w:hAnsi="方正楷体_GBK" w:eastAsia="方正楷体_GBK" w:cs="方正楷体_GBK"/>
          <w:b/>
          <w:bCs/>
          <w:color w:val="000000"/>
          <w:sz w:val="32"/>
          <w:szCs w:val="32"/>
        </w:rPr>
      </w:pPr>
      <w:r>
        <w:rPr>
          <w:rFonts w:hint="eastAsia" w:ascii="方正楷体_GBK" w:hAnsi="方正楷体_GBK" w:eastAsia="方正楷体_GBK" w:cs="方正楷体_GBK"/>
          <w:b/>
          <w:bCs/>
          <w:color w:val="000000"/>
          <w:sz w:val="32"/>
          <w:szCs w:val="32"/>
        </w:rPr>
        <w:t>(一）资金投入情况分析。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1.项目资金到位情况分析。</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叶财振字〔2023〕93号共安排下达资金780万元，为衔接资金，最终确定项目资金总数为780万元。</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t>2.项目资金执行情况分析。</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截至2023年12月31日，实际支出780万元，预算执行率100%。</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t>3.项目资金管理情况分析。</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本项目支出符合《喀什地区财政巩固拓展脱贫攻坚成果同乡村振兴有效衔接资金管理办法（试行）》以及本单位根据国家财经法规和财务管理制度制定的相关财务管理制度，其中包括《会计人员集中核算工作管理制度》、《财务收支审批制度》、《财务稽核制度》、《财务牵制制度》、《会计主管岗位职责》等制度规定，严格执行国库集中支付制度直接支付，资金的拨付过程有完整的审批程序和手续，</w:t>
      </w:r>
      <w:r>
        <w:rPr>
          <w:rFonts w:hint="eastAsia" w:ascii="方正仿宋_GBK" w:hAnsi="方正仿宋_GBK" w:eastAsia="方正仿宋_GBK" w:cs="方正仿宋_GBK"/>
          <w:color w:val="000000"/>
          <w:kern w:val="2"/>
          <w:sz w:val="32"/>
          <w:szCs w:val="32"/>
          <w:lang w:val="en-US" w:eastAsia="zh-CN" w:bidi="ar-SA"/>
        </w:rPr>
        <w:t>不存在截留、挤占、挪用等情况。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楷体_GBK" w:hAnsi="方正楷体_GBK" w:eastAsia="方正楷体_GBK" w:cs="方正楷体_GBK"/>
          <w:b/>
          <w:bCs/>
          <w:color w:val="000000"/>
          <w:sz w:val="32"/>
          <w:szCs w:val="32"/>
        </w:rPr>
      </w:pPr>
      <w:r>
        <w:rPr>
          <w:rFonts w:hint="eastAsia" w:ascii="方正楷体_GBK" w:hAnsi="方正楷体_GBK" w:eastAsia="方正楷体_GBK" w:cs="方正楷体_GBK"/>
          <w:b/>
          <w:bCs/>
          <w:color w:val="000000"/>
          <w:sz w:val="32"/>
          <w:szCs w:val="32"/>
          <w:lang w:eastAsia="zh-CN"/>
        </w:rPr>
        <w:t>（</w:t>
      </w:r>
      <w:r>
        <w:rPr>
          <w:rFonts w:hint="eastAsia" w:ascii="方正楷体_GBK" w:hAnsi="方正楷体_GBK" w:eastAsia="方正楷体_GBK" w:cs="方正楷体_GBK"/>
          <w:b/>
          <w:bCs/>
          <w:color w:val="000000"/>
          <w:sz w:val="32"/>
          <w:szCs w:val="32"/>
          <w:lang w:val="en-US" w:eastAsia="zh-CN"/>
        </w:rPr>
        <w:t>二</w:t>
      </w:r>
      <w:r>
        <w:rPr>
          <w:rFonts w:hint="eastAsia" w:ascii="方正楷体_GBK" w:hAnsi="方正楷体_GBK" w:eastAsia="方正楷体_GBK" w:cs="方正楷体_GBK"/>
          <w:b/>
          <w:bCs/>
          <w:color w:val="000000"/>
          <w:sz w:val="32"/>
          <w:szCs w:val="32"/>
          <w:lang w:eastAsia="zh-CN"/>
        </w:rPr>
        <w:t>）</w:t>
      </w:r>
      <w:r>
        <w:rPr>
          <w:rFonts w:hint="eastAsia" w:ascii="方正楷体_GBK" w:hAnsi="方正楷体_GBK" w:eastAsia="方正楷体_GBK" w:cs="方正楷体_GBK"/>
          <w:b/>
          <w:bCs/>
          <w:color w:val="000000"/>
          <w:sz w:val="32"/>
          <w:szCs w:val="32"/>
        </w:rPr>
        <w:t>绩效目标完成情况分析。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color w:val="000000"/>
          <w:sz w:val="32"/>
          <w:szCs w:val="32"/>
        </w:rPr>
        <w:t>1.产出指标完成情况分析。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（1）对于“产出数量”</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农村人居环境整治个数1个，与预期目标一致，指标标杆分值为5分，根据评分标准，该指标不扣分。得5分</w:t>
      </w: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污水处理整治户数共计368户，与预期目标一致，指标标杆分值为5分，根据评分标准，该指标不扣分。得5分</w:t>
      </w: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铺设污水管长度（公里）共计8公里，与预期目标一致，指标标杆分值为5分，根据评分标准，该指标不扣分。得5分</w:t>
      </w: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改建防渗渠长度（公里）共计5.1公里，与预期目标一致，指标标杆分值为5分，根据评分标准，该指标不扣分。得5分</w:t>
      </w: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合计得20分。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（2）对于“产出质量”：</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项目验收合格率100%，与预期目标一致，指标标杆分值为5分,根据评分标准，该指标不扣分，得5分。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（3）对于“产出时效”：</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项目开工时间2023年6月，与预期目标指标一致，指标标杆分值为5分，根据评分标准，该指标不扣分，得5分。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项目完工时间2023年10月，与预期目标指标一致，指标标杆分值为5分，根据评分标准，该指标不扣分，得5分。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工程完成及时率100%，与预期目标一致，指标标杆分值为5分，根据评分标准，该指标不扣分，得5分。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合计得15分。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（4）对于“产出成本”：</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污水处理整治每户建设成本小于等于1万元/户，与预期目标一致，指标标杆分值为3分，根据评分标准，该指标不扣分，得3分。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污水管道每公里铺设成本小于等于20万元/公里，与预期目标一致，指标标杆分值为3分，根据评分标准，该指标不扣分，得3分。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防渗渠每公里改建成本小于等于49.41万元/公里，与预期目标一致，指标标杆分值为4分，根据评分标准，该指标不扣分，得4分。</w:t>
      </w:r>
    </w:p>
    <w:p>
      <w:pPr>
        <w:pStyle w:val="4"/>
        <w:keepNext w:val="0"/>
        <w:keepLines w:val="0"/>
        <w:pageBreakBefore w:val="0"/>
        <w:widowControl w:val="0"/>
        <w:kinsoku/>
        <w:overflowPunct/>
        <w:topLinePunct w:val="0"/>
        <w:autoSpaceDN/>
        <w:bidi w:val="0"/>
        <w:adjustRightInd/>
        <w:snapToGrid/>
        <w:spacing w:line="560" w:lineRule="exact"/>
        <w:ind w:left="0" w:leftChars="0" w:firstLine="640" w:firstLineChars="200"/>
        <w:textAlignment w:val="auto"/>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合计得分10分。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方正仿宋_GBK" w:hAnsi="方正仿宋_GBK" w:eastAsia="方正仿宋_GBK" w:cs="方正仿宋_GBK"/>
          <w:b/>
          <w:bCs/>
          <w:color w:val="000000"/>
          <w:kern w:val="2"/>
          <w:sz w:val="32"/>
          <w:szCs w:val="32"/>
          <w:lang w:val="en-US" w:eastAsia="zh-CN" w:bidi="ar-SA"/>
        </w:rPr>
      </w:pPr>
      <w:r>
        <w:rPr>
          <w:rFonts w:hint="eastAsia" w:ascii="方正仿宋_GBK" w:hAnsi="方正仿宋_GBK" w:eastAsia="方正仿宋_GBK" w:cs="方正仿宋_GBK"/>
          <w:b/>
          <w:bCs/>
          <w:color w:val="000000"/>
          <w:kern w:val="2"/>
          <w:sz w:val="32"/>
          <w:szCs w:val="32"/>
          <w:lang w:val="en-US" w:eastAsia="zh-CN" w:bidi="ar-SA"/>
        </w:rPr>
        <w:t>2.效益指标完成情况分析。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方正仿宋_GBK" w:hAnsi="方正仿宋_GBK" w:eastAsia="方正仿宋_GBK" w:cs="方正仿宋_GBK"/>
          <w:b/>
          <w:bCs/>
          <w:color w:val="000000"/>
          <w:kern w:val="2"/>
          <w:sz w:val="32"/>
          <w:szCs w:val="32"/>
          <w:lang w:val="en-US" w:eastAsia="zh-CN" w:bidi="ar-SA"/>
        </w:rPr>
      </w:pPr>
      <w:r>
        <w:rPr>
          <w:rFonts w:hint="eastAsia" w:ascii="方正仿宋_GBK" w:hAnsi="方正仿宋_GBK" w:eastAsia="方正仿宋_GBK" w:cs="方正仿宋_GBK"/>
          <w:b/>
          <w:bCs/>
          <w:color w:val="000000"/>
          <w:kern w:val="2"/>
          <w:sz w:val="32"/>
          <w:szCs w:val="32"/>
          <w:lang w:val="en-US" w:eastAsia="zh-CN" w:bidi="ar-SA"/>
        </w:rPr>
        <w:t>1.实施效益指标：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（1）对于“社会效益指标”：</w:t>
      </w:r>
    </w:p>
    <w:p>
      <w:pPr>
        <w:pStyle w:val="4"/>
        <w:keepNext w:val="0"/>
        <w:keepLines w:val="0"/>
        <w:pageBreakBefore w:val="0"/>
        <w:widowControl w:val="0"/>
        <w:numPr>
          <w:ilvl w:val="0"/>
          <w:numId w:val="0"/>
        </w:numPr>
        <w:kinsoku/>
        <w:overflowPunct/>
        <w:topLinePunct w:val="0"/>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该项目无社会效益指标。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（2）对于“经济效益指标”：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带动增加巩固脱贫户全年总收入28万元，与预期指标一致，指标标杆分值为15分，根据评分标准，该指标不扣分，得15分。</w:t>
      </w:r>
    </w:p>
    <w:p>
      <w:pPr>
        <w:pStyle w:val="4"/>
        <w:keepNext w:val="0"/>
        <w:keepLines w:val="0"/>
        <w:pageBreakBefore w:val="0"/>
        <w:widowControl w:val="0"/>
        <w:kinsoku/>
        <w:overflowPunct/>
        <w:topLinePunct w:val="0"/>
        <w:autoSpaceDN/>
        <w:bidi w:val="0"/>
        <w:adjustRightInd/>
        <w:snapToGrid/>
        <w:spacing w:line="560" w:lineRule="exac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合计得分15分。</w:t>
      </w:r>
    </w:p>
    <w:p>
      <w:pPr>
        <w:pStyle w:val="4"/>
        <w:keepNext w:val="0"/>
        <w:keepLines w:val="0"/>
        <w:pageBreakBefore w:val="0"/>
        <w:widowControl w:val="0"/>
        <w:numPr>
          <w:ilvl w:val="0"/>
          <w:numId w:val="1"/>
        </w:numPr>
        <w:kinsoku/>
        <w:overflowPunct/>
        <w:topLinePunct w:val="0"/>
        <w:autoSpaceDN/>
        <w:bidi w:val="0"/>
        <w:adjustRightInd/>
        <w:snapToGrid/>
        <w:spacing w:line="560" w:lineRule="exact"/>
        <w:ind w:left="0" w:leftChars="0"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对于“生态效益指标”：</w:t>
      </w:r>
    </w:p>
    <w:p>
      <w:pPr>
        <w:pStyle w:val="4"/>
        <w:keepNext w:val="0"/>
        <w:keepLines w:val="0"/>
        <w:pageBreakBefore w:val="0"/>
        <w:widowControl w:val="0"/>
        <w:numPr>
          <w:ilvl w:val="0"/>
          <w:numId w:val="0"/>
        </w:numPr>
        <w:kinsoku/>
        <w:overflowPunct/>
        <w:topLinePunct w:val="0"/>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该项目无生态效益指标。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（4）对于“可持续影响指标”：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right="0" w:firstLine="640" w:firstLineChars="200"/>
        <w:jc w:val="lef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工程设计使用年限10年以上，与预期指标一致，指标标杆分值为15分，根据评分标准，该指标不扣分，得 15分。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实施效益指标合计得30分。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方正仿宋_GBK" w:hAnsi="方正仿宋_GBK" w:eastAsia="方正仿宋_GBK" w:cs="方正仿宋_GBK"/>
          <w:b/>
          <w:bCs/>
          <w:color w:val="000000"/>
          <w:kern w:val="2"/>
          <w:sz w:val="32"/>
          <w:szCs w:val="32"/>
          <w:lang w:val="en-US" w:eastAsia="zh-CN" w:bidi="ar-SA"/>
        </w:rPr>
      </w:pPr>
      <w:r>
        <w:rPr>
          <w:rFonts w:hint="eastAsia" w:ascii="方正仿宋_GBK" w:hAnsi="方正仿宋_GBK" w:eastAsia="方正仿宋_GBK" w:cs="方正仿宋_GBK"/>
          <w:b/>
          <w:bCs/>
          <w:color w:val="000000"/>
          <w:kern w:val="2"/>
          <w:sz w:val="32"/>
          <w:szCs w:val="32"/>
          <w:lang w:val="en-US" w:eastAsia="zh-CN" w:bidi="ar-SA"/>
        </w:rPr>
        <w:t>3.满意度指标完成情况分析。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对于“满意度指标</w:t>
      </w:r>
      <w:r>
        <w:rPr>
          <w:rFonts w:hint="default" w:ascii="方正仿宋_GBK" w:hAnsi="方正仿宋_GBK" w:eastAsia="方正仿宋_GBK" w:cs="方正仿宋_GBK"/>
          <w:color w:val="000000"/>
          <w:kern w:val="2"/>
          <w:sz w:val="32"/>
          <w:szCs w:val="32"/>
          <w:lang w:val="en-US" w:eastAsia="zh-CN" w:bidi="ar-SA"/>
        </w:rPr>
        <w:t>”</w:t>
      </w:r>
      <w:r>
        <w:rPr>
          <w:rFonts w:hint="eastAsia" w:ascii="方正仿宋_GBK" w:hAnsi="方正仿宋_GBK" w:eastAsia="方正仿宋_GBK" w:cs="方正仿宋_GBK"/>
          <w:color w:val="000000"/>
          <w:kern w:val="2"/>
          <w:sz w:val="32"/>
          <w:szCs w:val="32"/>
          <w:lang w:val="en-US" w:eastAsia="zh-CN" w:bidi="ar-SA"/>
        </w:rPr>
        <w:t>：受益脱贫户人口满意度95%，与预期目标一致，根据评分标准，该指标不扣分，得10分。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right="0" w:firstLine="640" w:firstLineChars="200"/>
        <w:jc w:val="left"/>
        <w:textAlignment w:val="auto"/>
        <w:rPr>
          <w:rFonts w:hint="eastAsia" w:ascii="方正黑体_GBK" w:hAnsi="方正黑体_GBK" w:eastAsia="方正黑体_GBK" w:cs="方正黑体_GBK"/>
          <w:b/>
          <w:bCs/>
          <w:color w:val="000000"/>
          <w:kern w:val="2"/>
          <w:sz w:val="32"/>
          <w:szCs w:val="32"/>
          <w:lang w:val="en-US" w:eastAsia="zh-CN" w:bidi="ar-SA"/>
        </w:rPr>
      </w:pPr>
      <w:r>
        <w:rPr>
          <w:rFonts w:hint="eastAsia" w:ascii="方正黑体_GBK" w:hAnsi="方正黑体_GBK" w:eastAsia="方正黑体_GBK" w:cs="方正黑体_GBK"/>
          <w:b/>
          <w:bCs/>
          <w:color w:val="000000"/>
          <w:kern w:val="2"/>
          <w:sz w:val="32"/>
          <w:szCs w:val="32"/>
          <w:lang w:val="en-US" w:eastAsia="zh-CN" w:bidi="ar-SA"/>
        </w:rPr>
        <w:t>四、偏离绩效目标的原因和下一步改进措施</w:t>
      </w:r>
    </w:p>
    <w:p>
      <w:pPr>
        <w:pStyle w:val="1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叶城县伯西热克乡博亚克恰喀（14）村示范村乡村建设项目项目预算780万元，到位780万元，实际支出780万元，预算执行率为100%，项目绩效指标总体完成率为100%，无偏差。</w:t>
      </w:r>
    </w:p>
    <w:p>
      <w:pPr>
        <w:pStyle w:val="18"/>
        <w:keepNext/>
        <w:keepLines/>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方正黑体_GBK" w:eastAsia="方正黑体_GBK" w:cs="方正黑体_GBK"/>
          <w:b/>
          <w:bCs/>
          <w:color w:val="auto"/>
          <w:sz w:val="32"/>
          <w:highlight w:val="none"/>
        </w:rPr>
      </w:pPr>
      <w:r>
        <w:rPr>
          <w:rFonts w:hint="eastAsia" w:ascii="方正黑体_GBK" w:hAnsi="方正黑体_GBK" w:eastAsia="方正黑体_GBK" w:cs="方正黑体_GBK"/>
          <w:b/>
          <w:bCs/>
          <w:color w:val="auto"/>
          <w:kern w:val="2"/>
          <w:sz w:val="32"/>
          <w:szCs w:val="32"/>
          <w:highlight w:val="none"/>
          <w:lang w:val="en-US" w:eastAsia="zh-CN" w:bidi="ar-SA"/>
        </w:rPr>
        <w:t>五、综合评价结论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评价结果分为优、良、中、差四个等级：优（90分（含）—100分）；良（80分（含）—90分）；中（60分（含）—80分）；差（0分—60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叶城县伯西热克乡博亚克恰喀（14）村示范村乡村建设项目已完成全村368户农户污水处理整治，修建化粪池、检查井，铺设污水管网约8公里；在伯西热克乡14村改建防渗渠5.1公里（Q=0.2-.0.5m3/s,L=5.1km)及配套附属设施。带动当地特色产业的发展，活跃当地的经济市场，促进资源的合理利用，带动当地就业市场的发展。该项目最终评分100分，绩效评级为“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黑体_GBK" w:hAnsi="方正黑体_GBK" w:eastAsia="方正黑体_GBK" w:cs="方正黑体_GBK"/>
          <w:b/>
          <w:color w:val="000000"/>
          <w:sz w:val="32"/>
          <w:szCs w:val="32"/>
        </w:rPr>
      </w:pPr>
      <w:r>
        <w:rPr>
          <w:rFonts w:hint="eastAsia" w:ascii="方正黑体_GBK" w:hAnsi="方正黑体_GBK" w:eastAsia="方正黑体_GBK" w:cs="方正黑体_GBK"/>
          <w:b/>
          <w:color w:val="000000"/>
          <w:sz w:val="32"/>
          <w:szCs w:val="32"/>
          <w:lang w:val="en-US" w:eastAsia="zh-CN"/>
        </w:rPr>
        <w:t>六、</w:t>
      </w:r>
      <w:r>
        <w:rPr>
          <w:rFonts w:hint="eastAsia" w:ascii="方正黑体_GBK" w:hAnsi="方正黑体_GBK" w:eastAsia="方正黑体_GBK" w:cs="方正黑体_GBK"/>
          <w:b/>
          <w:color w:val="000000"/>
          <w:sz w:val="32"/>
          <w:szCs w:val="32"/>
        </w:rPr>
        <w:t>绩效自评结果拟应用和公开情况</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（一）对衔接推进乡村振兴补助资金项目、绩效公告公示情况</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按照《国务院办公厅关于印发2022年政务公开工作要点的通知》（国办发【2022】8号）、《新疆维吾尔自治区财政衔接推进乡村振兴补助资金管理办法》（新财规【2021】11号）文件要求：由叶城县财政局乡村振兴股核对本项目资金及建设内容、由叶城县财政局绩效评价中心于</w:t>
      </w:r>
      <w:r>
        <w:rPr>
          <w:rFonts w:hint="eastAsia" w:ascii="方正仿宋_GBK" w:hAnsi="方正仿宋_GBK" w:eastAsia="方正仿宋_GBK" w:cs="方正仿宋_GBK"/>
          <w:color w:val="auto"/>
          <w:kern w:val="2"/>
          <w:sz w:val="32"/>
          <w:szCs w:val="32"/>
          <w:lang w:val="en-US" w:eastAsia="zh-CN" w:bidi="ar-SA"/>
        </w:rPr>
        <w:t>2023年3月20日</w:t>
      </w:r>
      <w:r>
        <w:rPr>
          <w:rFonts w:hint="eastAsia" w:ascii="方正仿宋_GBK" w:hAnsi="方正仿宋_GBK" w:eastAsia="方正仿宋_GBK" w:cs="方正仿宋_GBK"/>
          <w:color w:val="000000"/>
          <w:kern w:val="2"/>
          <w:sz w:val="32"/>
          <w:szCs w:val="32"/>
          <w:lang w:val="en-US" w:eastAsia="zh-CN" w:bidi="ar-SA"/>
        </w:rPr>
        <w:t>对项目绩效目标在叶城县人民政府网（http://www.xjyc.gov.cn/ycx/c107308/zwgk.shtml）进行公开，项目实施前在相关乡镇进行了张榜公开，接受社会监督。</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（二）对绩效自评结果拟应用情况进行说明</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 xml:space="preserve">绩效自评的结果应用，既是开展绩效评价工作的基本前提，又是加强财政支出管理、增强资金绩效理念、合理配置公共资源、优化财政支出结构、强化资金管理水平、提高资金使用效益的重要手段。为使绩效评价结果得到合理应用，将此次绩效评价结果作为以后年度建设资金分配的重要依据。绩效评价是对效果的评价，评价结果直接反应项目实施的效益。评价结果优秀并绩效突出的：对于实施过程评价的项目，财政部门要在安排该项目后续资金时给予优先保障；对于完成结果评价的项目，财政部门要在安排该部门其他项目资金时给予综合考虑。评价结果为不合格的：对于实施过程评价的项目，财政部门要及时提出整改意见，整改期间暂停已安排资金的拨款或支付，未按要求落实整改的，要会同有关部门向同级人民政府提出暂停该项目实施的建议，由同级人民政府确定该项目是否继续实施；对于完成结果评价的项目，在安排该部门新增项目资金时，应从紧考虑，并加强项目前期论证和综合分析，以确保项目资金使用的安全有效。                                          </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该项目结果应用：一是将自评结果报送县财政局及地区财政局，根据绩效自评结果作为下一年度资金安排参考。二是今后我单位会注重结果导向、强调成本效益、硬化责任约束，不断加强绩效管理队伍建设，提升业务素质，提高预算管理水平和政策实施效果，实现预算和绩效管理一体化，着力提高财政资源配置效率和使用效益，全面提升我单位公共服务水平。</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本项目在本年度实施过程中，严格按照衔接补助资金管理办法，部门实行监督管理制度和项目负责人终生追责制等管理方法，夯实各级部门职责，对被评价项目的绩效情况、完成程度和存在的问题与建议加以综合分析，建立评价结果在部门预算安排中的激励与约束机制，逐步发挥绩效评价工作的应有作用。</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（三）对二级指标权重(分值)分配情况进行说明，赋权的方法或者原则</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绩效评价指标体系中各指标的权重和分值由本项目绩效评价小组根据绩效评价原理和评价需求，在调研基础上，考虑本项目绩效评价的侧重点和关键环节，依据指标的重要性产生，并经充分讨论后，报绩效评价小组进行审查，根据审查意见，对相关指标权重和分值调整后确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方正黑体_GBK" w:hAnsi="方正黑体_GBK" w:eastAsia="方正黑体_GBK" w:cs="方正黑体_GBK"/>
          <w:b/>
          <w:color w:val="000000"/>
          <w:sz w:val="32"/>
          <w:szCs w:val="32"/>
          <w:lang w:val="en-US" w:eastAsia="zh-CN"/>
        </w:rPr>
      </w:pPr>
      <w:r>
        <w:rPr>
          <w:rFonts w:hint="eastAsia" w:ascii="方正黑体_GBK" w:hAnsi="方正黑体_GBK" w:eastAsia="方正黑体_GBK" w:cs="方正黑体_GBK"/>
          <w:b/>
          <w:color w:val="000000"/>
          <w:sz w:val="32"/>
          <w:szCs w:val="32"/>
          <w:lang w:val="en-US" w:eastAsia="zh-CN"/>
        </w:rPr>
        <w:t>七、绩效评价工作有关说明</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单位成立了项目绩效评价工作小组，项目组长为</w:t>
      </w:r>
      <w:r>
        <w:rPr>
          <w:rFonts w:hint="eastAsia" w:ascii="方正仿宋_GBK" w:hAnsi="方正仿宋_GBK" w:eastAsia="方正仿宋_GBK" w:cs="方正仿宋_GBK"/>
          <w:sz w:val="32"/>
          <w:szCs w:val="32"/>
          <w:lang w:val="en-US" w:eastAsia="zh-CN"/>
        </w:rPr>
        <w:t>文雄</w:t>
      </w:r>
      <w:r>
        <w:rPr>
          <w:rFonts w:hint="eastAsia" w:ascii="方正仿宋_GBK" w:hAnsi="方正仿宋_GBK" w:eastAsia="方正仿宋_GBK" w:cs="方正仿宋_GBK"/>
          <w:color w:val="000000"/>
          <w:kern w:val="2"/>
          <w:sz w:val="32"/>
          <w:szCs w:val="32"/>
          <w:lang w:val="en-US" w:eastAsia="zh-CN" w:bidi="ar-SA"/>
        </w:rPr>
        <w:t>，主要负责制定项目评价方案。项目成员为戴玉祥，主要负责收集核查项目资料、现场实地调查资料、绩效的监控情况资料、最终形成自评报告的初稿。</w:t>
      </w:r>
    </w:p>
    <w:p>
      <w:pPr>
        <w:pStyle w:val="4"/>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420" w:firstLineChars="200"/>
        <w:textAlignment w:val="auto"/>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HYb2gj">
    <w:altName w:val="宋体"/>
    <w:panose1 w:val="00000000000000000000"/>
    <w:charset w:val="86"/>
    <w:family w:val="modern"/>
    <w:pitch w:val="default"/>
    <w:sig w:usb0="00000000" w:usb1="00000000" w:usb2="0000001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方正楷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90F69C"/>
    <w:multiLevelType w:val="singleLevel"/>
    <w:tmpl w:val="8D90F69C"/>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0YTY3NzE3ZmQ4Zjc1OWI1MzllYTJmNmQwMTJhNGQifQ=="/>
  </w:docVars>
  <w:rsids>
    <w:rsidRoot w:val="00F20A26"/>
    <w:rsid w:val="003E0379"/>
    <w:rsid w:val="0055176E"/>
    <w:rsid w:val="00F20A26"/>
    <w:rsid w:val="059A592B"/>
    <w:rsid w:val="08EC01DC"/>
    <w:rsid w:val="0CA451ED"/>
    <w:rsid w:val="0F4636F1"/>
    <w:rsid w:val="129064AA"/>
    <w:rsid w:val="12A245A9"/>
    <w:rsid w:val="12D250B8"/>
    <w:rsid w:val="14653122"/>
    <w:rsid w:val="15C10B6C"/>
    <w:rsid w:val="17F82735"/>
    <w:rsid w:val="187A025D"/>
    <w:rsid w:val="1937751C"/>
    <w:rsid w:val="1ABF7AF2"/>
    <w:rsid w:val="1B4D6D35"/>
    <w:rsid w:val="20183F4F"/>
    <w:rsid w:val="22084AEF"/>
    <w:rsid w:val="22E936F1"/>
    <w:rsid w:val="29EC0C5C"/>
    <w:rsid w:val="2B1E4C6A"/>
    <w:rsid w:val="2D5F13D7"/>
    <w:rsid w:val="2E51749D"/>
    <w:rsid w:val="31A02A0C"/>
    <w:rsid w:val="31AE0AA6"/>
    <w:rsid w:val="327C3F83"/>
    <w:rsid w:val="328E4F44"/>
    <w:rsid w:val="386D751C"/>
    <w:rsid w:val="389D3ADD"/>
    <w:rsid w:val="3A251922"/>
    <w:rsid w:val="3A545ACD"/>
    <w:rsid w:val="3A667D78"/>
    <w:rsid w:val="41871287"/>
    <w:rsid w:val="47207E1C"/>
    <w:rsid w:val="4BA819CC"/>
    <w:rsid w:val="4D697B02"/>
    <w:rsid w:val="523D6440"/>
    <w:rsid w:val="54575230"/>
    <w:rsid w:val="55DA66E7"/>
    <w:rsid w:val="571F0601"/>
    <w:rsid w:val="575664F2"/>
    <w:rsid w:val="5CEF0BA5"/>
    <w:rsid w:val="5ED103DD"/>
    <w:rsid w:val="614F4951"/>
    <w:rsid w:val="61634228"/>
    <w:rsid w:val="647906B5"/>
    <w:rsid w:val="651A36AB"/>
    <w:rsid w:val="657D3503"/>
    <w:rsid w:val="6AC53C59"/>
    <w:rsid w:val="71A83BF0"/>
    <w:rsid w:val="757A684B"/>
    <w:rsid w:val="785F1D73"/>
    <w:rsid w:val="7B580975"/>
    <w:rsid w:val="7E984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4"/>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qFormat/>
    <w:uiPriority w:val="9"/>
    <w:pPr>
      <w:keepNext/>
      <w:keepLines/>
      <w:spacing w:before="260" w:after="260" w:line="416" w:lineRule="auto"/>
      <w:jc w:val="left"/>
      <w:outlineLvl w:val="2"/>
    </w:pPr>
    <w:rPr>
      <w:rFonts w:cs="Times New Roman"/>
      <w:bCs/>
      <w:kern w:val="0"/>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First Indent 2"/>
    <w:basedOn w:val="5"/>
    <w:unhideWhenUsed/>
    <w:qFormat/>
    <w:uiPriority w:val="0"/>
    <w:pPr>
      <w:ind w:firstLine="420"/>
    </w:pPr>
  </w:style>
  <w:style w:type="paragraph" w:styleId="5">
    <w:name w:val="Body Text Indent"/>
    <w:basedOn w:val="1"/>
    <w:unhideWhenUsed/>
    <w:qFormat/>
    <w:uiPriority w:val="99"/>
    <w:pPr>
      <w:spacing w:after="120"/>
      <w:ind w:left="420" w:leftChars="200"/>
    </w:pPr>
    <w:rPr>
      <w:rFonts w:cs="Times New Roman"/>
      <w:kern w:val="0"/>
      <w:szCs w:val="20"/>
    </w:rPr>
  </w:style>
  <w:style w:type="paragraph" w:styleId="7">
    <w:name w:val="annotation text"/>
    <w:basedOn w:val="1"/>
    <w:unhideWhenUsed/>
    <w:qFormat/>
    <w:uiPriority w:val="99"/>
    <w:rPr>
      <w:rFonts w:cs="Times New Roman"/>
      <w:kern w:val="0"/>
      <w:sz w:val="20"/>
      <w:szCs w:val="20"/>
    </w:rPr>
  </w:style>
  <w:style w:type="paragraph" w:styleId="8">
    <w:name w:val="Body Text"/>
    <w:basedOn w:val="1"/>
    <w:qFormat/>
    <w:uiPriority w:val="0"/>
    <w:pPr>
      <w:spacing w:before="240" w:after="240" w:line="360" w:lineRule="auto"/>
      <w:jc w:val="center"/>
    </w:pPr>
    <w:rPr>
      <w:b/>
      <w:sz w:val="44"/>
    </w:rPr>
  </w:style>
  <w:style w:type="paragraph" w:styleId="9">
    <w:name w:val="Plain Text"/>
    <w:basedOn w:val="1"/>
    <w:semiHidden/>
    <w:unhideWhenUsed/>
    <w:qFormat/>
    <w:uiPriority w:val="99"/>
    <w:rPr>
      <w:rFonts w:ascii="宋体" w:hAnsi="Courier New"/>
    </w:rPr>
  </w:style>
  <w:style w:type="paragraph" w:styleId="10">
    <w:name w:val="Body Text Indent 2"/>
    <w:basedOn w:val="1"/>
    <w:qFormat/>
    <w:uiPriority w:val="0"/>
    <w:pPr>
      <w:ind w:firstLine="280"/>
    </w:pPr>
    <w:rPr>
      <w:rFonts w:ascii="仿宋_GB2312" w:hAnsi="仿宋_GB2312" w:eastAsia="仿宋_GB2312"/>
      <w:kern w:val="1"/>
      <w:sz w:val="28"/>
    </w:rPr>
  </w:style>
  <w:style w:type="paragraph" w:styleId="11">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character" w:styleId="15">
    <w:name w:val="Strong"/>
    <w:basedOn w:val="14"/>
    <w:qFormat/>
    <w:uiPriority w:val="0"/>
    <w:rPr>
      <w:b/>
      <w:bCs/>
    </w:rPr>
  </w:style>
  <w:style w:type="paragraph" w:customStyle="1" w:styleId="16">
    <w:name w:val="Default"/>
    <w:next w:val="1"/>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7">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8">
    <w:name w:val="闻政-正文二级标题"/>
    <w:basedOn w:val="6"/>
    <w:next w:val="17"/>
    <w:qFormat/>
    <w:uiPriority w:val="3"/>
    <w:pPr>
      <w:spacing w:before="120" w:after="60" w:line="500" w:lineRule="exact"/>
      <w:ind w:left="200" w:leftChars="200" w:firstLine="0" w:firstLineChars="0"/>
    </w:pPr>
    <w:rPr>
      <w:rFonts w:ascii="Times New Roman" w:hAnsi="Times New Roman"/>
      <w:sz w:val="28"/>
    </w:rPr>
  </w:style>
  <w:style w:type="paragraph" w:customStyle="1" w:styleId="19">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52</Words>
  <Characters>301</Characters>
  <Lines>2</Lines>
  <Paragraphs>1</Paragraphs>
  <TotalTime>2</TotalTime>
  <ScaleCrop>false</ScaleCrop>
  <LinksUpToDate>false</LinksUpToDate>
  <CharactersWithSpaces>352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2019-10-08T05:02:00Z</dcterms:created>
  <dc:creator>姜波</dc:creator>
  <cp:lastModifiedBy>Administrator</cp:lastModifiedBy>
  <dcterms:modified xsi:type="dcterms:W3CDTF">2025-08-15T11:22:43Z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FBBC15C4837F493692940F03964BCF56_13</vt:lpwstr>
  </property>
</Properties>
</file>