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黑体" w:hAnsi="黑体" w:eastAsia="黑体"/>
          <w:b/>
          <w:bCs/>
          <w:color w:val="000000"/>
          <w:sz w:val="36"/>
          <w:szCs w:val="36"/>
          <w:lang w:eastAsia="zh-CN"/>
        </w:rPr>
      </w:pPr>
    </w:p>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000000"/>
          <w:sz w:val="44"/>
          <w:szCs w:val="44"/>
          <w:lang w:eastAsia="zh-CN"/>
        </w:rPr>
      </w:pPr>
      <w:r>
        <w:rPr>
          <w:rFonts w:hint="eastAsia" w:ascii="方正小标宋_GBK" w:hAnsi="方正小标宋_GBK" w:eastAsia="方正小标宋_GBK" w:cs="方正小标宋_GBK"/>
          <w:b w:val="0"/>
          <w:bCs w:val="0"/>
          <w:color w:val="000000"/>
          <w:sz w:val="44"/>
          <w:szCs w:val="44"/>
          <w:lang w:eastAsia="zh-CN"/>
        </w:rPr>
        <w:t>叶城县铁提乡渠系建设项目支出自评总结报告</w:t>
      </w:r>
    </w:p>
    <w:p>
      <w:pPr>
        <w:pageBreakBefore w:val="0"/>
        <w:widowControl w:val="0"/>
        <w:kinsoku/>
        <w:wordWrap/>
        <w:overflowPunct/>
        <w:topLinePunct w:val="0"/>
        <w:autoSpaceDE/>
        <w:autoSpaceDN/>
        <w:bidi w:val="0"/>
        <w:spacing w:line="60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spacing w:line="60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600" w:lineRule="exact"/>
        <w:textAlignment w:val="auto"/>
        <w:rPr>
          <w:rFonts w:hint="eastAsia"/>
          <w:color w:val="auto"/>
          <w:highlight w:val="none"/>
        </w:rPr>
      </w:pPr>
    </w:p>
    <w:p>
      <w:pPr>
        <w:pStyle w:val="4"/>
        <w:pageBreakBefore w:val="0"/>
        <w:widowControl w:val="0"/>
        <w:kinsoku/>
        <w:overflowPunct/>
        <w:topLinePunct w:val="0"/>
        <w:autoSpaceDN/>
        <w:bidi w:val="0"/>
        <w:spacing w:line="600" w:lineRule="exact"/>
        <w:textAlignment w:val="auto"/>
        <w:rPr>
          <w:rFonts w:hint="eastAsia" w:eastAsiaTheme="minorEastAsia"/>
          <w:lang w:eastAsia="zh-CN"/>
        </w:rPr>
      </w:pPr>
    </w:p>
    <w:p>
      <w:pPr>
        <w:pStyle w:val="4"/>
        <w:pageBreakBefore w:val="0"/>
        <w:widowControl w:val="0"/>
        <w:kinsoku/>
        <w:overflowPunct/>
        <w:topLinePunct w:val="0"/>
        <w:autoSpaceDN/>
        <w:bidi w:val="0"/>
        <w:spacing w:line="600" w:lineRule="exact"/>
        <w:textAlignment w:val="auto"/>
        <w:rPr>
          <w:rFonts w:hint="eastAsia" w:eastAsiaTheme="minorEastAsia"/>
          <w:lang w:eastAsia="zh-CN"/>
        </w:rPr>
      </w:pPr>
    </w:p>
    <w:p>
      <w:pPr>
        <w:pStyle w:val="4"/>
        <w:pageBreakBefore w:val="0"/>
        <w:widowControl w:val="0"/>
        <w:kinsoku/>
        <w:overflowPunct/>
        <w:topLinePunct w:val="0"/>
        <w:autoSpaceDN/>
        <w:bidi w:val="0"/>
        <w:spacing w:line="60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600" w:lineRule="exact"/>
        <w:textAlignment w:val="auto"/>
        <w:rPr>
          <w:rFonts w:hint="eastAsia"/>
          <w:color w:val="auto"/>
          <w:highlight w:val="none"/>
        </w:rPr>
      </w:pPr>
    </w:p>
    <w:p>
      <w:pPr>
        <w:pageBreakBefore w:val="0"/>
        <w:widowControl w:val="0"/>
        <w:kinsoku/>
        <w:wordWrap/>
        <w:overflowPunct/>
        <w:topLinePunct w:val="0"/>
        <w:autoSpaceDE/>
        <w:autoSpaceDN/>
        <w:bidi w:val="0"/>
        <w:spacing w:line="60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600" w:lineRule="exact"/>
        <w:jc w:val="left"/>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overflowPunct/>
        <w:topLinePunct w:val="0"/>
        <w:autoSpaceDN/>
        <w:bidi w:val="0"/>
        <w:spacing w:line="600" w:lineRule="exact"/>
        <w:ind w:firstLine="640" w:firstLineChars="200"/>
        <w:jc w:val="left"/>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   </w:t>
      </w:r>
      <w:r>
        <w:rPr>
          <w:rFonts w:hint="eastAsia" w:ascii="方正小标宋_GBK" w:hAnsi="方正小标宋_GBK" w:eastAsia="方正小标宋_GBK" w:cs="方正小标宋_GBK"/>
          <w:b w:val="0"/>
          <w:bCs w:val="0"/>
          <w:color w:val="000000"/>
          <w:kern w:val="2"/>
          <w:sz w:val="32"/>
          <w:szCs w:val="32"/>
          <w:lang w:val="en-US" w:eastAsia="zh-CN" w:bidi="ar-SA"/>
        </w:rPr>
        <w:t xml:space="preserve"> 项目名称：叶城县铁提乡渠系建设项目</w:t>
      </w:r>
    </w:p>
    <w:p>
      <w:pPr>
        <w:pageBreakBefore w:val="0"/>
        <w:widowControl w:val="0"/>
        <w:kinsoku/>
        <w:overflowPunct/>
        <w:topLinePunct w:val="0"/>
        <w:autoSpaceDN/>
        <w:bidi w:val="0"/>
        <w:spacing w:line="600" w:lineRule="exact"/>
        <w:ind w:firstLine="640" w:firstLineChars="200"/>
        <w:jc w:val="left"/>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 xml:space="preserve">    实施单位：叶城县铁提乡人民政府</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主管部门：叶城县农业农村局</w:t>
      </w:r>
    </w:p>
    <w:p>
      <w:pPr>
        <w:pageBreakBefore w:val="0"/>
        <w:widowControl w:val="0"/>
        <w:kinsoku/>
        <w:overflowPunct/>
        <w:topLinePunct w:val="0"/>
        <w:autoSpaceDN/>
        <w:bidi w:val="0"/>
        <w:spacing w:line="600" w:lineRule="exact"/>
        <w:ind w:firstLine="1280" w:firstLineChars="400"/>
        <w:jc w:val="left"/>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项目负责人：赵吉福</w:t>
      </w:r>
    </w:p>
    <w:p>
      <w:pPr>
        <w:pageBreakBefore w:val="0"/>
        <w:widowControl w:val="0"/>
        <w:kinsoku/>
        <w:overflowPunct/>
        <w:topLinePunct w:val="0"/>
        <w:autoSpaceDN/>
        <w:bidi w:val="0"/>
        <w:spacing w:line="600" w:lineRule="exact"/>
        <w:ind w:firstLine="1280" w:firstLineChars="400"/>
        <w:jc w:val="left"/>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exact"/>
        <w:ind w:firstLine="1200" w:firstLineChars="400"/>
        <w:jc w:val="left"/>
        <w:textAlignment w:val="auto"/>
        <w:rPr>
          <w:rFonts w:hint="eastAsia" w:ascii="Times New Roman" w:hAnsi="Times New Roman" w:eastAsia="方正仿宋_GBK" w:cs="方正仿宋_GBK"/>
          <w:color w:val="auto"/>
          <w:kern w:val="0"/>
          <w:sz w:val="30"/>
          <w:szCs w:val="30"/>
          <w:lang w:bidi="en-US"/>
        </w:rPr>
      </w:pPr>
    </w:p>
    <w:p>
      <w:pPr>
        <w:pStyle w:val="8"/>
        <w:pageBreakBefore w:val="0"/>
        <w:widowControl w:val="0"/>
        <w:kinsoku/>
        <w:wordWrap/>
        <w:overflowPunct/>
        <w:topLinePunct w:val="0"/>
        <w:autoSpaceDE/>
        <w:autoSpaceDN/>
        <w:bidi w:val="0"/>
        <w:spacing w:line="600" w:lineRule="exact"/>
        <w:textAlignment w:val="auto"/>
        <w:rPr>
          <w:rFonts w:hint="eastAsia" w:ascii="Times New Roman" w:hAnsi="Times New Roman" w:eastAsia="方正仿宋_GBK" w:cs="方正仿宋_GBK"/>
          <w:lang w:eastAsia="zh-CN"/>
        </w:rPr>
      </w:pPr>
    </w:p>
    <w:p>
      <w:pPr>
        <w:pageBreakBefore w:val="0"/>
        <w:widowControl w:val="0"/>
        <w:kinsoku/>
        <w:overflowPunct/>
        <w:topLinePunct w:val="0"/>
        <w:autoSpaceDN/>
        <w:bidi w:val="0"/>
        <w:spacing w:line="600" w:lineRule="exact"/>
        <w:ind w:firstLine="643" w:firstLineChars="200"/>
        <w:jc w:val="center"/>
        <w:textAlignment w:val="auto"/>
        <w:rPr>
          <w:rFonts w:hint="eastAsia" w:ascii="黑体" w:hAnsi="黑体" w:eastAsia="黑体"/>
          <w:b/>
          <w:bCs/>
          <w:color w:val="000000"/>
          <w:sz w:val="32"/>
          <w:szCs w:val="32"/>
          <w:lang w:eastAsia="zh-CN"/>
        </w:rPr>
      </w:pPr>
    </w:p>
    <w:p>
      <w:pPr>
        <w:pageBreakBefore w:val="0"/>
        <w:widowControl w:val="0"/>
        <w:tabs>
          <w:tab w:val="left" w:pos="1680"/>
        </w:tabs>
        <w:kinsoku/>
        <w:wordWrap/>
        <w:overflowPunct/>
        <w:topLinePunct w:val="0"/>
        <w:autoSpaceDE/>
        <w:autoSpaceDN/>
        <w:bidi w:val="0"/>
        <w:spacing w:before="120" w:after="120" w:line="600" w:lineRule="exact"/>
        <w:jc w:val="center"/>
        <w:textAlignment w:val="auto"/>
        <w:outlineLvl w:val="0"/>
        <w:rPr>
          <w:rFonts w:hint="eastAsia" w:ascii="方正小标宋_GBK" w:hAnsi="方正小标宋_GBK" w:eastAsia="方正小标宋_GBK" w:cs="方正小标宋_GBK"/>
          <w:b w:val="0"/>
          <w:bCs w:val="0"/>
          <w:color w:val="000000"/>
          <w:sz w:val="44"/>
          <w:szCs w:val="44"/>
          <w:lang w:val="en-US" w:eastAsia="zh-CN"/>
        </w:rPr>
      </w:pPr>
      <w:r>
        <w:rPr>
          <w:rFonts w:hint="eastAsia" w:ascii="方正小标宋_GBK" w:hAnsi="方正小标宋_GBK" w:eastAsia="方正小标宋_GBK" w:cs="方正小标宋_GBK"/>
          <w:b w:val="0"/>
          <w:bCs w:val="0"/>
          <w:color w:val="000000"/>
          <w:sz w:val="44"/>
          <w:szCs w:val="44"/>
          <w:lang w:val="en-US" w:eastAsia="zh-CN"/>
        </w:rPr>
        <w:t>叶城县铁提乡渠系建设项目绩效自评总结报告</w:t>
      </w:r>
    </w:p>
    <w:p>
      <w:pPr>
        <w:keepNext w:val="0"/>
        <w:keepLines w:val="0"/>
        <w:pageBreakBefore w:val="0"/>
        <w:widowControl w:val="0"/>
        <w:kinsoku/>
        <w:overflowPunct/>
        <w:topLinePunct w:val="0"/>
        <w:autoSpaceDN/>
        <w:bidi w:val="0"/>
        <w:adjustRightInd/>
        <w:snapToGrid/>
        <w:spacing w:line="600" w:lineRule="exact"/>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pStyle w:val="17"/>
        <w:pageBreakBefore w:val="0"/>
        <w:widowControl w:val="0"/>
        <w:kinsoku/>
        <w:wordWrap/>
        <w:overflowPunct/>
        <w:topLinePunct w:val="0"/>
        <w:autoSpaceDE/>
        <w:autoSpaceDN/>
        <w:bidi w:val="0"/>
        <w:spacing w:line="60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根据《关于下达 2023 年自治区财政衔接推进乡村振兴补助资金预算的通知》（喀地财振【2023】3 号），下达2023年巩固拓展脱贫攻坚成果同乡村振兴衔接资金，叶城县铁提乡渠系建设项目，项目总投资为390万元，通过该项目的实施，将给沿线居民的生产、出行提供极大的方便，极大的改善了沿线的交通环境，使沿线人民群众直接受益。</w:t>
      </w:r>
    </w:p>
    <w:p>
      <w:pPr>
        <w:keepNext w:val="0"/>
        <w:keepLines w:val="0"/>
        <w:pageBreakBefore w:val="0"/>
        <w:widowControl w:val="0"/>
        <w:numPr>
          <w:ilvl w:val="0"/>
          <w:numId w:val="0"/>
        </w:numPr>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sz w:val="32"/>
          <w:szCs w:val="32"/>
          <w:lang w:val="en-US" w:eastAsia="zh-CN"/>
        </w:rPr>
        <w:t>2.巩固拓展脱贫攻坚成果同乡村振兴衔接资金</w:t>
      </w:r>
      <w:r>
        <w:rPr>
          <w:rFonts w:hint="eastAsia" w:ascii="方正楷体_GBK" w:hAnsi="方正楷体_GBK" w:eastAsia="方正楷体_GBK" w:cs="方正楷体_GBK"/>
          <w:b/>
          <w:bCs/>
          <w:color w:val="000000"/>
          <w:sz w:val="32"/>
          <w:szCs w:val="32"/>
        </w:rPr>
        <w:t>项目绩效目标设定情况。</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计划投资390万元，资金来源为巩固拓展脱贫攻坚成果同乡村振兴有效衔接资金，建设内容：在铁提乡2村、3村、4村、7村、10村建设0.2-0.5m3/s防渗渠5.2公里。该项目实施后可大幅度改善项目村村民生活环境，提高村民生活素质，进一步增强项目村农户幸福感和获得感。</w:t>
      </w:r>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2318"/>
      <w:bookmarkStart w:id="3" w:name="_Toc5633"/>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ascii="仿宋_GB2312" w:hAnsi="黑体" w:eastAsia="仿宋_GB2312"/>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该项目共安排下达资金390万元，为衔接资金，最终确定项目资金总数为390万元。</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截至2023年12月31日，实际支出387.96万元，预算执行率99%。</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bookmarkStart w:id="6" w:name="_GoBack"/>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新建防渗渠5.2公里，与预期目标一致，指标标杆分值为10分，根据评分标准，该指标不扣分。得10分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项目工程验收合格率100%，与预期目标一致，指标标杆分值为10分,根据评分标准，该指标不扣分，得10分。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项目开工时间2023年7月，与预期目标一致，指标标杆分值为5分,根据评分标准，该指标不扣分，得5分。       项目完工时间2023年10月，与预期目标一致，指标标杆分值为5分,根据评分标准，该指标不扣分，得5分。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项目（工程）完成及时率100%，与预期目标一致，指标标杆分值为10分，根据评分标准，该指标不扣分，得10分。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新建防渗渠每公里成本74.61万元，与预期目标不一致，指标标杆分值为10分，根据评分标准，该指标扣分，得 9.9分。</w:t>
      </w:r>
    </w:p>
    <w:p>
      <w:pPr>
        <w:pStyle w:val="4"/>
        <w:keepNext w:val="0"/>
        <w:keepLines w:val="0"/>
        <w:pageBreakBefore w:val="0"/>
        <w:widowControl w:val="0"/>
        <w:kinsoku/>
        <w:overflowPunct/>
        <w:topLinePunct w:val="0"/>
        <w:autoSpaceDN/>
        <w:bidi w:val="0"/>
        <w:adjustRightInd/>
        <w:snapToGrid/>
        <w:spacing w:line="60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合计得9.9分。</w:t>
      </w:r>
    </w:p>
    <w:p>
      <w:pPr>
        <w:pStyle w:val="4"/>
        <w:keepNext w:val="0"/>
        <w:keepLines w:val="0"/>
        <w:pageBreakBefore w:val="0"/>
        <w:widowControl w:val="0"/>
        <w:kinsoku/>
        <w:overflowPunct/>
        <w:topLinePunct w:val="0"/>
        <w:autoSpaceDN/>
        <w:bidi w:val="0"/>
        <w:adjustRightInd/>
        <w:snapToGrid/>
        <w:spacing w:line="60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产出指标合计得49.9分。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带动增加受益脱贫户人口全年总收入60万元，与预期目标一致，指标标杆分值为10分，根据评分标准，该指标不扣分，得10分。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600" w:lineRule="exac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带动脱贫户和边缘易致贫户人数25人，与预期目标一致，指标标杆分值为10分，根据评分标准，该指标不扣分，得10分。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60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合计得10分。</w:t>
      </w:r>
    </w:p>
    <w:p>
      <w:pPr>
        <w:pStyle w:val="4"/>
        <w:keepNext w:val="0"/>
        <w:keepLines w:val="0"/>
        <w:pageBreakBefore w:val="0"/>
        <w:widowControl w:val="0"/>
        <w:numPr>
          <w:ilvl w:val="0"/>
          <w:numId w:val="1"/>
        </w:numPr>
        <w:kinsoku/>
        <w:overflowPunct/>
        <w:topLinePunct w:val="0"/>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有效保持项目区的水土平衡，与预期目标一致，指标标杆分值为5分，根据评分标准，该指标不扣分，得5分。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项目工程设计使用年限20年以上，与预期目标一致，指标标杆分值为5分，根据评分标准，该指标不扣分，得5分。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对于“满意度指标”：受益脱贫户人口满意度95%，与预期目标一致，根据评分标准，该指标不扣分,得10分。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right="0" w:firstLine="641" w:firstLineChars="200"/>
        <w:jc w:val="left"/>
        <w:textAlignment w:val="auto"/>
        <w:rPr>
          <w:rFonts w:hint="eastAsia" w:ascii="方正公文黑体" w:hAnsi="方正公文黑体" w:eastAsia="方正公文黑体" w:cs="方正公文黑体"/>
          <w:b/>
          <w:bCs/>
          <w:color w:val="000000"/>
          <w:kern w:val="2"/>
          <w:sz w:val="32"/>
          <w:szCs w:val="32"/>
          <w:lang w:val="en-US" w:eastAsia="zh-CN" w:bidi="ar-SA"/>
        </w:rPr>
      </w:pPr>
      <w:r>
        <w:rPr>
          <w:rFonts w:hint="eastAsia" w:ascii="方正公文黑体" w:hAnsi="方正公文黑体" w:eastAsia="方正公文黑体" w:cs="方正公文黑体"/>
          <w:b/>
          <w:bCs/>
          <w:color w:val="000000"/>
          <w:kern w:val="2"/>
          <w:sz w:val="32"/>
          <w:szCs w:val="32"/>
          <w:lang w:val="en-US" w:eastAsia="zh-CN" w:bidi="ar-SA"/>
        </w:rPr>
        <w:t>四、偏离绩效目标的原因和下一步改进措施</w:t>
      </w:r>
    </w:p>
    <w:p>
      <w:pPr>
        <w:pStyle w:val="17"/>
        <w:pageBreakBefore w:val="0"/>
        <w:widowControl w:val="0"/>
        <w:kinsoku/>
        <w:wordWrap/>
        <w:overflowPunct/>
        <w:topLinePunct w:val="0"/>
        <w:autoSpaceDE/>
        <w:autoSpaceDN/>
        <w:bidi w:val="0"/>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叶城县铁提乡渠系建设项目预算390万元，到位390万元，实际支出387.96万元，预算执行率为99%，项目绩效指标总体完成率为99.8%，无偏差。</w:t>
      </w:r>
    </w:p>
    <w:p>
      <w:pPr>
        <w:pStyle w:val="17"/>
        <w:pageBreakBefore w:val="0"/>
        <w:widowControl w:val="0"/>
        <w:kinsoku/>
        <w:wordWrap/>
        <w:overflowPunct/>
        <w:topLinePunct w:val="0"/>
        <w:autoSpaceDE/>
        <w:autoSpaceDN/>
        <w:bidi w:val="0"/>
        <w:spacing w:line="600" w:lineRule="exact"/>
        <w:ind w:firstLine="640"/>
        <w:textAlignment w:val="auto"/>
        <w:rPr>
          <w:rFonts w:hint="eastAsia" w:ascii="方正公文黑体" w:hAnsi="方正公文黑体" w:eastAsia="方正公文黑体" w:cs="方正公文黑体"/>
          <w:b/>
          <w:bCs/>
          <w:color w:val="auto"/>
          <w:sz w:val="32"/>
          <w:highlight w:val="none"/>
        </w:rPr>
      </w:pPr>
      <w:r>
        <w:rPr>
          <w:rFonts w:hint="eastAsia" w:ascii="方正公文黑体" w:hAnsi="方正公文黑体" w:eastAsia="方正公文黑体" w:cs="方正公文黑体"/>
          <w:b/>
          <w:bCs/>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铁提乡渠系建设项目在铁提乡2村、3村、4村、7村、10村建设0.2-0.5m3/s防渗渠5.2公里，该项目实施后大幅度改善项目村村民生活环境，提高村民生活素质，进一步增强项目村农户幸福感和获得感。该项目最终评分99.8分，绩效评级为“优”。</w:t>
      </w:r>
    </w:p>
    <w:p>
      <w:pPr>
        <w:keepNext w:val="0"/>
        <w:keepLines w:val="0"/>
        <w:pageBreakBefore w:val="0"/>
        <w:widowControl w:val="0"/>
        <w:numPr>
          <w:ilvl w:val="0"/>
          <w:numId w:val="0"/>
        </w:numPr>
        <w:kinsoku/>
        <w:overflowPunct/>
        <w:topLinePunct w:val="0"/>
        <w:autoSpaceDN/>
        <w:bidi w:val="0"/>
        <w:adjustRightInd/>
        <w:snapToGrid/>
        <w:spacing w:line="600" w:lineRule="exact"/>
        <w:ind w:leftChars="200"/>
        <w:jc w:val="left"/>
        <w:textAlignment w:val="auto"/>
        <w:rPr>
          <w:rFonts w:hint="eastAsia" w:ascii="方正公文黑体" w:hAnsi="方正公文黑体" w:eastAsia="方正公文黑体" w:cs="方正公文黑体"/>
          <w:b/>
          <w:color w:val="000000"/>
          <w:sz w:val="32"/>
          <w:szCs w:val="32"/>
        </w:rPr>
      </w:pPr>
      <w:r>
        <w:rPr>
          <w:rFonts w:hint="eastAsia" w:ascii="方正公文黑体" w:hAnsi="方正公文黑体" w:eastAsia="方正公文黑体" w:cs="方正公文黑体"/>
          <w:b/>
          <w:color w:val="000000"/>
          <w:sz w:val="32"/>
          <w:szCs w:val="32"/>
          <w:lang w:val="en-US" w:eastAsia="zh-CN"/>
        </w:rPr>
        <w:t>六、</w:t>
      </w:r>
      <w:r>
        <w:rPr>
          <w:rFonts w:hint="eastAsia" w:ascii="方正公文黑体" w:hAnsi="方正公文黑体" w:eastAsia="方正公文黑体" w:cs="方正公文黑体"/>
          <w:b/>
          <w:color w:val="000000"/>
          <w:sz w:val="32"/>
          <w:szCs w:val="32"/>
        </w:rPr>
        <w:t>绩效自评结果拟应用和公开情况</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（一）对巩固拓展脱贫攻坚成果同乡村振兴衔接资金项目、绩效公告公示情况</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铁提乡进行了张榜公开，接受社会监督。</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numPr>
          <w:ilvl w:val="0"/>
          <w:numId w:val="2"/>
        </w:numPr>
        <w:ind w:firstLine="624" w:firstLineChars="200"/>
        <w:rPr>
          <w:rFonts w:hint="eastAsia" w:ascii="方正公文黑体" w:hAnsi="方正公文黑体" w:eastAsia="方正公文黑体" w:cs="方正公文黑体"/>
          <w:b w:val="0"/>
          <w:bCs/>
          <w:spacing w:val="-4"/>
          <w:sz w:val="32"/>
          <w:szCs w:val="32"/>
        </w:rPr>
      </w:pPr>
      <w:r>
        <w:rPr>
          <w:rFonts w:hint="eastAsia" w:ascii="方正公文黑体" w:hAnsi="方正公文黑体" w:eastAsia="方正公文黑体" w:cs="方正公文黑体"/>
          <w:b w:val="0"/>
          <w:bCs/>
          <w:spacing w:val="-4"/>
          <w:sz w:val="32"/>
          <w:szCs w:val="32"/>
        </w:rPr>
        <w:t>绩效评价工作有关说明</w:t>
      </w:r>
    </w:p>
    <w:p>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单位成立了项目绩效评价工作小组，项目组长为</w:t>
      </w:r>
      <w:r>
        <w:rPr>
          <w:rFonts w:hint="eastAsia" w:ascii="方正仿宋_GBK" w:hAnsi="方正仿宋_GBK" w:eastAsia="方正仿宋_GBK" w:cs="方正仿宋_GBK"/>
          <w:sz w:val="32"/>
          <w:szCs w:val="32"/>
          <w:lang w:val="en-US" w:eastAsia="zh-CN"/>
        </w:rPr>
        <w:t>赵吉福</w:t>
      </w:r>
      <w:r>
        <w:rPr>
          <w:rFonts w:hint="eastAsia" w:ascii="方正仿宋_GBK" w:hAnsi="方正仿宋_GBK" w:eastAsia="方正仿宋_GBK" w:cs="方正仿宋_GBK"/>
          <w:sz w:val="32"/>
          <w:szCs w:val="32"/>
        </w:rPr>
        <w:t>，主要负责制定项目评价方案。项目成员为</w:t>
      </w:r>
      <w:r>
        <w:rPr>
          <w:rFonts w:hint="eastAsia" w:ascii="方正仿宋_GBK" w:hAnsi="方正仿宋_GBK" w:eastAsia="方正仿宋_GBK" w:cs="方正仿宋_GBK"/>
          <w:sz w:val="32"/>
          <w:szCs w:val="32"/>
          <w:lang w:val="en-US" w:eastAsia="zh-CN"/>
        </w:rPr>
        <w:t>陈春娥、曾雯</w:t>
      </w:r>
      <w:r>
        <w:rPr>
          <w:rFonts w:hint="eastAsia" w:ascii="方正仿宋_GBK" w:hAnsi="方正仿宋_GBK" w:eastAsia="方正仿宋_GBK" w:cs="方正仿宋_GBK"/>
          <w:sz w:val="32"/>
          <w:szCs w:val="32"/>
        </w:rPr>
        <w:t>，主要负责收集核查项目资料、现场实地调查资料、绩效的监控情况资料、最终形成自评报告的初稿。</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600" w:lineRule="exact"/>
        <w:ind w:leftChars="200"/>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1C8505-A379-41E4-9A29-D10E2D0AF07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79AEA32-A973-46DC-AC13-21B1481299EB}"/>
  </w:font>
  <w:font w:name="HYb2gj">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embedRegular r:id="rId3" w:fontKey="{A6EC572F-9E76-4F7F-895B-DEBD4F546AAA}"/>
  </w:font>
  <w:font w:name="方正仿宋_GBK">
    <w:panose1 w:val="03000509000000000000"/>
    <w:charset w:val="86"/>
    <w:family w:val="script"/>
    <w:pitch w:val="default"/>
    <w:sig w:usb0="00000001" w:usb1="080E0000" w:usb2="00000000" w:usb3="00000000" w:csb0="00040000" w:csb1="00000000"/>
    <w:embedRegular r:id="rId4" w:fontKey="{3A677D22-A367-4F05-A635-4E658236154E}"/>
  </w:font>
  <w:font w:name="方正公文黑体">
    <w:panose1 w:val="02000500000000000000"/>
    <w:charset w:val="86"/>
    <w:family w:val="auto"/>
    <w:pitch w:val="default"/>
    <w:sig w:usb0="00000000" w:usb1="00000000" w:usb2="00000000" w:usb3="00000000" w:csb0="00000000" w:csb1="00000000"/>
    <w:embedRegular r:id="rId5" w:fontKey="{50E8AB30-AD01-4434-B610-99A233023894}"/>
  </w:font>
  <w:font w:name="方正楷体_GBK">
    <w:panose1 w:val="02000000000000000000"/>
    <w:charset w:val="86"/>
    <w:family w:val="auto"/>
    <w:pitch w:val="default"/>
    <w:sig w:usb0="00000000" w:usb1="00000000" w:usb2="00000000" w:usb3="00000000" w:csb0="00000000" w:csb1="00000000"/>
    <w:embedRegular r:id="rId6" w:fontKey="{303F7521-431E-492C-8C9C-E5D1EA8564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abstractNum w:abstractNumId="1">
    <w:nsid w:val="91E381D3"/>
    <w:multiLevelType w:val="singleLevel"/>
    <w:tmpl w:val="91E381D3"/>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F20A26"/>
    <w:rsid w:val="05400D56"/>
    <w:rsid w:val="059A592B"/>
    <w:rsid w:val="06C03EB9"/>
    <w:rsid w:val="08EC01DC"/>
    <w:rsid w:val="0BA35725"/>
    <w:rsid w:val="115F6D41"/>
    <w:rsid w:val="12350168"/>
    <w:rsid w:val="12792E93"/>
    <w:rsid w:val="129064AA"/>
    <w:rsid w:val="12A245A9"/>
    <w:rsid w:val="14653122"/>
    <w:rsid w:val="15207B90"/>
    <w:rsid w:val="155630CB"/>
    <w:rsid w:val="15C10B6C"/>
    <w:rsid w:val="17170330"/>
    <w:rsid w:val="17F82735"/>
    <w:rsid w:val="18740F2C"/>
    <w:rsid w:val="187A025D"/>
    <w:rsid w:val="1937751C"/>
    <w:rsid w:val="19D41061"/>
    <w:rsid w:val="1ABF7AF2"/>
    <w:rsid w:val="1B4D6D35"/>
    <w:rsid w:val="1CE0327F"/>
    <w:rsid w:val="20183F4F"/>
    <w:rsid w:val="21244505"/>
    <w:rsid w:val="219E4C3B"/>
    <w:rsid w:val="22084AEF"/>
    <w:rsid w:val="22E936F1"/>
    <w:rsid w:val="255E3F94"/>
    <w:rsid w:val="2583416F"/>
    <w:rsid w:val="28B53F10"/>
    <w:rsid w:val="2910277E"/>
    <w:rsid w:val="29EC0C5C"/>
    <w:rsid w:val="2B1E4C6A"/>
    <w:rsid w:val="2D5F13D7"/>
    <w:rsid w:val="2DBC0615"/>
    <w:rsid w:val="2E51749D"/>
    <w:rsid w:val="31951CB2"/>
    <w:rsid w:val="31A02A0C"/>
    <w:rsid w:val="31AE0AA6"/>
    <w:rsid w:val="386D751C"/>
    <w:rsid w:val="3A667D78"/>
    <w:rsid w:val="3E367EAB"/>
    <w:rsid w:val="41871287"/>
    <w:rsid w:val="43BE3CB3"/>
    <w:rsid w:val="45FA12D4"/>
    <w:rsid w:val="47207E1C"/>
    <w:rsid w:val="4B095EA9"/>
    <w:rsid w:val="4BA819CC"/>
    <w:rsid w:val="4EB73B1F"/>
    <w:rsid w:val="54575230"/>
    <w:rsid w:val="55DA66E7"/>
    <w:rsid w:val="56B454E6"/>
    <w:rsid w:val="5B532BE1"/>
    <w:rsid w:val="5CEF0BA5"/>
    <w:rsid w:val="600174A9"/>
    <w:rsid w:val="614F4951"/>
    <w:rsid w:val="647906B5"/>
    <w:rsid w:val="648839FD"/>
    <w:rsid w:val="650B5A44"/>
    <w:rsid w:val="651A36AB"/>
    <w:rsid w:val="6A2622F8"/>
    <w:rsid w:val="6AC53C59"/>
    <w:rsid w:val="6D0F2BFA"/>
    <w:rsid w:val="6DAE27DC"/>
    <w:rsid w:val="71A83BF0"/>
    <w:rsid w:val="72566287"/>
    <w:rsid w:val="74023E95"/>
    <w:rsid w:val="771204C4"/>
    <w:rsid w:val="7B580975"/>
    <w:rsid w:val="7E0F4E56"/>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2</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710C28CDA1CF449A9BCF5FD0DE5A0706</vt:lpwstr>
  </property>
</Properties>
</file>