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方正小标宋_GBK" w:hAnsi="方正小标宋_GBK" w:eastAsia="方正小标宋_GBK" w:cs="方正小标宋_GBK"/>
          <w:b w:val="0"/>
          <w:bCs w:val="0"/>
          <w:color w:val="000000"/>
          <w:sz w:val="44"/>
          <w:szCs w:val="44"/>
          <w:lang w:eastAsia="zh-CN"/>
        </w:rPr>
      </w:pPr>
    </w:p>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方正小标宋_GBK" w:hAnsi="方正小标宋_GBK" w:eastAsia="方正小标宋_GBK" w:cs="方正小标宋_GBK"/>
          <w:b w:val="0"/>
          <w:bCs w:val="0"/>
          <w:color w:val="000000"/>
          <w:sz w:val="44"/>
          <w:szCs w:val="44"/>
          <w:lang w:eastAsia="zh-CN"/>
        </w:rPr>
      </w:pPr>
    </w:p>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方正小标宋_GBK" w:hAnsi="方正小标宋_GBK" w:eastAsia="方正小标宋_GBK" w:cs="方正小标宋_GBK"/>
          <w:b w:val="0"/>
          <w:bCs w:val="0"/>
          <w:color w:val="000000"/>
          <w:sz w:val="44"/>
          <w:szCs w:val="44"/>
          <w:lang w:eastAsia="zh-CN"/>
        </w:rPr>
      </w:pPr>
      <w:r>
        <w:rPr>
          <w:rFonts w:hint="eastAsia" w:ascii="方正小标宋_GBK" w:hAnsi="方正小标宋_GBK" w:eastAsia="方正小标宋_GBK" w:cs="方正小标宋_GBK"/>
          <w:b w:val="0"/>
          <w:bCs w:val="0"/>
          <w:color w:val="000000"/>
          <w:sz w:val="44"/>
          <w:szCs w:val="44"/>
          <w:lang w:eastAsia="zh-CN"/>
        </w:rPr>
        <w:t>叶城县铁提乡铁提（7）村示范村乡村建设项目支出自评总结报告</w:t>
      </w:r>
    </w:p>
    <w:p>
      <w:pPr>
        <w:pageBreakBefore w:val="0"/>
        <w:widowControl w:val="0"/>
        <w:kinsoku/>
        <w:wordWrap/>
        <w:overflowPunct/>
        <w:topLinePunct w:val="0"/>
        <w:autoSpaceDE/>
        <w:autoSpaceDN/>
        <w:bidi w:val="0"/>
        <w:spacing w:line="600" w:lineRule="exact"/>
        <w:ind w:firstLine="0" w:firstLineChars="0"/>
        <w:jc w:val="center"/>
        <w:textAlignment w:val="auto"/>
        <w:rPr>
          <w:rFonts w:hint="eastAsia" w:ascii="方正仿宋_GB2312" w:hAnsi="方正仿宋_GB2312" w:eastAsia="方正仿宋_GB2312" w:cs="方正仿宋_GB2312"/>
          <w:b/>
          <w:color w:val="auto"/>
          <w:kern w:val="0"/>
          <w:sz w:val="32"/>
          <w:szCs w:val="32"/>
          <w:highlight w:val="none"/>
          <w:lang w:bidi="en-US"/>
        </w:rPr>
      </w:pPr>
    </w:p>
    <w:p>
      <w:pPr>
        <w:pStyle w:val="2"/>
        <w:pageBreakBefore w:val="0"/>
        <w:widowControl w:val="0"/>
        <w:kinsoku/>
        <w:wordWrap/>
        <w:overflowPunct/>
        <w:topLinePunct w:val="0"/>
        <w:autoSpaceDE/>
        <w:autoSpaceDN/>
        <w:bidi w:val="0"/>
        <w:spacing w:line="600" w:lineRule="exact"/>
        <w:textAlignment w:val="auto"/>
        <w:rPr>
          <w:rFonts w:hint="eastAsia" w:ascii="方正仿宋_GB2312" w:hAnsi="方正仿宋_GB2312" w:eastAsia="方正仿宋_GB2312" w:cs="方正仿宋_GB2312"/>
          <w:b/>
          <w:color w:val="auto"/>
          <w:kern w:val="0"/>
          <w:sz w:val="32"/>
          <w:szCs w:val="32"/>
          <w:highlight w:val="none"/>
          <w:lang w:bidi="en-US"/>
        </w:rPr>
      </w:pPr>
    </w:p>
    <w:p>
      <w:pPr>
        <w:pageBreakBefore w:val="0"/>
        <w:widowControl w:val="0"/>
        <w:kinsoku/>
        <w:overflowPunct/>
        <w:topLinePunct w:val="0"/>
        <w:autoSpaceDN/>
        <w:bidi w:val="0"/>
        <w:spacing w:line="600" w:lineRule="exact"/>
        <w:textAlignment w:val="auto"/>
        <w:rPr>
          <w:rFonts w:hint="eastAsia" w:ascii="方正仿宋_GB2312" w:hAnsi="方正仿宋_GB2312" w:eastAsia="方正仿宋_GB2312" w:cs="方正仿宋_GB2312"/>
          <w:color w:val="auto"/>
          <w:highlight w:val="none"/>
        </w:rPr>
      </w:pPr>
    </w:p>
    <w:p>
      <w:pPr>
        <w:pStyle w:val="4"/>
        <w:pageBreakBefore w:val="0"/>
        <w:widowControl w:val="0"/>
        <w:kinsoku/>
        <w:overflowPunct/>
        <w:topLinePunct w:val="0"/>
        <w:autoSpaceDN/>
        <w:bidi w:val="0"/>
        <w:spacing w:line="600" w:lineRule="exac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600" w:lineRule="exact"/>
        <w:textAlignment w:val="auto"/>
        <w:rPr>
          <w:rFonts w:hint="eastAsia" w:ascii="方正仿宋_GB2312" w:hAnsi="方正仿宋_GB2312" w:eastAsia="方正仿宋_GB2312" w:cs="方正仿宋_GB2312"/>
          <w:lang w:eastAsia="zh-CN"/>
        </w:rPr>
      </w:pPr>
    </w:p>
    <w:p>
      <w:pPr>
        <w:pStyle w:val="4"/>
        <w:pageBreakBefore w:val="0"/>
        <w:widowControl w:val="0"/>
        <w:kinsoku/>
        <w:overflowPunct/>
        <w:topLinePunct w:val="0"/>
        <w:autoSpaceDN/>
        <w:bidi w:val="0"/>
        <w:spacing w:line="600" w:lineRule="exact"/>
        <w:textAlignment w:val="auto"/>
        <w:rPr>
          <w:rFonts w:hint="eastAsia" w:ascii="方正仿宋_GB2312" w:hAnsi="方正仿宋_GB2312" w:eastAsia="方正仿宋_GB2312" w:cs="方正仿宋_GB2312"/>
          <w:lang w:eastAsia="zh-CN"/>
        </w:rPr>
      </w:pPr>
    </w:p>
    <w:p>
      <w:pPr>
        <w:pageBreakBefore w:val="0"/>
        <w:widowControl w:val="0"/>
        <w:kinsoku/>
        <w:wordWrap/>
        <w:overflowPunct/>
        <w:topLinePunct w:val="0"/>
        <w:autoSpaceDE/>
        <w:autoSpaceDN/>
        <w:bidi w:val="0"/>
        <w:spacing w:line="600" w:lineRule="exact"/>
        <w:textAlignment w:val="auto"/>
        <w:rPr>
          <w:rFonts w:hint="eastAsia" w:ascii="方正仿宋_GB2312" w:hAnsi="方正仿宋_GB2312" w:eastAsia="方正仿宋_GB2312" w:cs="方正仿宋_GB2312"/>
          <w:color w:val="auto"/>
          <w:highlight w:val="none"/>
        </w:rPr>
      </w:pPr>
    </w:p>
    <w:p>
      <w:pPr>
        <w:pageBreakBefore w:val="0"/>
        <w:widowControl w:val="0"/>
        <w:kinsoku/>
        <w:wordWrap/>
        <w:overflowPunct/>
        <w:topLinePunct w:val="0"/>
        <w:autoSpaceDE/>
        <w:autoSpaceDN/>
        <w:bidi w:val="0"/>
        <w:spacing w:line="600" w:lineRule="exact"/>
        <w:ind w:firstLine="0" w:firstLineChars="0"/>
        <w:jc w:val="both"/>
        <w:textAlignment w:val="auto"/>
        <w:rPr>
          <w:rFonts w:hint="eastAsia" w:ascii="方正仿宋_GB2312" w:hAnsi="方正仿宋_GB2312" w:eastAsia="方正仿宋_GB2312" w:cs="方正仿宋_GB2312"/>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600" w:lineRule="exact"/>
        <w:jc w:val="left"/>
        <w:textAlignment w:val="auto"/>
        <w:rPr>
          <w:rFonts w:hint="eastAsia" w:ascii="方正仿宋_GB2312" w:hAnsi="方正仿宋_GB2312" w:eastAsia="方正仿宋_GB2312" w:cs="方正仿宋_GB2312"/>
          <w:color w:val="000000"/>
          <w:kern w:val="2"/>
          <w:sz w:val="32"/>
          <w:szCs w:val="32"/>
          <w:lang w:val="en-US" w:eastAsia="zh-CN" w:bidi="ar-SA"/>
        </w:rPr>
      </w:pPr>
    </w:p>
    <w:p>
      <w:pPr>
        <w:pageBreakBefore w:val="0"/>
        <w:widowControl w:val="0"/>
        <w:kinsoku/>
        <w:overflowPunct/>
        <w:topLinePunct w:val="0"/>
        <w:autoSpaceDN/>
        <w:bidi w:val="0"/>
        <w:spacing w:line="600" w:lineRule="exact"/>
        <w:ind w:firstLine="640" w:firstLineChars="2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仿宋_GB2312" w:hAnsi="方正仿宋_GB2312" w:eastAsia="方正仿宋_GB2312" w:cs="方正仿宋_GB2312"/>
          <w:color w:val="000000"/>
          <w:kern w:val="2"/>
          <w:sz w:val="32"/>
          <w:szCs w:val="32"/>
          <w:lang w:val="en-US" w:eastAsia="zh-CN" w:bidi="ar-SA"/>
        </w:rPr>
        <w:t xml:space="preserve">   </w:t>
      </w:r>
      <w:r>
        <w:rPr>
          <w:rFonts w:hint="eastAsia" w:ascii="方正仿宋_GB2312" w:hAnsi="方正仿宋_GB2312" w:eastAsia="方正仿宋_GB2312" w:cs="方正仿宋_GB2312"/>
          <w:b/>
          <w:bCs/>
          <w:color w:val="000000"/>
          <w:kern w:val="2"/>
          <w:sz w:val="32"/>
          <w:szCs w:val="32"/>
          <w:lang w:val="en-US" w:eastAsia="zh-CN" w:bidi="ar-SA"/>
        </w:rPr>
        <w:t xml:space="preserve"> </w:t>
      </w:r>
      <w:r>
        <w:rPr>
          <w:rFonts w:hint="eastAsia" w:ascii="方正小标宋_GBK" w:hAnsi="方正小标宋_GBK" w:eastAsia="方正小标宋_GBK" w:cs="方正小标宋_GBK"/>
          <w:b w:val="0"/>
          <w:bCs w:val="0"/>
          <w:color w:val="000000"/>
          <w:kern w:val="2"/>
          <w:sz w:val="32"/>
          <w:szCs w:val="32"/>
          <w:lang w:val="en-US" w:eastAsia="zh-CN" w:bidi="ar-SA"/>
        </w:rPr>
        <w:t>项目名称：叶城县铁提乡铁提（7）村示范村乡村建设项目</w:t>
      </w:r>
    </w:p>
    <w:p>
      <w:pPr>
        <w:pageBreakBefore w:val="0"/>
        <w:widowControl w:val="0"/>
        <w:kinsoku/>
        <w:overflowPunct/>
        <w:topLinePunct w:val="0"/>
        <w:autoSpaceDN/>
        <w:bidi w:val="0"/>
        <w:spacing w:line="600" w:lineRule="exact"/>
        <w:ind w:firstLine="640" w:firstLineChars="2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 xml:space="preserve">    实施单位：叶城县铁提乡人民政府</w:t>
      </w:r>
    </w:p>
    <w:p>
      <w:pPr>
        <w:pageBreakBefore w:val="0"/>
        <w:widowControl w:val="0"/>
        <w:kinsoku/>
        <w:overflowPunct/>
        <w:topLinePunct w:val="0"/>
        <w:autoSpaceDN/>
        <w:bidi w:val="0"/>
        <w:spacing w:line="600" w:lineRule="exact"/>
        <w:ind w:firstLine="1280" w:firstLineChars="4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主管部门：叶城县住房和城乡建设局</w:t>
      </w:r>
    </w:p>
    <w:p>
      <w:pPr>
        <w:pageBreakBefore w:val="0"/>
        <w:widowControl w:val="0"/>
        <w:kinsoku/>
        <w:overflowPunct/>
        <w:topLinePunct w:val="0"/>
        <w:autoSpaceDN/>
        <w:bidi w:val="0"/>
        <w:spacing w:line="600" w:lineRule="exact"/>
        <w:ind w:firstLine="1280" w:firstLineChars="4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项目负责人：赵吉福</w:t>
      </w:r>
    </w:p>
    <w:p>
      <w:pPr>
        <w:pageBreakBefore w:val="0"/>
        <w:widowControl w:val="0"/>
        <w:kinsoku/>
        <w:overflowPunct/>
        <w:topLinePunct w:val="0"/>
        <w:autoSpaceDN/>
        <w:bidi w:val="0"/>
        <w:spacing w:line="600" w:lineRule="exact"/>
        <w:ind w:firstLine="1280" w:firstLineChars="4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填报时间： 2024年1月</w:t>
      </w:r>
    </w:p>
    <w:p>
      <w:pPr>
        <w:pageBreakBefore w:val="0"/>
        <w:widowControl w:val="0"/>
        <w:kinsoku/>
        <w:overflowPunct/>
        <w:topLinePunct w:val="0"/>
        <w:autoSpaceDN/>
        <w:bidi w:val="0"/>
        <w:spacing w:line="600" w:lineRule="exact"/>
        <w:ind w:firstLine="1200" w:firstLineChars="400"/>
        <w:jc w:val="left"/>
        <w:textAlignment w:val="auto"/>
        <w:rPr>
          <w:rFonts w:hint="eastAsia" w:ascii="方正仿宋_GB2312" w:hAnsi="方正仿宋_GB2312" w:eastAsia="方正仿宋_GB2312" w:cs="方正仿宋_GB2312"/>
          <w:color w:val="auto"/>
          <w:kern w:val="0"/>
          <w:sz w:val="30"/>
          <w:szCs w:val="30"/>
          <w:lang w:bidi="en-US"/>
        </w:rPr>
      </w:pPr>
    </w:p>
    <w:p>
      <w:pPr>
        <w:pageBreakBefore w:val="0"/>
        <w:widowControl w:val="0"/>
        <w:tabs>
          <w:tab w:val="left" w:pos="1680"/>
        </w:tabs>
        <w:kinsoku/>
        <w:wordWrap/>
        <w:overflowPunct/>
        <w:topLinePunct w:val="0"/>
        <w:autoSpaceDE/>
        <w:autoSpaceDN/>
        <w:bidi w:val="0"/>
        <w:spacing w:before="120" w:after="120" w:line="600" w:lineRule="exact"/>
        <w:jc w:val="center"/>
        <w:textAlignment w:val="auto"/>
        <w:outlineLvl w:val="0"/>
        <w:rPr>
          <w:rFonts w:hint="eastAsia" w:ascii="方正小标宋_GBK" w:hAnsi="方正小标宋_GBK" w:eastAsia="方正小标宋_GBK" w:cs="方正小标宋_GBK"/>
          <w:b w:val="0"/>
          <w:bCs w:val="0"/>
          <w:color w:val="000000"/>
          <w:sz w:val="44"/>
          <w:szCs w:val="44"/>
          <w:lang w:val="en-US" w:eastAsia="zh-CN"/>
        </w:rPr>
      </w:pPr>
      <w:r>
        <w:rPr>
          <w:rFonts w:hint="eastAsia" w:ascii="方正小标宋_GBK" w:hAnsi="方正小标宋_GBK" w:eastAsia="方正小标宋_GBK" w:cs="方正小标宋_GBK"/>
          <w:b w:val="0"/>
          <w:bCs w:val="0"/>
          <w:color w:val="000000"/>
          <w:sz w:val="44"/>
          <w:szCs w:val="44"/>
          <w:lang w:val="en-US" w:eastAsia="zh-CN"/>
        </w:rPr>
        <w:t>叶城县铁提乡铁提（7）村示范村乡村建设项目绩效自评总结报告</w:t>
      </w:r>
    </w:p>
    <w:p>
      <w:pPr>
        <w:keepNext w:val="0"/>
        <w:keepLines w:val="0"/>
        <w:pageBreakBefore w:val="0"/>
        <w:widowControl w:val="0"/>
        <w:kinsoku/>
        <w:overflowPunct/>
        <w:topLinePunct w:val="0"/>
        <w:autoSpaceDN/>
        <w:bidi w:val="0"/>
        <w:adjustRightInd/>
        <w:snapToGrid/>
        <w:spacing w:line="600" w:lineRule="exact"/>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1.</w:t>
      </w:r>
      <w:r>
        <w:rPr>
          <w:rFonts w:hint="eastAsia" w:ascii="方正楷体_GBK" w:hAnsi="方正楷体_GBK" w:eastAsia="方正楷体_GBK" w:cs="方正楷体_GBK"/>
          <w:b/>
          <w:bCs/>
          <w:color w:val="000000"/>
          <w:sz w:val="32"/>
          <w:szCs w:val="32"/>
          <w:lang w:eastAsia="zh-CN"/>
        </w:rPr>
        <w:t>财政衔接推进乡村振兴补助资金</w:t>
      </w:r>
      <w:r>
        <w:rPr>
          <w:rFonts w:hint="eastAsia" w:ascii="方正楷体_GBK" w:hAnsi="方正楷体_GBK" w:eastAsia="方正楷体_GBK" w:cs="方正楷体_GBK"/>
          <w:b/>
          <w:bCs/>
          <w:color w:val="000000"/>
          <w:sz w:val="32"/>
          <w:szCs w:val="32"/>
        </w:rPr>
        <w:t>下达预算及项目情况。</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根据根据《关于提前下达 2023 年自治区财政街接推进乡村振兴补助资金预算的通知》 (喀地财振[2022]6号)文件</w:t>
      </w:r>
      <w:r>
        <w:rPr>
          <w:rFonts w:hint="eastAsia" w:ascii="方正仿宋_GBK" w:hAnsi="方正仿宋_GBK" w:eastAsia="方正仿宋_GBK" w:cs="方正仿宋_GBK"/>
          <w:color w:val="000000"/>
          <w:kern w:val="2"/>
          <w:sz w:val="32"/>
          <w:szCs w:val="32"/>
          <w:lang w:val="en-US" w:eastAsia="zh-CN" w:bidi="ar-SA"/>
        </w:rPr>
        <w:t>，下达2023年巩固拓展脱贫攻坚成果同乡村振兴衔接资金，叶城县铁提乡铁提（7）村示范村乡村建设项目，项目总投资为385万元，通过该项目的实施，将推进当地农户人居环境改善，加快了厕所革命步伐，增强群众的幸福感、获得感。</w:t>
      </w:r>
    </w:p>
    <w:p>
      <w:pPr>
        <w:keepNext w:val="0"/>
        <w:keepLines w:val="0"/>
        <w:pageBreakBefore w:val="0"/>
        <w:widowControl w:val="0"/>
        <w:numPr>
          <w:ilvl w:val="0"/>
          <w:numId w:val="0"/>
        </w:numPr>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b/>
          <w:bCs/>
          <w:color w:val="000000"/>
          <w:sz w:val="32"/>
          <w:szCs w:val="32"/>
          <w:lang w:val="en-US" w:eastAsia="zh-CN"/>
        </w:rPr>
        <w:t>2.巩固拓展脱贫攻坚成果同乡村振兴衔接资金</w:t>
      </w:r>
      <w:r>
        <w:rPr>
          <w:rFonts w:hint="eastAsia" w:ascii="方正楷体_GBK" w:hAnsi="方正楷体_GBK" w:eastAsia="方正楷体_GBK" w:cs="方正楷体_GBK"/>
          <w:b/>
          <w:bCs/>
          <w:color w:val="000000"/>
          <w:sz w:val="32"/>
          <w:szCs w:val="32"/>
        </w:rPr>
        <w:t>项目绩效目标设定情况。</w:t>
      </w:r>
    </w:p>
    <w:p>
      <w:pPr>
        <w:keepNext w:val="0"/>
        <w:keepLines w:val="0"/>
        <w:pageBreakBefore w:val="0"/>
        <w:widowControl w:val="0"/>
        <w:kinsoku/>
        <w:overflowPunct/>
        <w:topLinePunct w:val="0"/>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总投资385万元，资金来源为巩固拓展脱贫攻坚成果同乡村振兴有效衔接资金，新建5公里污水管网及402户入户设施，配套检查井等附属设施。本项目建设通过对地理优势资源的合理开发利用，推进当地农户人居环境改善，加快了厕所革命步伐，增强群众的幸福感、获得感。增加就业，促进社会稳定。</w:t>
      </w:r>
    </w:p>
    <w:p>
      <w:pPr>
        <w:keepNext w:val="0"/>
        <w:keepLines w:val="0"/>
        <w:pageBreakBefore w:val="0"/>
        <w:widowControl w:val="0"/>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1. 绩效评价范围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2. 绩效评价对象</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2024年1月1日-2024年1月31日</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5. 绩效评价标准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17882"/>
      <w:bookmarkStart w:id="1" w:name="_Toc31464"/>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2318"/>
      <w:bookmarkStart w:id="3" w:name="_Toc5633"/>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430"/>
      <w:bookmarkStart w:id="5" w:name="_Toc16028"/>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该项目下达资金385万元</w:t>
      </w:r>
      <w:r>
        <w:rPr>
          <w:rFonts w:hint="eastAsia" w:ascii="方正仿宋_GBK" w:hAnsi="方正仿宋_GBK" w:eastAsia="方正仿宋_GBK" w:cs="方正仿宋_GBK"/>
          <w:color w:val="000000"/>
          <w:kern w:val="2"/>
          <w:sz w:val="32"/>
          <w:szCs w:val="32"/>
          <w:lang w:val="en-US" w:eastAsia="zh-CN" w:bidi="ar-SA"/>
        </w:rPr>
        <w:t>，为衔接资金，最终确定项目资金总数为385万元。</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截至2023年12月31日，实际支出385万元，预算执行率100%。</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w:t>
      </w:r>
      <w:bookmarkStart w:id="6" w:name="_GoBack"/>
      <w:bookmarkEnd w:id="6"/>
      <w:r>
        <w:rPr>
          <w:rFonts w:hint="eastAsia" w:ascii="方正仿宋_GBK" w:hAnsi="方正仿宋_GBK" w:eastAsia="方正仿宋_GBK" w:cs="方正仿宋_GBK"/>
          <w:color w:val="000000"/>
          <w:kern w:val="2"/>
          <w:sz w:val="32"/>
          <w:szCs w:val="32"/>
          <w:lang w:val="en-US" w:eastAsia="zh-CN" w:bidi="ar-SA"/>
        </w:rPr>
        <w:t>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脱贫村人居环境整治个数1个，与预期目标一致，指标标杆分值为6分，根据评分标准，该指标不扣分。得6分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新建污水管道及入户设施建设长度5公里，与预期目标一致，指标标杆分值为7分，根据评分标准，该指标不扣分。得7分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新建污水管道入户设施涉及户数402户，与预期目标一致，指标标杆分值为7分，根据评分标准，该指标不扣分。得7分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项目验收合格率100%，与预期目标一致，指标标杆分值为6分,根据评分标准，该指标不扣分，得6分。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项目开工时间2023年4月，与预期目标一致，指标标杆分值为6分,根据评分标准，该指标不扣分，得6分。        项目完工时间2023年7月，比计划提前3个月完工，指标标杆分值为6分,根据评分标准，该指标不扣分，6分。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项目完成及时率100%，与预期目标一致，指标标杆分值为6分，根据评分标准，该指标不扣分，得6分。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新建污水管道及入户设施建设成本为77万元/公里，与预期目标一致。指标标杆分值为6分，根据评分标准，该指标不扣分，得6分。</w:t>
      </w:r>
    </w:p>
    <w:p>
      <w:pPr>
        <w:pStyle w:val="4"/>
        <w:keepNext w:val="0"/>
        <w:keepLines w:val="0"/>
        <w:pageBreakBefore w:val="0"/>
        <w:widowControl w:val="0"/>
        <w:kinsoku/>
        <w:overflowPunct/>
        <w:topLinePunct w:val="0"/>
        <w:autoSpaceDN/>
        <w:bidi w:val="0"/>
        <w:adjustRightInd/>
        <w:snapToGrid/>
        <w:spacing w:line="60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b w:val="0"/>
          <w:bCs w:val="0"/>
          <w:color w:val="000000"/>
          <w:kern w:val="2"/>
          <w:sz w:val="32"/>
          <w:szCs w:val="32"/>
          <w:lang w:val="en-US" w:eastAsia="zh-CN" w:bidi="ar-SA"/>
        </w:rPr>
      </w:pPr>
      <w:r>
        <w:rPr>
          <w:rFonts w:hint="eastAsia" w:ascii="方正仿宋_GBK" w:hAnsi="方正仿宋_GBK" w:eastAsia="方正仿宋_GBK" w:cs="方正仿宋_GBK"/>
          <w:b w:val="0"/>
          <w:bCs w:val="0"/>
          <w:color w:val="000000"/>
          <w:kern w:val="2"/>
          <w:sz w:val="32"/>
          <w:szCs w:val="32"/>
          <w:lang w:val="en-US" w:eastAsia="zh-CN" w:bidi="ar-SA"/>
        </w:rPr>
        <w:t>产出指标合计得50分。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（1）对于“经济效益指标”：该项目无经济效益指标。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受益建档立卡脱贫人口数48人，与预期目标一致，指标标杆分值为15分，根据评分标准，该指标不扣分，得15分。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（3）对于“生态效益指标”：该项目无生态效益指标。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设计使用年限10年以上，与预期目标一致，指标标杆分值为15分，根据评分标准，该指标不扣分，得15分。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对于“满意度指标”：受益脱贫户人口满意度95%，与预期目标一致，根据评分标准，该指标不扣分,得10分。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right="0" w:firstLine="641" w:firstLineChars="200"/>
        <w:jc w:val="left"/>
        <w:textAlignment w:val="auto"/>
        <w:rPr>
          <w:rFonts w:hint="eastAsia" w:ascii="方正公文黑体" w:hAnsi="方正公文黑体" w:eastAsia="方正公文黑体" w:cs="方正公文黑体"/>
          <w:b/>
          <w:bCs/>
          <w:color w:val="000000"/>
          <w:kern w:val="2"/>
          <w:sz w:val="32"/>
          <w:szCs w:val="32"/>
          <w:lang w:val="en-US" w:eastAsia="zh-CN" w:bidi="ar-SA"/>
        </w:rPr>
      </w:pPr>
      <w:r>
        <w:rPr>
          <w:rFonts w:hint="eastAsia" w:ascii="方正公文黑体" w:hAnsi="方正公文黑体" w:eastAsia="方正公文黑体" w:cs="方正公文黑体"/>
          <w:b/>
          <w:bCs/>
          <w:color w:val="000000"/>
          <w:kern w:val="2"/>
          <w:sz w:val="32"/>
          <w:szCs w:val="32"/>
          <w:lang w:val="en-US" w:eastAsia="zh-CN" w:bidi="ar-SA"/>
        </w:rPr>
        <w:t>四、偏离绩效目标的原因和下一步改进措施</w:t>
      </w:r>
    </w:p>
    <w:p>
      <w:pPr>
        <w:pStyle w:val="17"/>
        <w:pageBreakBefore w:val="0"/>
        <w:widowControl w:val="0"/>
        <w:kinsoku/>
        <w:wordWrap/>
        <w:overflowPunct/>
        <w:topLinePunct w:val="0"/>
        <w:autoSpaceDE/>
        <w:autoSpaceDN/>
        <w:bidi w:val="0"/>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叶城县铁提乡铁提（7）村示范村乡村建设项目预算385万元，到位385万元，实际支出385万元，预算执行率为100%，项目绩效指标总体完成率为100%，无偏差。</w:t>
      </w:r>
    </w:p>
    <w:p>
      <w:pPr>
        <w:pStyle w:val="18"/>
        <w:keepNext/>
        <w:keepLines/>
        <w:pageBreakBefore w:val="0"/>
        <w:widowControl w:val="0"/>
        <w:kinsoku/>
        <w:wordWrap/>
        <w:overflowPunct/>
        <w:topLinePunct w:val="0"/>
        <w:autoSpaceDE/>
        <w:autoSpaceDN/>
        <w:bidi w:val="0"/>
        <w:adjustRightInd/>
        <w:snapToGrid/>
        <w:spacing w:line="600" w:lineRule="exact"/>
        <w:ind w:left="0" w:leftChars="0" w:firstLine="641" w:firstLineChars="200"/>
        <w:textAlignment w:val="auto"/>
        <w:rPr>
          <w:rFonts w:hint="eastAsia" w:ascii="方正公文黑体" w:hAnsi="方正公文黑体" w:eastAsia="方正公文黑体" w:cs="方正公文黑体"/>
          <w:b/>
          <w:bCs/>
          <w:color w:val="auto"/>
          <w:sz w:val="32"/>
          <w:highlight w:val="none"/>
        </w:rPr>
      </w:pPr>
      <w:r>
        <w:rPr>
          <w:rFonts w:hint="eastAsia" w:ascii="方正公文黑体" w:hAnsi="方正公文黑体" w:eastAsia="方正公文黑体" w:cs="方正公文黑体"/>
          <w:b/>
          <w:bCs/>
          <w:color w:val="auto"/>
          <w:kern w:val="2"/>
          <w:sz w:val="32"/>
          <w:szCs w:val="32"/>
          <w:highlight w:val="none"/>
          <w:lang w:val="en-US" w:eastAsia="zh-CN" w:bidi="ar-SA"/>
        </w:rPr>
        <w:t>五、综合评价结论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铁提乡铁提（7）村示范村乡村建设项目新建5公里污水管网及402户入户设施，配套检查井等附属设施，推进了当地农户人居环境改善，加快了厕所革命步伐，增强群众的幸福感、获得感。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600" w:lineRule="exact"/>
        <w:ind w:left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lang w:val="en-US" w:eastAsia="zh-CN"/>
        </w:rPr>
        <w:t>六、</w:t>
      </w:r>
      <w:r>
        <w:rPr>
          <w:rFonts w:hint="eastAsia" w:ascii="方正公文黑体" w:hAnsi="方正公文黑体" w:eastAsia="方正公文黑体" w:cs="方正公文黑体"/>
          <w:b/>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auto"/>
          <w:kern w:val="2"/>
          <w:sz w:val="32"/>
          <w:szCs w:val="32"/>
          <w:lang w:val="en-US" w:eastAsia="zh-CN" w:bidi="ar-SA"/>
        </w:rPr>
      </w:pPr>
      <w:r>
        <w:rPr>
          <w:rFonts w:hint="eastAsia" w:ascii="方正楷体_GBK" w:hAnsi="方正楷体_GBK" w:eastAsia="方正楷体_GBK" w:cs="方正楷体_GBK"/>
          <w:b/>
          <w:bCs/>
          <w:color w:val="auto"/>
          <w:kern w:val="2"/>
          <w:sz w:val="32"/>
          <w:szCs w:val="32"/>
          <w:lang w:val="en-US" w:eastAsia="zh-CN" w:bidi="ar-SA"/>
        </w:rPr>
        <w:t>（一）对巩固拓展脱贫攻坚成果同乡村振兴衔接资金项目、绩效公告公示情况</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auto"/>
          <w:kern w:val="2"/>
          <w:sz w:val="32"/>
          <w:szCs w:val="32"/>
          <w:lang w:val="en-US" w:eastAsia="zh-CN" w:bidi="ar-SA"/>
        </w:rPr>
      </w:pPr>
      <w:r>
        <w:rPr>
          <w:rFonts w:hint="eastAsia" w:ascii="方正楷体_GBK" w:hAnsi="方正楷体_GBK" w:eastAsia="方正楷体_GBK" w:cs="方正楷体_GBK"/>
          <w:b/>
          <w:bCs/>
          <w:color w:val="auto"/>
          <w:kern w:val="2"/>
          <w:sz w:val="32"/>
          <w:szCs w:val="32"/>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auto"/>
          <w:kern w:val="2"/>
          <w:sz w:val="32"/>
          <w:szCs w:val="32"/>
          <w:lang w:val="en-US" w:eastAsia="zh-CN" w:bidi="ar-SA"/>
        </w:rPr>
      </w:pPr>
      <w:r>
        <w:rPr>
          <w:rFonts w:hint="eastAsia" w:ascii="方正楷体_GBK" w:hAnsi="方正楷体_GBK" w:eastAsia="方正楷体_GBK" w:cs="方正楷体_GBK"/>
          <w:b/>
          <w:bCs/>
          <w:color w:val="auto"/>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numPr>
          <w:ilvl w:val="0"/>
          <w:numId w:val="1"/>
        </w:numPr>
        <w:ind w:firstLine="624" w:firstLineChars="200"/>
        <w:rPr>
          <w:rFonts w:hint="eastAsia" w:ascii="方正公文黑体" w:hAnsi="方正公文黑体" w:eastAsia="方正公文黑体" w:cs="方正公文黑体"/>
          <w:b w:val="0"/>
          <w:bCs/>
          <w:spacing w:val="-4"/>
          <w:sz w:val="32"/>
          <w:szCs w:val="32"/>
        </w:rPr>
      </w:pPr>
      <w:r>
        <w:rPr>
          <w:rFonts w:hint="eastAsia" w:ascii="方正公文黑体" w:hAnsi="方正公文黑体" w:eastAsia="方正公文黑体" w:cs="方正公文黑体"/>
          <w:b w:val="0"/>
          <w:bCs/>
          <w:spacing w:val="-4"/>
          <w:sz w:val="32"/>
          <w:szCs w:val="32"/>
        </w:rPr>
        <w:t>绩效评价工作有关说明</w:t>
      </w:r>
    </w:p>
    <w:p>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单位成立了项目绩效评价工作小组，项目组长为</w:t>
      </w:r>
      <w:r>
        <w:rPr>
          <w:rFonts w:hint="eastAsia" w:ascii="方正仿宋_GBK" w:hAnsi="方正仿宋_GBK" w:eastAsia="方正仿宋_GBK" w:cs="方正仿宋_GBK"/>
          <w:sz w:val="32"/>
          <w:szCs w:val="32"/>
          <w:lang w:val="en-US" w:eastAsia="zh-CN"/>
        </w:rPr>
        <w:t>赵吉福</w:t>
      </w:r>
      <w:r>
        <w:rPr>
          <w:rFonts w:hint="eastAsia" w:ascii="方正仿宋_GBK" w:hAnsi="方正仿宋_GBK" w:eastAsia="方正仿宋_GBK" w:cs="方正仿宋_GBK"/>
          <w:sz w:val="32"/>
          <w:szCs w:val="32"/>
        </w:rPr>
        <w:t>，主要负责制定项目评价方案。项目成员为</w:t>
      </w:r>
      <w:r>
        <w:rPr>
          <w:rFonts w:hint="eastAsia" w:ascii="方正仿宋_GBK" w:hAnsi="方正仿宋_GBK" w:eastAsia="方正仿宋_GBK" w:cs="方正仿宋_GBK"/>
          <w:sz w:val="32"/>
          <w:szCs w:val="32"/>
          <w:lang w:val="en-US" w:eastAsia="zh-CN"/>
        </w:rPr>
        <w:t>陈春娥、曾雯</w:t>
      </w:r>
      <w:r>
        <w:rPr>
          <w:rFonts w:hint="eastAsia" w:ascii="方正仿宋_GBK" w:hAnsi="方正仿宋_GBK" w:eastAsia="方正仿宋_GBK" w:cs="方正仿宋_GBK"/>
          <w:sz w:val="32"/>
          <w:szCs w:val="32"/>
        </w:rPr>
        <w:t>，主要负责收集核查项目资料、现场实地调查资料、绩效的监控情况资料、最终形成自评报告的初稿。</w:t>
      </w:r>
    </w:p>
    <w:p>
      <w:pPr>
        <w:pStyle w:val="4"/>
        <w:keepNext w:val="0"/>
        <w:keepLines w:val="0"/>
        <w:pageBreakBefore w:val="0"/>
        <w:widowControl w:val="0"/>
        <w:numPr>
          <w:ilvl w:val="0"/>
          <w:numId w:val="0"/>
        </w:numPr>
        <w:kinsoku/>
        <w:overflowPunct/>
        <w:topLinePunct w:val="0"/>
        <w:autoSpaceDN/>
        <w:bidi w:val="0"/>
        <w:adjustRightInd/>
        <w:snapToGrid/>
        <w:spacing w:line="600" w:lineRule="exact"/>
        <w:ind w:leftChars="200"/>
        <w:textAlignment w:val="auto"/>
        <w:rPr>
          <w:rFonts w:hint="eastAsia" w:ascii="方正仿宋_GB2312" w:hAnsi="方正仿宋_GB2312" w:eastAsia="方正仿宋_GB2312" w:cs="方正仿宋_GB231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8A8E8092-F6CC-46BA-9AF2-E4876179A83F}"/>
  </w:font>
  <w:font w:name="方正仿宋_GB2312">
    <w:altName w:val="仿宋"/>
    <w:panose1 w:val="02000000000000000000"/>
    <w:charset w:val="86"/>
    <w:family w:val="auto"/>
    <w:pitch w:val="default"/>
    <w:sig w:usb0="00000000" w:usb1="00000000" w:usb2="00000012" w:usb3="00000000" w:csb0="00040001" w:csb1="00000000"/>
    <w:embedRegular r:id="rId2" w:fontKey="{8CC5BA62-2BE5-45BF-B64E-3852A5100F29}"/>
  </w:font>
  <w:font w:name="方正公文黑体">
    <w:panose1 w:val="02000500000000000000"/>
    <w:charset w:val="86"/>
    <w:family w:val="auto"/>
    <w:pitch w:val="default"/>
    <w:sig w:usb0="00000000" w:usb1="00000000" w:usb2="00000000" w:usb3="00000000" w:csb0="00000000" w:csb1="00000000"/>
    <w:embedRegular r:id="rId3" w:fontKey="{55AD8B5A-5767-49BB-92BD-78A107DDC931}"/>
  </w:font>
  <w:font w:name="方正楷体_GBK">
    <w:panose1 w:val="02000000000000000000"/>
    <w:charset w:val="86"/>
    <w:family w:val="auto"/>
    <w:pitch w:val="default"/>
    <w:sig w:usb0="00000000" w:usb1="00000000" w:usb2="00000000" w:usb3="00000000" w:csb0="00000000" w:csb1="00000000"/>
    <w:embedRegular r:id="rId4" w:fontKey="{96D0EEB7-E3A4-4B27-9529-553E6532D693}"/>
  </w:font>
  <w:font w:name="方正仿宋_GBK">
    <w:panose1 w:val="03000509000000000000"/>
    <w:charset w:val="86"/>
    <w:family w:val="auto"/>
    <w:pitch w:val="default"/>
    <w:sig w:usb0="00000001" w:usb1="080E0000" w:usb2="00000000" w:usb3="00000000" w:csb0="00040000" w:csb1="00000000"/>
    <w:embedRegular r:id="rId5" w:fontKey="{3E7C27F2-74FC-4B13-B7F1-07E17B17046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81D3"/>
    <w:multiLevelType w:val="singleLevel"/>
    <w:tmpl w:val="91E381D3"/>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MzUwZGFlYzVlOTE3ZTA4ZjgxYzMyMzhkNzZkYWYifQ=="/>
  </w:docVars>
  <w:rsids>
    <w:rsidRoot w:val="00F20A26"/>
    <w:rsid w:val="003E0379"/>
    <w:rsid w:val="0055176E"/>
    <w:rsid w:val="00F20A26"/>
    <w:rsid w:val="038710F6"/>
    <w:rsid w:val="059A592B"/>
    <w:rsid w:val="08EC01DC"/>
    <w:rsid w:val="0ABA1F25"/>
    <w:rsid w:val="0DEB1481"/>
    <w:rsid w:val="129064AA"/>
    <w:rsid w:val="12A245A9"/>
    <w:rsid w:val="14610422"/>
    <w:rsid w:val="14653122"/>
    <w:rsid w:val="14E83728"/>
    <w:rsid w:val="15C10B6C"/>
    <w:rsid w:val="17F82735"/>
    <w:rsid w:val="187A025D"/>
    <w:rsid w:val="1937751C"/>
    <w:rsid w:val="1ABF7AF2"/>
    <w:rsid w:val="1B4C5051"/>
    <w:rsid w:val="1B4D6D35"/>
    <w:rsid w:val="1D54652C"/>
    <w:rsid w:val="20183F4F"/>
    <w:rsid w:val="2025634A"/>
    <w:rsid w:val="22084AEF"/>
    <w:rsid w:val="22E936F1"/>
    <w:rsid w:val="24DE3A8A"/>
    <w:rsid w:val="2583416F"/>
    <w:rsid w:val="267A1C85"/>
    <w:rsid w:val="28AB4A44"/>
    <w:rsid w:val="294100A6"/>
    <w:rsid w:val="29EC0C5C"/>
    <w:rsid w:val="2B1E4C6A"/>
    <w:rsid w:val="2C7C350C"/>
    <w:rsid w:val="2D5F13D7"/>
    <w:rsid w:val="2E51749D"/>
    <w:rsid w:val="30BE4485"/>
    <w:rsid w:val="318E2870"/>
    <w:rsid w:val="31A02A0C"/>
    <w:rsid w:val="31AE0AA6"/>
    <w:rsid w:val="37FA18E4"/>
    <w:rsid w:val="386D751C"/>
    <w:rsid w:val="38C42631"/>
    <w:rsid w:val="3A667D78"/>
    <w:rsid w:val="3B4A2A39"/>
    <w:rsid w:val="3E367EAB"/>
    <w:rsid w:val="412B54D9"/>
    <w:rsid w:val="41841E0A"/>
    <w:rsid w:val="41871287"/>
    <w:rsid w:val="41AF06D4"/>
    <w:rsid w:val="44037963"/>
    <w:rsid w:val="47207E1C"/>
    <w:rsid w:val="4BA819CC"/>
    <w:rsid w:val="4C9A7579"/>
    <w:rsid w:val="4FAA0EF8"/>
    <w:rsid w:val="53B010DF"/>
    <w:rsid w:val="54277D2E"/>
    <w:rsid w:val="54575230"/>
    <w:rsid w:val="55755020"/>
    <w:rsid w:val="55DA66E7"/>
    <w:rsid w:val="5CEF0BA5"/>
    <w:rsid w:val="5E5311B2"/>
    <w:rsid w:val="614F4951"/>
    <w:rsid w:val="62A41129"/>
    <w:rsid w:val="636B2554"/>
    <w:rsid w:val="639B71E8"/>
    <w:rsid w:val="647906B5"/>
    <w:rsid w:val="651A36AB"/>
    <w:rsid w:val="6AC53C59"/>
    <w:rsid w:val="6D0F2BFA"/>
    <w:rsid w:val="71A83BF0"/>
    <w:rsid w:val="79E2534E"/>
    <w:rsid w:val="7B580975"/>
    <w:rsid w:val="7DA66207"/>
    <w:rsid w:val="7E984E50"/>
    <w:rsid w:val="7E994970"/>
    <w:rsid w:val="7F963315"/>
    <w:rsid w:val="7FC44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710C28CDA1CF449A9BCF5FD0DE5A0706</vt:lpwstr>
  </property>
</Properties>
</file>