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B94EBE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叶城县东城区片区管理委员会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DA0545">
      <w:r>
        <w:br w:type="page"/>
      </w:r>
    </w:p>
    <w:p w14:paraId="09C9FEA3">
      <w:pPr>
        <w:spacing w:line="640" w:lineRule="exact"/>
        <w:jc w:val="center"/>
        <w:outlineLvl w:val="1"/>
      </w:pPr>
      <w:r>
        <w:rPr>
          <w:rFonts w:ascii="黑体" w:hAnsi="黑体" w:eastAsia="黑体"/>
          <w:sz w:val="32"/>
        </w:rPr>
        <w:t>第一部分 单位概况</w:t>
      </w:r>
    </w:p>
    <w:p w14:paraId="453E9CD0">
      <w:pPr>
        <w:spacing w:line="640" w:lineRule="exact"/>
        <w:ind w:firstLine="640"/>
        <w:jc w:val="both"/>
        <w:outlineLvl w:val="2"/>
      </w:pPr>
      <w:r>
        <w:rPr>
          <w:rFonts w:ascii="黑体" w:hAnsi="黑体" w:eastAsia="黑体"/>
          <w:sz w:val="32"/>
        </w:rPr>
        <w:t>一、主要职能</w:t>
      </w:r>
    </w:p>
    <w:p w14:paraId="14BBF2F4">
      <w:pPr>
        <w:spacing w:line="580" w:lineRule="exact"/>
        <w:ind w:firstLine="640"/>
        <w:jc w:val="both"/>
      </w:pPr>
      <w:r>
        <w:rPr>
          <w:rFonts w:ascii="仿宋_GB2312" w:hAnsi="仿宋_GB2312" w:eastAsia="仿宋_GB2312"/>
          <w:sz w:val="32"/>
        </w:rPr>
        <w:t>负责全片区党政行政管理事务。坚持以</w:t>
      </w:r>
      <w:r>
        <w:rPr>
          <w:rFonts w:hint="eastAsia" w:ascii="仿宋_GB2312" w:hAnsi="仿宋_GB2312" w:eastAsia="仿宋_GB2312"/>
          <w:sz w:val="32"/>
          <w:lang w:eastAsia="zh-CN"/>
        </w:rPr>
        <w:t>习近平总书记重要讲话精神</w:t>
      </w:r>
      <w:r>
        <w:rPr>
          <w:rFonts w:ascii="仿宋_GB2312" w:hAnsi="仿宋_GB2312" w:eastAsia="仿宋_GB2312"/>
          <w:sz w:val="32"/>
        </w:rPr>
        <w:t>为指导，把党的各项优惠政策落实到实处，负责全片区经济社会发展、社会事务管理、基层组织建设等全面工作。以全面建设社会主义新农村为根本出发点，不断深化美丽乡村建设为总目标，不断铸牢全区经济社会发展基础，为全片区各族群众提供社会服务。</w:t>
      </w:r>
    </w:p>
    <w:p w14:paraId="70A175B6">
      <w:pPr>
        <w:spacing w:line="640" w:lineRule="exact"/>
        <w:ind w:firstLine="640"/>
        <w:jc w:val="both"/>
        <w:outlineLvl w:val="2"/>
      </w:pPr>
      <w:r>
        <w:rPr>
          <w:rFonts w:ascii="黑体" w:hAnsi="黑体" w:eastAsia="黑体"/>
          <w:sz w:val="32"/>
        </w:rPr>
        <w:t>二、机构设置及人员情况</w:t>
      </w:r>
    </w:p>
    <w:p w14:paraId="463D15C1">
      <w:pPr>
        <w:spacing w:line="580" w:lineRule="exact"/>
        <w:ind w:firstLine="640"/>
        <w:jc w:val="both"/>
      </w:pPr>
      <w:r>
        <w:rPr>
          <w:rFonts w:ascii="仿宋_GB2312" w:hAnsi="仿宋_GB2312" w:eastAsia="仿宋_GB2312"/>
          <w:sz w:val="32"/>
        </w:rPr>
        <w:t>叶城县东城区片区管理委员会2024年度，实有人数218人，其中：在职人员215人，增加3人；离休人员0人，增加0人；退休人员3人,增加2人。</w:t>
      </w:r>
    </w:p>
    <w:p w14:paraId="09766DC4">
      <w:pPr>
        <w:spacing w:line="580" w:lineRule="exact"/>
        <w:ind w:firstLine="640"/>
        <w:jc w:val="both"/>
      </w:pPr>
      <w:r>
        <w:rPr>
          <w:rFonts w:ascii="仿宋_GB2312" w:hAnsi="仿宋_GB2312" w:eastAsia="仿宋_GB2312"/>
          <w:sz w:val="32"/>
        </w:rPr>
        <w:t>叶城县东城区片区管理委员会无下属预算单位，下设4个科室，分别是：党建办、社会事务办、综治办、经济办。</w:t>
      </w:r>
    </w:p>
    <w:p w14:paraId="4C6A0A54">
      <w:r>
        <w:br w:type="page"/>
      </w:r>
    </w:p>
    <w:p w14:paraId="4238D14A">
      <w:pPr>
        <w:spacing w:line="240" w:lineRule="auto"/>
        <w:jc w:val="center"/>
        <w:outlineLvl w:val="1"/>
      </w:pPr>
      <w:r>
        <w:rPr>
          <w:rFonts w:ascii="黑体" w:hAnsi="黑体" w:eastAsia="黑体"/>
          <w:sz w:val="32"/>
        </w:rPr>
        <w:t>第二部分 部门决算情况说明</w:t>
      </w:r>
    </w:p>
    <w:p w14:paraId="54D2E9CC">
      <w:pPr>
        <w:spacing w:line="640" w:lineRule="exact"/>
        <w:ind w:firstLine="640"/>
        <w:jc w:val="both"/>
        <w:outlineLvl w:val="2"/>
      </w:pPr>
      <w:r>
        <w:rPr>
          <w:rFonts w:ascii="黑体" w:hAnsi="黑体" w:eastAsia="黑体"/>
          <w:sz w:val="32"/>
        </w:rPr>
        <w:t>一、收入支出决算总体情况说明</w:t>
      </w:r>
    </w:p>
    <w:p w14:paraId="68AFCF8C">
      <w:pPr>
        <w:spacing w:line="580" w:lineRule="exact"/>
        <w:ind w:firstLine="640"/>
        <w:jc w:val="both"/>
      </w:pPr>
      <w:r>
        <w:rPr>
          <w:rFonts w:ascii="仿宋_GB2312" w:hAnsi="仿宋_GB2312" w:eastAsia="仿宋_GB2312"/>
          <w:b/>
          <w:sz w:val="32"/>
        </w:rPr>
        <w:t>2024年度收入总计4,766.86万元，</w:t>
      </w:r>
      <w:r>
        <w:rPr>
          <w:rFonts w:ascii="仿宋_GB2312" w:hAnsi="仿宋_GB2312" w:eastAsia="仿宋_GB2312"/>
          <w:b w:val="0"/>
          <w:sz w:val="32"/>
        </w:rPr>
        <w:t>其中：本年收入合计4,766.86万元，使用非财政拨款结余（含专用结余）0.00万元，年初结转和结余0.00万元。</w:t>
      </w:r>
    </w:p>
    <w:p w14:paraId="6AB8E553">
      <w:pPr>
        <w:spacing w:line="580" w:lineRule="exact"/>
        <w:ind w:firstLine="640"/>
        <w:jc w:val="both"/>
      </w:pPr>
      <w:r>
        <w:rPr>
          <w:rFonts w:ascii="仿宋_GB2312" w:hAnsi="仿宋_GB2312" w:eastAsia="仿宋_GB2312"/>
          <w:b/>
          <w:sz w:val="32"/>
        </w:rPr>
        <w:t>2024年度支出总计4,766.86万元，</w:t>
      </w:r>
      <w:r>
        <w:rPr>
          <w:rFonts w:ascii="仿宋_GB2312" w:hAnsi="仿宋_GB2312" w:eastAsia="仿宋_GB2312"/>
          <w:b w:val="0"/>
          <w:sz w:val="32"/>
        </w:rPr>
        <w:t>其中：本年支出合计4,766.86万元，结余分配0.00万元，年末结转和结余0.00万元。</w:t>
      </w:r>
    </w:p>
    <w:p w14:paraId="312E60B4">
      <w:pPr>
        <w:spacing w:line="580" w:lineRule="exact"/>
        <w:ind w:firstLine="640"/>
        <w:jc w:val="both"/>
      </w:pPr>
      <w:r>
        <w:rPr>
          <w:rFonts w:ascii="仿宋_GB2312" w:hAnsi="仿宋_GB2312" w:eastAsia="仿宋_GB2312"/>
          <w:b w:val="0"/>
          <w:sz w:val="32"/>
        </w:rPr>
        <w:t>收入支出总体与上年相比，增加137.11万元，增长2.96%，主要原因是：本年在职人员增加，在职人员工资调增、社保、公积金基数调增，人员经费增加。</w:t>
      </w:r>
    </w:p>
    <w:p w14:paraId="71E0641D">
      <w:pPr>
        <w:spacing w:line="640" w:lineRule="exact"/>
        <w:ind w:firstLine="640"/>
        <w:jc w:val="both"/>
        <w:outlineLvl w:val="2"/>
      </w:pPr>
      <w:r>
        <w:rPr>
          <w:rFonts w:ascii="黑体" w:hAnsi="黑体" w:eastAsia="黑体"/>
          <w:sz w:val="32"/>
        </w:rPr>
        <w:t>二、收入决算情况说明</w:t>
      </w:r>
    </w:p>
    <w:p w14:paraId="7204EB54">
      <w:pPr>
        <w:spacing w:line="580" w:lineRule="exact"/>
        <w:ind w:firstLine="640"/>
        <w:jc w:val="both"/>
      </w:pPr>
      <w:r>
        <w:rPr>
          <w:rFonts w:ascii="仿宋_GB2312" w:hAnsi="仿宋_GB2312" w:eastAsia="仿宋_GB2312"/>
          <w:b/>
          <w:sz w:val="32"/>
        </w:rPr>
        <w:t>本年收入4,766.86万元，</w:t>
      </w:r>
      <w:r>
        <w:rPr>
          <w:rFonts w:ascii="仿宋_GB2312" w:hAnsi="仿宋_GB2312" w:eastAsia="仿宋_GB2312"/>
          <w:b w:val="0"/>
          <w:sz w:val="32"/>
        </w:rPr>
        <w:t>其中：财政拨款收入4,762.94万元，占99.92%；上级补助收入0.00万元，占0.00%；事业收入0.00万元，占0.00%；经营收入0.00万元，占0.00%；附属单位上缴收入0.00万元，占0.00%；其他收入3.92万元，占0.08%。</w:t>
      </w:r>
    </w:p>
    <w:p w14:paraId="06510751">
      <w:pPr>
        <w:spacing w:line="640" w:lineRule="exact"/>
        <w:ind w:firstLine="640"/>
        <w:jc w:val="both"/>
        <w:outlineLvl w:val="2"/>
      </w:pPr>
      <w:r>
        <w:rPr>
          <w:rFonts w:ascii="黑体" w:hAnsi="黑体" w:eastAsia="黑体"/>
          <w:sz w:val="32"/>
        </w:rPr>
        <w:t>三、支出决算情况说明</w:t>
      </w:r>
    </w:p>
    <w:p w14:paraId="1E5C0898">
      <w:pPr>
        <w:spacing w:line="580" w:lineRule="exact"/>
        <w:ind w:firstLine="640"/>
        <w:jc w:val="both"/>
      </w:pPr>
      <w:r>
        <w:rPr>
          <w:rFonts w:ascii="仿宋_GB2312" w:hAnsi="仿宋_GB2312" w:eastAsia="仿宋_GB2312"/>
          <w:b/>
          <w:sz w:val="32"/>
        </w:rPr>
        <w:t>本年支出4,766.86万元，</w:t>
      </w:r>
      <w:r>
        <w:rPr>
          <w:rFonts w:ascii="仿宋_GB2312" w:hAnsi="仿宋_GB2312" w:eastAsia="仿宋_GB2312"/>
          <w:b w:val="0"/>
          <w:sz w:val="32"/>
        </w:rPr>
        <w:t>其中：基本支出4,434.04万元，占93.02%；项目支出332.82万元，占6.98%；上缴上级支出0.00万元，占0.00%；经营支出0.00万元，占0.00%；对附属单位补助支出0.00万元，占0.00%。</w:t>
      </w:r>
    </w:p>
    <w:p w14:paraId="166C5A1C">
      <w:pPr>
        <w:spacing w:line="640" w:lineRule="exact"/>
        <w:ind w:firstLine="640"/>
        <w:jc w:val="both"/>
        <w:outlineLvl w:val="2"/>
      </w:pPr>
      <w:r>
        <w:rPr>
          <w:rFonts w:ascii="黑体" w:hAnsi="黑体" w:eastAsia="黑体"/>
          <w:sz w:val="32"/>
        </w:rPr>
        <w:t>四、财政拨款收入支出决算总体情况说明</w:t>
      </w:r>
    </w:p>
    <w:p w14:paraId="7C266377">
      <w:pPr>
        <w:spacing w:line="580" w:lineRule="exact"/>
        <w:ind w:firstLine="640"/>
        <w:jc w:val="both"/>
      </w:pPr>
      <w:r>
        <w:rPr>
          <w:rFonts w:ascii="仿宋_GB2312" w:hAnsi="仿宋_GB2312" w:eastAsia="仿宋_GB2312"/>
          <w:b/>
          <w:sz w:val="32"/>
        </w:rPr>
        <w:t>2024年度财政拨款收入总计4,762.94万元，</w:t>
      </w:r>
      <w:r>
        <w:rPr>
          <w:rFonts w:ascii="仿宋_GB2312" w:hAnsi="仿宋_GB2312" w:eastAsia="仿宋_GB2312"/>
          <w:b w:val="0"/>
          <w:sz w:val="32"/>
        </w:rPr>
        <w:t>其中：年初财政拨款结转和结余0.00万元，本年财政拨款收入4,762.94万元。</w:t>
      </w:r>
      <w:r>
        <w:rPr>
          <w:rFonts w:ascii="仿宋_GB2312" w:hAnsi="仿宋_GB2312" w:eastAsia="仿宋_GB2312"/>
          <w:b/>
          <w:sz w:val="32"/>
        </w:rPr>
        <w:t>财政拨款支出总计4,762.94万元，</w:t>
      </w:r>
      <w:r>
        <w:rPr>
          <w:rFonts w:ascii="仿宋_GB2312" w:hAnsi="仿宋_GB2312" w:eastAsia="仿宋_GB2312"/>
          <w:b w:val="0"/>
          <w:sz w:val="32"/>
        </w:rPr>
        <w:t>其中：年末财政拨款结转和结余0.00万元，本年财政拨款支出4,762.94万元。</w:t>
      </w:r>
    </w:p>
    <w:p w14:paraId="3544E75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增加133.19万元，增长2.88%，主要原因是：本年在职人员增加，在职人员工资调增、社保、公积金基数调增，人员经费增加。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4,292.20万元，决算数4,762.94万元，预决算差异率10.97%，主要原因是：本年在职人员增加，年中追加人员经费及人员工资、社保、公积金基数调增部分资金；年中追加增加基层组织建设项目资金，导致预决算存在差异。</w:t>
      </w:r>
    </w:p>
    <w:p w14:paraId="6E28D5FA">
      <w:pPr>
        <w:spacing w:line="640" w:lineRule="exact"/>
        <w:ind w:firstLine="640"/>
        <w:jc w:val="both"/>
        <w:outlineLvl w:val="2"/>
      </w:pPr>
      <w:r>
        <w:rPr>
          <w:rFonts w:ascii="黑体" w:hAnsi="黑体" w:eastAsia="黑体"/>
          <w:sz w:val="32"/>
        </w:rPr>
        <w:t>五、一般公共预算财政拨款支出决算情况说明</w:t>
      </w:r>
    </w:p>
    <w:p w14:paraId="2CC2004A">
      <w:pPr>
        <w:spacing w:line="640" w:lineRule="exact"/>
        <w:ind w:firstLine="640"/>
        <w:jc w:val="both"/>
        <w:outlineLvl w:val="3"/>
      </w:pPr>
      <w:r>
        <w:rPr>
          <w:rFonts w:ascii="楷体_GB2312" w:hAnsi="楷体_GB2312" w:eastAsia="楷体_GB2312"/>
          <w:b/>
          <w:sz w:val="32"/>
        </w:rPr>
        <w:t>（一）一般公共预算财政拨款支出决算总体情况</w:t>
      </w:r>
    </w:p>
    <w:p w14:paraId="083FEACD">
      <w:pPr>
        <w:spacing w:line="580" w:lineRule="exact"/>
        <w:ind w:firstLine="640"/>
        <w:jc w:val="both"/>
      </w:pPr>
      <w:r>
        <w:rPr>
          <w:rFonts w:ascii="仿宋_GB2312" w:hAnsi="仿宋_GB2312" w:eastAsia="仿宋_GB2312"/>
          <w:b/>
          <w:sz w:val="32"/>
        </w:rPr>
        <w:t>2024年度一般公共预算财政拨款支出4,762.94万元，</w:t>
      </w:r>
      <w:r>
        <w:rPr>
          <w:rFonts w:ascii="仿宋_GB2312" w:hAnsi="仿宋_GB2312" w:eastAsia="仿宋_GB2312"/>
          <w:b w:val="0"/>
          <w:sz w:val="32"/>
        </w:rPr>
        <w:t>占本年支出合计的99.92%。</w:t>
      </w:r>
      <w:r>
        <w:rPr>
          <w:rFonts w:ascii="仿宋_GB2312" w:hAnsi="仿宋_GB2312" w:eastAsia="仿宋_GB2312"/>
          <w:b/>
          <w:sz w:val="32"/>
        </w:rPr>
        <w:t>与上年相比，</w:t>
      </w:r>
      <w:r>
        <w:rPr>
          <w:rFonts w:ascii="仿宋_GB2312" w:hAnsi="仿宋_GB2312" w:eastAsia="仿宋_GB2312"/>
          <w:b w:val="0"/>
          <w:sz w:val="32"/>
        </w:rPr>
        <w:t>增加133.19万元，增长2.88%，主要原因是：本年在职人员增加，在职人员工资调增、社保、公积金基数调增，人员经费增加。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4,292.20万元，决算数4,762.94万元，预决算差异率10.97%，主要原因是：本年在职人员增加，年中追加人员经费及人员工资、社保、公积金基数调增部分资金；年中追加增加基层组织建设项目资金，导致预决算存在差异。</w:t>
      </w:r>
    </w:p>
    <w:p w14:paraId="7D73D2F5">
      <w:pPr>
        <w:spacing w:line="640" w:lineRule="exact"/>
        <w:ind w:firstLine="640"/>
        <w:jc w:val="both"/>
        <w:outlineLvl w:val="3"/>
      </w:pPr>
      <w:r>
        <w:rPr>
          <w:rFonts w:ascii="楷体_GB2312" w:hAnsi="楷体_GB2312" w:eastAsia="楷体_GB2312"/>
          <w:b/>
          <w:sz w:val="32"/>
        </w:rPr>
        <w:t>（二）一般公共预算财政拨款支出决算结构情况</w:t>
      </w:r>
    </w:p>
    <w:p w14:paraId="54C6CE34">
      <w:pPr>
        <w:spacing w:line="580" w:lineRule="exact"/>
        <w:ind w:firstLine="640"/>
        <w:jc w:val="both"/>
      </w:pPr>
      <w:r>
        <w:rPr>
          <w:rFonts w:ascii="仿宋_GB2312" w:hAnsi="仿宋_GB2312" w:eastAsia="仿宋_GB2312"/>
          <w:b w:val="0"/>
          <w:sz w:val="32"/>
        </w:rPr>
        <w:t>1.一般公共服务支出(类)3,688.09万元,占77.43%。</w:t>
      </w:r>
    </w:p>
    <w:p w14:paraId="3EF414DA">
      <w:pPr>
        <w:spacing w:line="580" w:lineRule="exact"/>
        <w:ind w:firstLine="640"/>
        <w:jc w:val="both"/>
      </w:pPr>
      <w:r>
        <w:rPr>
          <w:rFonts w:ascii="仿宋_GB2312" w:hAnsi="仿宋_GB2312" w:eastAsia="仿宋_GB2312"/>
          <w:b w:val="0"/>
          <w:sz w:val="32"/>
        </w:rPr>
        <w:t>2.公共安全支出(类)5.39万元,占0.11%。</w:t>
      </w:r>
    </w:p>
    <w:p w14:paraId="41F9B381">
      <w:pPr>
        <w:spacing w:line="580" w:lineRule="exact"/>
        <w:ind w:firstLine="640"/>
        <w:jc w:val="both"/>
      </w:pPr>
      <w:r>
        <w:rPr>
          <w:rFonts w:ascii="仿宋_GB2312" w:hAnsi="仿宋_GB2312" w:eastAsia="仿宋_GB2312"/>
          <w:b w:val="0"/>
          <w:sz w:val="32"/>
        </w:rPr>
        <w:t>3.社会保障和就业支出(类)469.11万元,占9.85%。</w:t>
      </w:r>
    </w:p>
    <w:p w14:paraId="072B0B41">
      <w:pPr>
        <w:spacing w:line="580" w:lineRule="exact"/>
        <w:ind w:firstLine="640"/>
        <w:jc w:val="both"/>
      </w:pPr>
      <w:r>
        <w:rPr>
          <w:rFonts w:ascii="仿宋_GB2312" w:hAnsi="仿宋_GB2312" w:eastAsia="仿宋_GB2312"/>
          <w:b w:val="0"/>
          <w:sz w:val="32"/>
        </w:rPr>
        <w:t>4.卫生健康支出(类)237.73万元,占4.99%。</w:t>
      </w:r>
    </w:p>
    <w:p w14:paraId="4E79E08E">
      <w:pPr>
        <w:spacing w:line="580" w:lineRule="exact"/>
        <w:ind w:firstLine="640"/>
        <w:jc w:val="both"/>
      </w:pPr>
      <w:r>
        <w:rPr>
          <w:rFonts w:ascii="仿宋_GB2312" w:hAnsi="仿宋_GB2312" w:eastAsia="仿宋_GB2312"/>
          <w:b w:val="0"/>
          <w:sz w:val="32"/>
        </w:rPr>
        <w:t>5.住房保障支出(类)362.63万元,占7.61%。</w:t>
      </w:r>
    </w:p>
    <w:p w14:paraId="770CEE85">
      <w:pPr>
        <w:spacing w:line="640" w:lineRule="exact"/>
        <w:ind w:firstLine="640"/>
        <w:jc w:val="both"/>
        <w:outlineLvl w:val="3"/>
      </w:pPr>
      <w:r>
        <w:rPr>
          <w:rFonts w:ascii="楷体_GB2312" w:hAnsi="楷体_GB2312" w:eastAsia="楷体_GB2312"/>
          <w:b/>
          <w:sz w:val="32"/>
        </w:rPr>
        <w:t>（三）一般公共预算财政拨款支出决算具体情况</w:t>
      </w:r>
    </w:p>
    <w:p w14:paraId="374F9EFB">
      <w:pPr>
        <w:spacing w:line="580" w:lineRule="exact"/>
        <w:ind w:firstLine="640"/>
        <w:jc w:val="both"/>
      </w:pPr>
      <w:r>
        <w:rPr>
          <w:rFonts w:ascii="仿宋_GB2312" w:hAnsi="仿宋_GB2312" w:eastAsia="仿宋_GB2312"/>
          <w:b w:val="0"/>
          <w:sz w:val="32"/>
        </w:rPr>
        <w:t>1.一般公共服务支出(类)人大事务(款)代表工作(项):支出决算数为0.00万元，比上年决算减少2.65万元，下降100.00%,主要原因是：本年度减少人大代表活动经费项目。</w:t>
      </w:r>
    </w:p>
    <w:p w14:paraId="3D22BC24">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2.一般公共服务支出(类)人大事务(款)其他人大事务支出(项):支出决算数为0.00万元，比上年决算减少0.80万元，下降100.00%,主要原因是：本年度本科目减少人大代表活动经费项目。</w:t>
      </w:r>
    </w:p>
    <w:p w14:paraId="4CE3E494">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3,364.58万元，比上年决算增加81.36万元，增长2.48%,主要原因是：本年在职人员增加，人员工资调增，导致相关人员经费较上年有所增加。</w:t>
      </w:r>
    </w:p>
    <w:p w14:paraId="0B08A9AD">
      <w:pPr>
        <w:spacing w:line="580" w:lineRule="exact"/>
        <w:ind w:firstLine="640"/>
        <w:jc w:val="both"/>
      </w:pPr>
      <w:r>
        <w:rPr>
          <w:rFonts w:ascii="仿宋_GB2312" w:hAnsi="仿宋_GB2312" w:eastAsia="仿宋_GB2312"/>
          <w:b w:val="0"/>
          <w:sz w:val="32"/>
        </w:rPr>
        <w:t>4.一般公共服务支出(类)政府办公厅（室）及相关机构事务(款)信访事务(项):支出决算数为0.00万元，比上年决算减少7.20万元，下降100.00%,主要原因是：本年减少信访事务经费。</w:t>
      </w:r>
    </w:p>
    <w:p w14:paraId="5772A5D2">
      <w:pPr>
        <w:spacing w:line="580" w:lineRule="exact"/>
        <w:ind w:firstLine="640"/>
        <w:jc w:val="both"/>
      </w:pPr>
      <w:r>
        <w:rPr>
          <w:rFonts w:ascii="仿宋_GB2312" w:hAnsi="仿宋_GB2312" w:eastAsia="仿宋_GB2312"/>
          <w:b w:val="0"/>
          <w:sz w:val="32"/>
        </w:rPr>
        <w:t>5.一般公共服务支出(类)组织事务(款)其他组织事务支出(项):支出决算数为322.05万元，比上年决算减少140.50万元，下降30.38%,主要原因是：本年村级运转经费、本级公用经费减少。</w:t>
      </w:r>
    </w:p>
    <w:p w14:paraId="44485ED5">
      <w:pPr>
        <w:spacing w:line="580" w:lineRule="exact"/>
        <w:ind w:firstLine="640"/>
        <w:jc w:val="both"/>
      </w:pPr>
      <w:r>
        <w:rPr>
          <w:rFonts w:ascii="仿宋_GB2312" w:hAnsi="仿宋_GB2312" w:eastAsia="仿宋_GB2312"/>
          <w:b w:val="0"/>
          <w:sz w:val="32"/>
        </w:rPr>
        <w:t>6.一般公共服务支出(类)统战事务(款)其他统战事务支出(项):支出决算数为1.45万元，比上年决算减少0.85万元，下降36.96%,主要原因是：本年减少管委会经费。</w:t>
      </w:r>
    </w:p>
    <w:p w14:paraId="6BA89994">
      <w:pPr>
        <w:spacing w:line="580" w:lineRule="exact"/>
        <w:ind w:firstLine="640"/>
        <w:jc w:val="both"/>
      </w:pPr>
      <w:r>
        <w:rPr>
          <w:rFonts w:ascii="仿宋_GB2312" w:hAnsi="仿宋_GB2312" w:eastAsia="仿宋_GB2312"/>
          <w:b w:val="0"/>
          <w:sz w:val="32"/>
        </w:rPr>
        <w:t>7.公共安全支出(类)其他公共安全支出(款)其他公共安全支出(项):支出决算数为5.39万元，比上年决算减少14.61万元，下降73.05%,主要原因是：本年度减少信息奖励项目经费。</w:t>
      </w:r>
    </w:p>
    <w:p w14:paraId="59C71345">
      <w:pPr>
        <w:spacing w:line="580" w:lineRule="exact"/>
        <w:ind w:firstLine="640"/>
        <w:jc w:val="both"/>
      </w:pPr>
      <w:r>
        <w:rPr>
          <w:rFonts w:ascii="仿宋_GB2312" w:hAnsi="仿宋_GB2312" w:eastAsia="仿宋_GB2312"/>
          <w:b w:val="0"/>
          <w:sz w:val="32"/>
        </w:rPr>
        <w:t>8.文化旅游体育与传媒支出(类)其他文化旅游体育与传媒支出(款)其他文化旅游体育与传媒支出(项):支出决算数为0.00万元，比上年决算减少2.80万元，下降100.00%,主要原因是：本年较上年减少2023年第一批中央补助地方公共文化服务体系建设补助资金。</w:t>
      </w:r>
    </w:p>
    <w:p w14:paraId="627E9FDC">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9.社会保障和就业支出(类)行政事业单位养老支出(款)行政单位离退休(项):支出决算数为1.30万元，比上年决算增加1.23万元，增长1,757.14%,主要原因是：本年新增退休人员，行政单位离退休经费增加。</w:t>
      </w:r>
    </w:p>
    <w:p w14:paraId="3527412B">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461.92万元，比上年决算增加157.61万元，增长51.79%,主要原因是：本年度人员增加，工资调增，基数调整，单位基本养老保险缴费支出增加。</w:t>
      </w:r>
    </w:p>
    <w:p w14:paraId="3D118D86">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11.社会保障和就业支出(类)行政事业单位养老支出(款)机关事业单位职业年金缴费支出(项):支出决算数为5.89万元，比上年决算增加5.89万元，增长100.00%,主要原因是：本年新增退休人员，职业年金缴费支出增加。</w:t>
      </w:r>
    </w:p>
    <w:p w14:paraId="406C3C40">
      <w:pPr>
        <w:spacing w:line="580" w:lineRule="exact"/>
        <w:ind w:firstLine="640"/>
        <w:jc w:val="both"/>
      </w:pPr>
      <w:r>
        <w:rPr>
          <w:rFonts w:ascii="仿宋_GB2312" w:hAnsi="仿宋_GB2312" w:eastAsia="仿宋_GB2312"/>
          <w:b w:val="0"/>
          <w:sz w:val="32"/>
        </w:rPr>
        <w:t>12.卫生健康支出(类)公共卫生(款)突发公共卫生事件应急处理(项):支出决算数为0.00万元，比上年决算减少96.38万元，下降100.00%,主要原因是：本年度减少地县支援干部共餐费和YQFK经费。</w:t>
      </w:r>
    </w:p>
    <w:p w14:paraId="22752DF7">
      <w:pPr>
        <w:spacing w:line="580" w:lineRule="exact"/>
        <w:ind w:firstLine="640"/>
        <w:jc w:val="both"/>
      </w:pPr>
      <w:r>
        <w:rPr>
          <w:rFonts w:ascii="仿宋_GB2312" w:hAnsi="仿宋_GB2312" w:eastAsia="仿宋_GB2312"/>
          <w:b w:val="0"/>
          <w:sz w:val="32"/>
        </w:rPr>
        <w:t>13.卫生健康支出(类)行政事业单位医疗(款)行政单位医疗(项):支出决算数为199.68万元，比上年决算增加70.90万元，增长55.06%,主要原因是：本年度人员增加，工资调增，医疗缴费基数上涨，相应支出增加。</w:t>
      </w:r>
    </w:p>
    <w:p w14:paraId="39523160">
      <w:pPr>
        <w:spacing w:line="580" w:lineRule="exact"/>
        <w:ind w:firstLine="640"/>
        <w:jc w:val="both"/>
      </w:pPr>
      <w:r>
        <w:rPr>
          <w:rFonts w:ascii="仿宋_GB2312" w:hAnsi="仿宋_GB2312" w:eastAsia="仿宋_GB2312"/>
          <w:b w:val="0"/>
          <w:sz w:val="32"/>
        </w:rPr>
        <w:t>14.卫生健康支出(类)行政事业单位医疗(款)公务员医疗补助(项):支出决算数为38.05万元，比上年决算增加8.73万元，增长29.77%,主要原因是：本年度人员增加，工资调增，公务员医疗补助基数上涨，相应支出增加。</w:t>
      </w:r>
    </w:p>
    <w:p w14:paraId="1B1BADB4">
      <w:pPr>
        <w:spacing w:line="580" w:lineRule="exact"/>
        <w:ind w:firstLine="640"/>
        <w:jc w:val="both"/>
      </w:pPr>
      <w:r>
        <w:rPr>
          <w:rFonts w:ascii="仿宋_GB2312" w:hAnsi="仿宋_GB2312" w:eastAsia="仿宋_GB2312"/>
          <w:b w:val="0"/>
          <w:sz w:val="32"/>
        </w:rPr>
        <w:t>15.农林水支出(类)农业农村(款)行政运行(项):支出决算数为0.00万元，比上年决算减少42.51万元，下降100.00%,主要原因是：本年减少科目调整，津贴补贴上年在本科目列支，本年在主科目列支，经费减少。</w:t>
      </w:r>
    </w:p>
    <w:p w14:paraId="56E00693">
      <w:pPr>
        <w:spacing w:line="580" w:lineRule="exact"/>
        <w:ind w:firstLine="640"/>
        <w:jc w:val="both"/>
      </w:pPr>
      <w:r>
        <w:rPr>
          <w:rFonts w:ascii="仿宋_GB2312" w:hAnsi="仿宋_GB2312" w:eastAsia="仿宋_GB2312"/>
          <w:b w:val="0"/>
          <w:sz w:val="32"/>
        </w:rPr>
        <w:t>16.农林水支出(类)巩固脱贫攻坚成果衔接乡村振兴(款)生产发展(项):支出决算数为0.00万元，比上年决算减少19.00万元，下降100.00%,主要原因是：本年减少十小店铺项目。</w:t>
      </w:r>
    </w:p>
    <w:p w14:paraId="20E3DE60">
      <w:pPr>
        <w:spacing w:line="580" w:lineRule="exact"/>
        <w:ind w:firstLine="640"/>
        <w:jc w:val="both"/>
      </w:pPr>
      <w:r>
        <w:rPr>
          <w:rFonts w:ascii="仿宋_GB2312" w:hAnsi="仿宋_GB2312" w:eastAsia="仿宋_GB2312"/>
          <w:b w:val="0"/>
          <w:sz w:val="32"/>
        </w:rPr>
        <w:t>17.住房保障支出(类)住房改革支出(款)住房公积金(项):支出决算数为362.63万元，比上年决算增加134.76万元，增长59.14%,主要原因是：本年度人员增加，工资调增，住房公积金基数上涨，相应支出增加。</w:t>
      </w:r>
    </w:p>
    <w:p w14:paraId="35297D09">
      <w:pPr>
        <w:spacing w:line="640" w:lineRule="exact"/>
        <w:ind w:firstLine="640"/>
        <w:jc w:val="both"/>
        <w:outlineLvl w:val="2"/>
      </w:pPr>
      <w:r>
        <w:rPr>
          <w:rFonts w:ascii="黑体" w:hAnsi="黑体" w:eastAsia="黑体"/>
          <w:sz w:val="32"/>
        </w:rPr>
        <w:t>六、一般公共预算财政拨款基本支出决算情况说明</w:t>
      </w:r>
    </w:p>
    <w:p w14:paraId="20CBD64D">
      <w:pPr>
        <w:spacing w:line="580" w:lineRule="exact"/>
        <w:ind w:firstLine="640"/>
        <w:jc w:val="both"/>
      </w:pPr>
      <w:r>
        <w:rPr>
          <w:rFonts w:ascii="仿宋_GB2312" w:hAnsi="仿宋_GB2312" w:eastAsia="仿宋_GB2312"/>
          <w:b w:val="0"/>
          <w:sz w:val="32"/>
        </w:rPr>
        <w:t>2024年度一般公共预算财政拨款基本支出4,434.04万元，其中：</w:t>
      </w:r>
      <w:r>
        <w:rPr>
          <w:rFonts w:ascii="仿宋_GB2312" w:hAnsi="仿宋_GB2312" w:eastAsia="仿宋_GB2312"/>
          <w:b/>
          <w:sz w:val="32"/>
        </w:rPr>
        <w:t>人员经费4,358.96万元，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包括：基本工资、津贴补贴、奖金、绩效工资、机关事业单位基本养老保险缴费、职业年金缴费、职工基本医疗保险缴费、公务员医疗补助缴费、其他社会保障缴费、住房公积金、退休费、奖励金。</w:t>
      </w:r>
    </w:p>
    <w:p w14:paraId="3DBA3320">
      <w:pPr>
        <w:spacing w:line="580" w:lineRule="exact"/>
        <w:ind w:firstLine="640"/>
        <w:jc w:val="both"/>
      </w:pPr>
      <w:r>
        <w:rPr>
          <w:rFonts w:ascii="仿宋_GB2312" w:hAnsi="仿宋_GB2312" w:eastAsia="仿宋_GB2312"/>
          <w:b/>
          <w:sz w:val="32"/>
        </w:rPr>
        <w:t>公用经费75.08万元，</w:t>
      </w:r>
      <w:r>
        <w:rPr>
          <w:rFonts w:ascii="仿宋_GB2312" w:hAnsi="仿宋_GB2312" w:eastAsia="仿宋_GB2312"/>
          <w:b w:val="0"/>
          <w:sz w:val="32"/>
        </w:rPr>
        <w:t>包括：办公费、水费、电费、邮电费、取暖费、差旅费、劳务费、委托业务费、公务用车运行维护费、其他交通费用。</w:t>
      </w:r>
    </w:p>
    <w:p w14:paraId="711A283E">
      <w:pPr>
        <w:spacing w:line="640" w:lineRule="exact"/>
        <w:ind w:firstLine="640"/>
        <w:jc w:val="both"/>
        <w:outlineLvl w:val="2"/>
      </w:pPr>
      <w:r>
        <w:rPr>
          <w:rFonts w:ascii="黑体" w:hAnsi="黑体" w:eastAsia="黑体"/>
          <w:sz w:val="32"/>
        </w:rPr>
        <w:t>七、政府性基金预算财政拨款收入支出决算情况说明</w:t>
      </w:r>
    </w:p>
    <w:p w14:paraId="4DB3546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0B89964">
      <w:pPr>
        <w:spacing w:line="640" w:lineRule="exact"/>
        <w:ind w:firstLine="640"/>
        <w:jc w:val="both"/>
        <w:outlineLvl w:val="2"/>
      </w:pPr>
      <w:r>
        <w:rPr>
          <w:rFonts w:ascii="黑体" w:hAnsi="黑体" w:eastAsia="黑体"/>
          <w:sz w:val="32"/>
        </w:rPr>
        <w:t>八、国有资本经营预算财政拨款收入支出决算情况说明</w:t>
      </w:r>
    </w:p>
    <w:p w14:paraId="17789FC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4124755">
      <w:pPr>
        <w:spacing w:line="640" w:lineRule="exact"/>
        <w:ind w:firstLine="640"/>
        <w:jc w:val="both"/>
        <w:outlineLvl w:val="2"/>
      </w:pPr>
      <w:r>
        <w:rPr>
          <w:rFonts w:ascii="黑体" w:hAnsi="黑体" w:eastAsia="黑体"/>
          <w:sz w:val="32"/>
        </w:rPr>
        <w:t>九、财政拨款“三公”经费支出决算情况说明</w:t>
      </w:r>
    </w:p>
    <w:p w14:paraId="7260C249">
      <w:pPr>
        <w:spacing w:line="580" w:lineRule="exact"/>
        <w:ind w:firstLine="640"/>
        <w:jc w:val="both"/>
      </w:pPr>
      <w:r>
        <w:rPr>
          <w:rFonts w:ascii="仿宋_GB2312" w:hAnsi="仿宋_GB2312" w:eastAsia="仿宋_GB2312"/>
          <w:b/>
          <w:sz w:val="32"/>
        </w:rPr>
        <w:t>2024年度财政拨款“三公”经费支出4.25万元，</w:t>
      </w:r>
      <w:r>
        <w:rPr>
          <w:rFonts w:ascii="仿宋_GB2312" w:hAnsi="仿宋_GB2312" w:eastAsia="仿宋_GB2312"/>
          <w:b w:val="0"/>
          <w:sz w:val="32"/>
        </w:rPr>
        <w:t>比上年减少0.73万元，下降14.66%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4.25万元，占100.00%，比上年减少0.73万元，下降14.66%，主要原因是：严格落实中央八项规定精神，厉行节约，减少公务用车运行维护费。公务接待费支出0.00万元，占0.00%，比上年增加0.00万元，增长0.00%，主要原因是：2023年与2024年均未安排公务接待费支出。</w:t>
      </w:r>
    </w:p>
    <w:p w14:paraId="3C782390">
      <w:pPr>
        <w:spacing w:line="580" w:lineRule="exact"/>
        <w:ind w:firstLine="640"/>
        <w:jc w:val="both"/>
      </w:pPr>
      <w:r>
        <w:rPr>
          <w:rFonts w:ascii="仿宋_GB2312" w:hAnsi="仿宋_GB2312" w:eastAsia="仿宋_GB2312"/>
          <w:b/>
          <w:sz w:val="32"/>
        </w:rPr>
        <w:t>具体情况如下：</w:t>
      </w:r>
    </w:p>
    <w:p w14:paraId="275D181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728954C">
      <w:pPr>
        <w:spacing w:line="580" w:lineRule="exact"/>
        <w:ind w:firstLine="640"/>
        <w:jc w:val="both"/>
      </w:pPr>
      <w:r>
        <w:rPr>
          <w:rFonts w:ascii="仿宋_GB2312" w:hAnsi="仿宋_GB2312" w:eastAsia="仿宋_GB2312"/>
          <w:b w:val="0"/>
          <w:sz w:val="32"/>
        </w:rPr>
        <w:t>公务用车购置及运行维护费4.25万元，其中：公务用车购置费0.00万元，公务用车运行维护费4.25万元。公务用车运行维护费开支内容包括车辆加油费、维修费、保险费、审车费。公务用车购置数0辆，公务用车保有量3辆。国有资产占用情况中固定资产车辆0辆，与公务用车保有量差异原因是：</w:t>
      </w:r>
      <w:r>
        <w:rPr>
          <w:rFonts w:hint="eastAsia" w:ascii="仿宋_GB2312" w:hAnsi="仿宋_GB2312" w:eastAsia="仿宋_GB2312"/>
          <w:b w:val="0"/>
          <w:sz w:val="32"/>
          <w:lang w:eastAsia="zh-CN"/>
        </w:rPr>
        <w:t>本单位</w:t>
      </w:r>
      <w:r>
        <w:rPr>
          <w:rFonts w:ascii="仿宋_GB2312" w:hAnsi="仿宋_GB2312" w:eastAsia="仿宋_GB2312"/>
          <w:b w:val="0"/>
          <w:sz w:val="32"/>
        </w:rPr>
        <w:t>借用住建局及政府办、政协车辆，使用公务用车运行维护费支付相关费用。</w:t>
      </w:r>
    </w:p>
    <w:p w14:paraId="7C33EFF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3EF826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4.25万元，决算数4.25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4.25万元，决算数4.25万元，预决算差异率0.00%，主要原因是：严格按照预算执行，预决算无差异。公务接待费全年预算数0.00万元，决算数0.00万元，预决算差异率0.00%，主要原因是：本单位无公务接待费。</w:t>
      </w:r>
    </w:p>
    <w:p w14:paraId="50281990">
      <w:pPr>
        <w:spacing w:line="640" w:lineRule="exact"/>
        <w:ind w:firstLine="640"/>
        <w:jc w:val="both"/>
        <w:outlineLvl w:val="2"/>
      </w:pPr>
      <w:r>
        <w:rPr>
          <w:rFonts w:ascii="黑体" w:hAnsi="黑体" w:eastAsia="黑体"/>
          <w:sz w:val="32"/>
        </w:rPr>
        <w:t>十、其他重要事项的情况说明</w:t>
      </w:r>
    </w:p>
    <w:p w14:paraId="7534B45E">
      <w:pPr>
        <w:spacing w:line="640" w:lineRule="exact"/>
        <w:ind w:firstLine="640"/>
        <w:jc w:val="both"/>
        <w:outlineLvl w:val="3"/>
      </w:pPr>
      <w:r>
        <w:rPr>
          <w:rFonts w:ascii="楷体_GB2312" w:hAnsi="楷体_GB2312" w:eastAsia="楷体_GB2312"/>
          <w:b/>
          <w:sz w:val="32"/>
        </w:rPr>
        <w:t>（一）机关运行经费及公用经费支出情况</w:t>
      </w:r>
    </w:p>
    <w:p w14:paraId="1891DBB9">
      <w:pPr>
        <w:spacing w:line="580" w:lineRule="exact"/>
        <w:ind w:firstLine="640"/>
        <w:jc w:val="both"/>
      </w:pPr>
      <w:r>
        <w:rPr>
          <w:rFonts w:ascii="仿宋_GB2312" w:hAnsi="仿宋_GB2312" w:eastAsia="仿宋_GB2312"/>
          <w:b w:val="0"/>
          <w:sz w:val="32"/>
        </w:rPr>
        <w:t>2024年度叶城县东城区片区管理委员会（行政单位和参照公务员法管理事业单位）机关运行经费支出75.08万元，比上年增加14.89万元，增长24.74%，主要原因是：本年业务量增加，办公费等公用经费增加。</w:t>
      </w:r>
    </w:p>
    <w:p w14:paraId="5C8C0F87">
      <w:pPr>
        <w:spacing w:line="640" w:lineRule="exact"/>
        <w:ind w:firstLine="640"/>
        <w:jc w:val="both"/>
        <w:outlineLvl w:val="3"/>
      </w:pPr>
      <w:r>
        <w:rPr>
          <w:rFonts w:ascii="楷体_GB2312" w:hAnsi="楷体_GB2312" w:eastAsia="楷体_GB2312"/>
          <w:b/>
          <w:sz w:val="32"/>
        </w:rPr>
        <w:t>（二）政府采购情况</w:t>
      </w:r>
    </w:p>
    <w:p w14:paraId="4FC1B0F6">
      <w:pPr>
        <w:spacing w:line="580" w:lineRule="exact"/>
        <w:ind w:firstLine="640"/>
        <w:jc w:val="both"/>
      </w:pPr>
      <w:r>
        <w:rPr>
          <w:rFonts w:ascii="仿宋_GB2312" w:hAnsi="仿宋_GB2312" w:eastAsia="仿宋_GB2312"/>
          <w:b w:val="0"/>
          <w:sz w:val="32"/>
        </w:rPr>
        <w:t>2024年度政府采购支出总额79.74万元，其中：政府采购货物支出42.05万元、政府采购工程支出27.92万元、政府采购服务支出9.77万元。</w:t>
      </w:r>
    </w:p>
    <w:p w14:paraId="061456CE">
      <w:pPr>
        <w:spacing w:line="580" w:lineRule="exact"/>
        <w:ind w:firstLine="640"/>
        <w:jc w:val="both"/>
      </w:pPr>
      <w:r>
        <w:rPr>
          <w:rFonts w:ascii="仿宋_GB2312" w:hAnsi="仿宋_GB2312" w:eastAsia="仿宋_GB2312"/>
          <w:b w:val="0"/>
          <w:sz w:val="32"/>
        </w:rPr>
        <w:t>授予中小企业合同金额75.82万元，占政府采购支出总额的95.08%，其中：授予小微企业合同金额74.18万元，占政府采购支出总额的93.03%。</w:t>
      </w:r>
    </w:p>
    <w:p w14:paraId="4E8264E5">
      <w:pPr>
        <w:spacing w:line="640" w:lineRule="exact"/>
        <w:ind w:firstLine="640"/>
        <w:jc w:val="both"/>
        <w:outlineLvl w:val="3"/>
      </w:pPr>
      <w:bookmarkStart w:id="0" w:name="_GoBack"/>
      <w:r>
        <w:rPr>
          <w:rFonts w:ascii="楷体_GB2312" w:hAnsi="楷体_GB2312" w:eastAsia="楷体_GB2312"/>
          <w:b/>
          <w:sz w:val="32"/>
        </w:rPr>
        <w:t>（三）国有资产占用情况说明</w:t>
      </w:r>
    </w:p>
    <w:bookmarkEnd w:id="0"/>
    <w:p w14:paraId="2E10EBF0">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D66C49D">
      <w:pPr>
        <w:spacing w:line="640" w:lineRule="exact"/>
        <w:ind w:firstLine="640"/>
        <w:jc w:val="both"/>
        <w:outlineLvl w:val="2"/>
      </w:pPr>
      <w:r>
        <w:rPr>
          <w:rFonts w:ascii="黑体" w:hAnsi="黑体" w:eastAsia="黑体"/>
          <w:sz w:val="32"/>
        </w:rPr>
        <w:t>十一、预算绩效的情况说明</w:t>
      </w:r>
    </w:p>
    <w:p w14:paraId="1B3F3AE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4,766.86万元，实际执行总额4,766.86万元；预算绩效评价项目3个，全年预算数64.64万元，全年执行数24.64万元。预算绩效管理取得的成效：一是健全管理制度，本单位为加强预算管理，规范财务行为，健全完整的各项管理制度，有效保障了</w:t>
      </w:r>
      <w:r>
        <w:rPr>
          <w:rFonts w:hint="eastAsia" w:ascii="仿宋_GB2312" w:hAnsi="仿宋_GB2312" w:eastAsia="仿宋_GB2312"/>
          <w:b w:val="0"/>
          <w:sz w:val="32"/>
          <w:lang w:eastAsia="zh-CN"/>
        </w:rPr>
        <w:t>本单位</w:t>
      </w:r>
      <w:r>
        <w:rPr>
          <w:rFonts w:ascii="仿宋_GB2312" w:hAnsi="仿宋_GB2312" w:eastAsia="仿宋_GB2312"/>
          <w:b w:val="0"/>
          <w:sz w:val="32"/>
        </w:rPr>
        <w:t>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保障资金使用合规和安全，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本单位</w:t>
      </w:r>
      <w:r>
        <w:rPr>
          <w:rFonts w:ascii="仿宋_GB2312" w:hAnsi="仿宋_GB2312" w:eastAsia="仿宋_GB2312"/>
          <w:b w:val="0"/>
          <w:sz w:val="32"/>
        </w:rPr>
        <w:t>预算资金规范运行；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进行财务人员的业务培训及自我学习；二是对村级报账员进行定期培训，及时解决新出现的问题；三是持续加强财务管理，加快资金支付力度。在支付报账</w:t>
      </w:r>
      <w:r>
        <w:rPr>
          <w:rFonts w:hint="eastAsia" w:ascii="仿宋_GB2312" w:hAnsi="仿宋_GB2312" w:eastAsia="仿宋_GB2312"/>
          <w:b w:val="0"/>
          <w:sz w:val="32"/>
          <w:lang w:eastAsia="zh-CN"/>
        </w:rPr>
        <w:t>时</w:t>
      </w:r>
      <w:r>
        <w:rPr>
          <w:rFonts w:ascii="仿宋_GB2312" w:hAnsi="仿宋_GB2312" w:eastAsia="仿宋_GB2312"/>
          <w:b w:val="0"/>
          <w:sz w:val="32"/>
        </w:rPr>
        <w:t>，严格按照预算规定的项目范围、用途及使用规则审核支付，坚决杜绝超支现象的发生。具体附整体支出绩效自评表，项目支出绩效自评表和评价报告。</w:t>
      </w:r>
    </w:p>
    <w:p w14:paraId="76C1968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4960297">
        <w:tblPrEx>
          <w:tblCellMar>
            <w:top w:w="0" w:type="dxa"/>
            <w:left w:w="108" w:type="dxa"/>
            <w:bottom w:w="0" w:type="dxa"/>
            <w:right w:w="108" w:type="dxa"/>
          </w:tblCellMar>
        </w:tblPrEx>
        <w:tc>
          <w:tcPr>
            <w:tcW w:w="8847" w:type="dxa"/>
            <w:gridSpan w:val="9"/>
            <w:vAlign w:val="center"/>
          </w:tcPr>
          <w:p w14:paraId="66199F08">
            <w:pPr>
              <w:jc w:val="center"/>
            </w:pPr>
            <w:r>
              <w:rPr>
                <w:rFonts w:ascii="宋体" w:hAnsi="宋体" w:eastAsia="宋体"/>
                <w:sz w:val="24"/>
              </w:rPr>
              <w:t>单位整体支出绩效自评表</w:t>
            </w:r>
          </w:p>
        </w:tc>
      </w:tr>
      <w:tr w14:paraId="40A2BCA4">
        <w:tblPrEx>
          <w:tblCellMar>
            <w:top w:w="0" w:type="dxa"/>
            <w:left w:w="108" w:type="dxa"/>
            <w:bottom w:w="0" w:type="dxa"/>
            <w:right w:w="108" w:type="dxa"/>
          </w:tblCellMar>
        </w:tblPrEx>
        <w:tc>
          <w:tcPr>
            <w:tcW w:w="8847" w:type="dxa"/>
            <w:gridSpan w:val="9"/>
            <w:vAlign w:val="center"/>
          </w:tcPr>
          <w:p w14:paraId="6459464D">
            <w:pPr>
              <w:jc w:val="center"/>
            </w:pPr>
            <w:r>
              <w:rPr>
                <w:rFonts w:ascii="宋体" w:hAnsi="宋体" w:eastAsia="宋体"/>
                <w:sz w:val="24"/>
              </w:rPr>
              <w:t>（2024年度）</w:t>
            </w:r>
          </w:p>
        </w:tc>
      </w:tr>
      <w:tr w14:paraId="776427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DBD3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7A6E4F">
            <w:pPr>
              <w:jc w:val="center"/>
            </w:pPr>
            <w:r>
              <w:rPr>
                <w:rFonts w:ascii="宋体" w:hAnsi="宋体" w:eastAsia="宋体"/>
                <w:sz w:val="16"/>
              </w:rPr>
              <w:t>叶城县东城区片区管理委员会</w:t>
            </w:r>
          </w:p>
        </w:tc>
      </w:tr>
      <w:tr w14:paraId="57D13A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ADC0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4CA4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087D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EC15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8433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F3E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5364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4A0B7">
            <w:pPr>
              <w:jc w:val="center"/>
            </w:pPr>
            <w:r>
              <w:rPr>
                <w:rFonts w:ascii="宋体" w:hAnsi="宋体" w:eastAsia="宋体"/>
                <w:sz w:val="16"/>
              </w:rPr>
              <w:t>得分</w:t>
            </w:r>
          </w:p>
        </w:tc>
      </w:tr>
      <w:tr w14:paraId="22FCDD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749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EDEF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51085">
            <w:pPr>
              <w:jc w:val="center"/>
            </w:pPr>
            <w:r>
              <w:rPr>
                <w:rFonts w:ascii="宋体" w:hAnsi="宋体" w:eastAsia="宋体"/>
                <w:sz w:val="16"/>
              </w:rPr>
              <w:t>4,292.20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AC2AE">
            <w:pPr>
              <w:jc w:val="center"/>
            </w:pPr>
            <w:r>
              <w:rPr>
                <w:rFonts w:ascii="宋体" w:hAnsi="宋体" w:eastAsia="宋体"/>
                <w:sz w:val="16"/>
              </w:rPr>
              <w:t>4,766.86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6DC79">
            <w:pPr>
              <w:jc w:val="center"/>
            </w:pPr>
            <w:r>
              <w:rPr>
                <w:rFonts w:ascii="宋体" w:hAnsi="宋体" w:eastAsia="宋体"/>
                <w:sz w:val="16"/>
              </w:rPr>
              <w:t>4,766.86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4DC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1681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055C">
            <w:pPr>
              <w:jc w:val="center"/>
            </w:pPr>
            <w:r>
              <w:rPr>
                <w:rFonts w:ascii="宋体" w:hAnsi="宋体" w:eastAsia="宋体"/>
                <w:sz w:val="16"/>
              </w:rPr>
              <w:t>10</w:t>
            </w:r>
          </w:p>
        </w:tc>
      </w:tr>
      <w:tr w14:paraId="04B5E8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AB0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43B1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449C3">
            <w:pPr>
              <w:jc w:val="center"/>
            </w:pPr>
            <w:r>
              <w:rPr>
                <w:rFonts w:ascii="宋体" w:hAnsi="宋体" w:eastAsia="宋体"/>
                <w:sz w:val="16"/>
              </w:rPr>
              <w:t>1.49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99C9E">
            <w:pPr>
              <w:jc w:val="center"/>
            </w:pPr>
            <w:r>
              <w:rPr>
                <w:rFonts w:ascii="宋体" w:hAnsi="宋体" w:eastAsia="宋体"/>
                <w:sz w:val="16"/>
              </w:rPr>
              <w:t>1.49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03C2">
            <w:pPr>
              <w:jc w:val="center"/>
            </w:pPr>
            <w:r>
              <w:rPr>
                <w:rFonts w:ascii="宋体" w:hAnsi="宋体" w:eastAsia="宋体"/>
                <w:sz w:val="16"/>
              </w:rPr>
              <w:t>1.49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57F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CD59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1352">
            <w:pPr>
              <w:jc w:val="center"/>
            </w:pPr>
            <w:r>
              <w:rPr>
                <w:rFonts w:ascii="宋体" w:hAnsi="宋体" w:eastAsia="宋体"/>
                <w:sz w:val="16"/>
              </w:rPr>
              <w:t>—</w:t>
            </w:r>
          </w:p>
        </w:tc>
      </w:tr>
      <w:tr w14:paraId="15AE8A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500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2B8D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25326">
            <w:pPr>
              <w:jc w:val="center"/>
            </w:pPr>
            <w:r>
              <w:rPr>
                <w:rFonts w:ascii="宋体" w:hAnsi="宋体" w:eastAsia="宋体"/>
                <w:sz w:val="16"/>
              </w:rPr>
              <w:t>4,290.71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8E25F">
            <w:pPr>
              <w:jc w:val="center"/>
            </w:pPr>
            <w:r>
              <w:rPr>
                <w:rFonts w:ascii="宋体" w:hAnsi="宋体" w:eastAsia="宋体"/>
                <w:sz w:val="16"/>
              </w:rPr>
              <w:t>4,765.37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242B1">
            <w:pPr>
              <w:jc w:val="center"/>
            </w:pPr>
            <w:r>
              <w:rPr>
                <w:rFonts w:ascii="宋体" w:hAnsi="宋体" w:eastAsia="宋体"/>
                <w:sz w:val="16"/>
              </w:rPr>
              <w:t>4,765.37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88D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E505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37ABE">
            <w:pPr>
              <w:jc w:val="center"/>
            </w:pPr>
            <w:r>
              <w:rPr>
                <w:rFonts w:ascii="宋体" w:hAnsi="宋体" w:eastAsia="宋体"/>
                <w:sz w:val="16"/>
              </w:rPr>
              <w:t>—</w:t>
            </w:r>
          </w:p>
        </w:tc>
      </w:tr>
      <w:tr w14:paraId="322D39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084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ABCC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BC5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A0B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FB7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42C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7E70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FB9DA">
            <w:pPr>
              <w:jc w:val="center"/>
            </w:pPr>
            <w:r>
              <w:rPr>
                <w:rFonts w:ascii="宋体" w:hAnsi="宋体" w:eastAsia="宋体"/>
                <w:sz w:val="16"/>
              </w:rPr>
              <w:t>—</w:t>
            </w:r>
          </w:p>
        </w:tc>
      </w:tr>
      <w:tr w14:paraId="190970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BEFC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030CF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F70BD9">
            <w:pPr>
              <w:jc w:val="center"/>
            </w:pPr>
            <w:r>
              <w:rPr>
                <w:rFonts w:ascii="宋体" w:hAnsi="宋体" w:eastAsia="宋体"/>
                <w:sz w:val="16"/>
              </w:rPr>
              <w:t>实际完成情况</w:t>
            </w:r>
          </w:p>
        </w:tc>
      </w:tr>
      <w:tr w14:paraId="18D199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69D8C"/>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61ABAE">
            <w:pPr>
              <w:jc w:val="both"/>
            </w:pPr>
            <w:r>
              <w:rPr>
                <w:rFonts w:ascii="宋体" w:hAnsi="宋体" w:eastAsia="宋体"/>
                <w:sz w:val="16"/>
              </w:rPr>
              <w:t>目标1：保障叶城县东城区片区管理</w:t>
            </w:r>
            <w:r>
              <w:rPr>
                <w:rFonts w:hint="eastAsia" w:ascii="宋体" w:hAnsi="宋体"/>
                <w:sz w:val="16"/>
                <w:lang w:eastAsia="zh-CN"/>
              </w:rPr>
              <w:t>委员会</w:t>
            </w:r>
            <w:r>
              <w:rPr>
                <w:rFonts w:ascii="宋体" w:hAnsi="宋体" w:eastAsia="宋体"/>
                <w:sz w:val="16"/>
              </w:rPr>
              <w:t>在职208人工资正常发放，社保、医保、公积金正常缴纳。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目标2：保障叶城县东城区片区管理</w:t>
            </w:r>
            <w:r>
              <w:rPr>
                <w:rFonts w:hint="eastAsia" w:ascii="宋体" w:hAnsi="宋体"/>
                <w:sz w:val="16"/>
                <w:lang w:eastAsia="zh-CN"/>
              </w:rPr>
              <w:t>委员会</w:t>
            </w:r>
            <w:r>
              <w:rPr>
                <w:rFonts w:ascii="宋体" w:hAnsi="宋体" w:eastAsia="宋体"/>
                <w:sz w:val="16"/>
              </w:rPr>
              <w:t>退休1人补助正常发放。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目标3：保障叶城县东城区片区管理</w:t>
            </w:r>
            <w:r>
              <w:rPr>
                <w:rFonts w:hint="eastAsia" w:ascii="宋体" w:hAnsi="宋体"/>
                <w:sz w:val="16"/>
                <w:lang w:eastAsia="zh-CN"/>
              </w:rPr>
              <w:t>委员会</w:t>
            </w:r>
            <w:r>
              <w:rPr>
                <w:rFonts w:ascii="宋体" w:hAnsi="宋体" w:eastAsia="宋体"/>
                <w:sz w:val="16"/>
              </w:rPr>
              <w:t>全年正常运转。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目标4：国有企业退休人员社会化管理项目正常开展。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目标5：2023年</w:t>
            </w:r>
            <w:r>
              <w:rPr>
                <w:rFonts w:hint="eastAsia" w:ascii="宋体" w:hAnsi="宋体"/>
                <w:sz w:val="16"/>
                <w:lang w:eastAsia="zh-CN"/>
              </w:rPr>
              <w:t>为民办实事</w:t>
            </w:r>
            <w:r>
              <w:rPr>
                <w:rFonts w:ascii="宋体" w:hAnsi="宋体" w:eastAsia="宋体"/>
                <w:sz w:val="16"/>
              </w:rPr>
              <w:t>管寺管委会经费项目正常开展。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坚持“一社区一品牌”工作思路，在实用性、长效性上下功夫。不断优化党群服务中心综合使用率，推进“两新”组织、物业服务和物业服务企业党建全覆盖。以贯彻落实党的二十大精神，以习近平新时代中国特色社会主义思想为指导，坚决贯彻执行党中央、国务院、自治区、地区及县委、县人民政府的有关方面政策指示，把党的各项优惠政策落实到实处，负责全区经济社会发展、社会事务管理、安全、基层组织建设等全面工作。以全面建设社会主义新社区为根本出发点，不断深化美丽社区建设为总目标，不断铸牢全区经济社会发展基础，为全区各族群众提供社会服务。</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550E04">
            <w:pPr>
              <w:jc w:val="both"/>
            </w:pPr>
            <w:r>
              <w:rPr>
                <w:rFonts w:hint="eastAsia" w:ascii="宋体" w:hAnsi="宋体"/>
                <w:sz w:val="16"/>
                <w:lang w:eastAsia="zh-CN"/>
              </w:rPr>
              <w:t>截至</w:t>
            </w:r>
            <w:r>
              <w:rPr>
                <w:rFonts w:ascii="宋体" w:hAnsi="宋体" w:eastAsia="宋体"/>
                <w:sz w:val="16"/>
              </w:rPr>
              <w:t>2024年12月31日，已完成坚持“一社区一品牌”工作思路，在实用性、长效性上下功夫。保障叶城县东城片区管理</w:t>
            </w:r>
            <w:r>
              <w:rPr>
                <w:rFonts w:hint="eastAsia" w:ascii="宋体" w:hAnsi="宋体"/>
                <w:sz w:val="16"/>
                <w:lang w:eastAsia="zh-CN"/>
              </w:rPr>
              <w:t>委员会</w:t>
            </w:r>
            <w:r>
              <w:rPr>
                <w:rFonts w:ascii="宋体" w:hAnsi="宋体" w:eastAsia="宋体"/>
                <w:sz w:val="16"/>
              </w:rPr>
              <w:t>在职208人工资正常发放，社保、医保、公积金政策缴纳。保障1人退休补助正常发放，不断优化党群服务中心综合使用率，推进“两新”组织、物业服务和物业服务企业党建全覆盖。以贯彻落实党的二十大精神，以习近平新时代中国特色社会主义思想为指导，坚决贯彻执行党中央、国务院、自治区、地区及县委、县人民政府的有关方面政策指示，把党的各项优惠政策落实到实处，负责全区经济社会发展、社会事务管理、安全、基层组织建设等全面工作。以全面建设社会主义新社区为根本出发点，不断深化美丽社区建设为总目标，不断铸牢全区经济社会发展基础，为全区各族群众提供社会服务。</w:t>
            </w:r>
          </w:p>
        </w:tc>
      </w:tr>
      <w:tr w14:paraId="6CC04C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B81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A618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8744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27D0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55F6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3F1C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5B58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0C11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8AC12">
            <w:pPr>
              <w:jc w:val="center"/>
            </w:pPr>
            <w:r>
              <w:rPr>
                <w:rFonts w:ascii="宋体" w:hAnsi="宋体" w:eastAsia="宋体"/>
                <w:sz w:val="16"/>
              </w:rPr>
              <w:t>得分</w:t>
            </w:r>
          </w:p>
        </w:tc>
      </w:tr>
      <w:tr w14:paraId="527207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AFC9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A117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B40A5">
            <w:pPr>
              <w:jc w:val="center"/>
            </w:pPr>
            <w:r>
              <w:rPr>
                <w:rFonts w:ascii="宋体" w:hAnsi="宋体" w:eastAsia="宋体"/>
                <w:sz w:val="16"/>
              </w:rPr>
              <w:t>保障在职人数（人）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B0F71">
            <w:pPr>
              <w:jc w:val="center"/>
            </w:pPr>
            <w:r>
              <w:rPr>
                <w:rFonts w:ascii="宋体" w:hAnsi="宋体" w:eastAsia="宋体"/>
                <w:sz w:val="16"/>
              </w:rPr>
              <w:t>=208个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753D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3EB9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58890">
            <w:pPr>
              <w:jc w:val="center"/>
            </w:pPr>
            <w:r>
              <w:rPr>
                <w:rFonts w:ascii="宋体" w:hAnsi="宋体" w:eastAsia="宋体"/>
                <w:sz w:val="16"/>
              </w:rPr>
              <w:t>=208个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7F1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E3068">
            <w:pPr>
              <w:jc w:val="center"/>
            </w:pPr>
            <w:r>
              <w:rPr>
                <w:rFonts w:ascii="宋体" w:hAnsi="宋体" w:eastAsia="宋体"/>
                <w:sz w:val="16"/>
              </w:rPr>
              <w:t>15</w:t>
            </w:r>
          </w:p>
        </w:tc>
      </w:tr>
      <w:tr w14:paraId="02BBC4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FFA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761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D34D8">
            <w:pPr>
              <w:jc w:val="center"/>
            </w:pPr>
            <w:r>
              <w:rPr>
                <w:rFonts w:ascii="宋体" w:hAnsi="宋体" w:eastAsia="宋体"/>
                <w:sz w:val="16"/>
              </w:rPr>
              <w:t>保障退休人员人数（人）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41F5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7250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F100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EAFDE">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7D9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FD576">
            <w:pPr>
              <w:jc w:val="center"/>
            </w:pPr>
            <w:r>
              <w:rPr>
                <w:rFonts w:ascii="宋体" w:hAnsi="宋体" w:eastAsia="宋体"/>
                <w:sz w:val="16"/>
              </w:rPr>
              <w:t>15</w:t>
            </w:r>
          </w:p>
        </w:tc>
      </w:tr>
      <w:tr w14:paraId="2F788B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41A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A02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4548A">
            <w:pPr>
              <w:jc w:val="center"/>
            </w:pPr>
            <w:r>
              <w:rPr>
                <w:rFonts w:ascii="宋体" w:hAnsi="宋体" w:eastAsia="宋体"/>
                <w:sz w:val="16"/>
              </w:rPr>
              <w:t>收集化解困难诉求数量（条）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476FB">
            <w:pPr>
              <w:jc w:val="center"/>
            </w:pPr>
            <w:r>
              <w:rPr>
                <w:rFonts w:ascii="宋体" w:hAnsi="宋体" w:eastAsia="宋体"/>
                <w:sz w:val="16"/>
              </w:rPr>
              <w:t>&gt;=200条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0B45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732C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A9DC">
            <w:pPr>
              <w:jc w:val="center"/>
            </w:pPr>
            <w:r>
              <w:rPr>
                <w:rFonts w:ascii="宋体" w:hAnsi="宋体" w:eastAsia="宋体"/>
                <w:sz w:val="16"/>
              </w:rPr>
              <w:t>=200条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31E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32258">
            <w:pPr>
              <w:jc w:val="center"/>
            </w:pPr>
            <w:r>
              <w:rPr>
                <w:rFonts w:ascii="宋体" w:hAnsi="宋体" w:eastAsia="宋体"/>
                <w:sz w:val="16"/>
              </w:rPr>
              <w:t>15</w:t>
            </w:r>
          </w:p>
        </w:tc>
      </w:tr>
      <w:tr w14:paraId="742ABB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E5F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B92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D7677">
            <w:pPr>
              <w:jc w:val="center"/>
            </w:pPr>
            <w:r>
              <w:rPr>
                <w:rFonts w:ascii="宋体" w:hAnsi="宋体" w:eastAsia="宋体"/>
                <w:sz w:val="16"/>
              </w:rPr>
              <w:t>组织学习宣讲活动次数(次）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F3959">
            <w:pPr>
              <w:jc w:val="center"/>
            </w:pPr>
            <w:r>
              <w:rPr>
                <w:rFonts w:ascii="宋体" w:hAnsi="宋体" w:eastAsia="宋体"/>
                <w:sz w:val="16"/>
              </w:rPr>
              <w:t>&gt;=230次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70AE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7547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CBC09">
            <w:pPr>
              <w:jc w:val="center"/>
            </w:pPr>
            <w:r>
              <w:rPr>
                <w:rFonts w:ascii="宋体" w:hAnsi="宋体" w:eastAsia="宋体"/>
                <w:sz w:val="16"/>
              </w:rPr>
              <w:t>=230次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E76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F7F52">
            <w:pPr>
              <w:jc w:val="center"/>
            </w:pPr>
            <w:r>
              <w:rPr>
                <w:rFonts w:ascii="宋体" w:hAnsi="宋体" w:eastAsia="宋体"/>
                <w:sz w:val="16"/>
              </w:rPr>
              <w:t>15</w:t>
            </w:r>
          </w:p>
        </w:tc>
      </w:tr>
      <w:tr w14:paraId="3E08D0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839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902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5A335">
            <w:pPr>
              <w:jc w:val="center"/>
            </w:pPr>
            <w:r>
              <w:rPr>
                <w:rFonts w:ascii="宋体" w:hAnsi="宋体" w:eastAsia="宋体"/>
                <w:sz w:val="16"/>
              </w:rPr>
              <w:t>保障救助群体人数（人）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837FE">
            <w:pPr>
              <w:jc w:val="center"/>
            </w:pPr>
            <w:r>
              <w:rPr>
                <w:rFonts w:ascii="宋体" w:hAnsi="宋体" w:eastAsia="宋体"/>
                <w:sz w:val="16"/>
              </w:rPr>
              <w:t>&gt;=200人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5CA6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1D9E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BA1C3">
            <w:pPr>
              <w:jc w:val="center"/>
            </w:pPr>
            <w:r>
              <w:rPr>
                <w:rFonts w:ascii="宋体" w:hAnsi="宋体" w:eastAsia="宋体"/>
                <w:sz w:val="16"/>
              </w:rPr>
              <w:t>=408人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130E">
            <w:pPr>
              <w:jc w:val="center"/>
            </w:pPr>
            <w:r>
              <w:rPr>
                <w:rFonts w:ascii="宋体" w:hAnsi="宋体" w:eastAsia="宋体"/>
                <w:sz w:val="16"/>
              </w:rPr>
              <w:t>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65159">
            <w:pPr>
              <w:jc w:val="center"/>
            </w:pPr>
            <w:r>
              <w:rPr>
                <w:rFonts w:ascii="宋体" w:hAnsi="宋体" w:eastAsia="宋体"/>
                <w:sz w:val="16"/>
              </w:rPr>
              <w:t>15</w:t>
            </w:r>
          </w:p>
        </w:tc>
      </w:tr>
      <w:tr w14:paraId="0B2C02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DFB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63D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49109">
            <w:pPr>
              <w:jc w:val="center"/>
            </w:pPr>
            <w:r>
              <w:rPr>
                <w:rFonts w:ascii="宋体" w:hAnsi="宋体" w:eastAsia="宋体"/>
                <w:sz w:val="16"/>
              </w:rPr>
              <w:t>保障公车运行数量（辆）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9484B">
            <w:pPr>
              <w:jc w:val="center"/>
            </w:pPr>
            <w:r>
              <w:rPr>
                <w:rFonts w:ascii="宋体" w:hAnsi="宋体" w:eastAsia="宋体"/>
                <w:sz w:val="16"/>
              </w:rPr>
              <w:t>=3辆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210F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D6FD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DA88C">
            <w:pPr>
              <w:jc w:val="center"/>
            </w:pPr>
            <w:r>
              <w:rPr>
                <w:rFonts w:ascii="宋体" w:hAnsi="宋体" w:eastAsia="宋体"/>
                <w:sz w:val="16"/>
              </w:rPr>
              <w:t>=3辆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BAB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DDB0A">
            <w:pPr>
              <w:jc w:val="center"/>
            </w:pPr>
            <w:r>
              <w:rPr>
                <w:rFonts w:ascii="宋体" w:hAnsi="宋体" w:eastAsia="宋体"/>
                <w:sz w:val="16"/>
              </w:rPr>
              <w:t>15</w:t>
            </w:r>
          </w:p>
        </w:tc>
      </w:tr>
    </w:tbl>
    <w:p w14:paraId="4F2BA1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AEE6AE6">
        <w:tblPrEx>
          <w:tblCellMar>
            <w:top w:w="0" w:type="dxa"/>
            <w:left w:w="108" w:type="dxa"/>
            <w:bottom w:w="0" w:type="dxa"/>
            <w:right w:w="108" w:type="dxa"/>
          </w:tblCellMar>
        </w:tblPrEx>
        <w:tc>
          <w:tcPr>
            <w:tcW w:w="8848" w:type="dxa"/>
            <w:gridSpan w:val="14"/>
            <w:vAlign w:val="center"/>
          </w:tcPr>
          <w:p w14:paraId="70622009">
            <w:pPr>
              <w:jc w:val="center"/>
            </w:pPr>
            <w:r>
              <w:rPr>
                <w:rFonts w:ascii="宋体" w:hAnsi="宋体" w:eastAsia="宋体"/>
                <w:sz w:val="24"/>
              </w:rPr>
              <w:t>项目支出绩效自评表</w:t>
            </w:r>
          </w:p>
        </w:tc>
      </w:tr>
      <w:tr w14:paraId="03B6DF84">
        <w:tblPrEx>
          <w:tblCellMar>
            <w:top w:w="0" w:type="dxa"/>
            <w:left w:w="108" w:type="dxa"/>
            <w:bottom w:w="0" w:type="dxa"/>
            <w:right w:w="108" w:type="dxa"/>
          </w:tblCellMar>
        </w:tblPrEx>
        <w:tc>
          <w:tcPr>
            <w:tcW w:w="8848" w:type="dxa"/>
            <w:gridSpan w:val="14"/>
            <w:vAlign w:val="center"/>
          </w:tcPr>
          <w:p w14:paraId="11EAF739">
            <w:pPr>
              <w:jc w:val="center"/>
            </w:pPr>
            <w:r>
              <w:rPr>
                <w:rFonts w:ascii="宋体" w:hAnsi="宋体" w:eastAsia="宋体"/>
                <w:sz w:val="24"/>
              </w:rPr>
              <w:t>(2024年度)</w:t>
            </w:r>
          </w:p>
        </w:tc>
      </w:tr>
      <w:tr w14:paraId="5D3A29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86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A4616A">
            <w:pPr>
              <w:jc w:val="center"/>
            </w:pPr>
            <w:r>
              <w:rPr>
                <w:rFonts w:ascii="宋体" w:hAnsi="宋体" w:eastAsia="宋体"/>
                <w:sz w:val="16"/>
              </w:rPr>
              <w:t>中城区疾病防治项目（整改）</w:t>
            </w:r>
          </w:p>
        </w:tc>
      </w:tr>
      <w:tr w14:paraId="39339D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AF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F816F9">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EF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D60D60">
            <w:pPr>
              <w:jc w:val="center"/>
            </w:pPr>
            <w:r>
              <w:rPr>
                <w:rFonts w:ascii="宋体" w:hAnsi="宋体" w:eastAsia="宋体"/>
                <w:sz w:val="16"/>
              </w:rPr>
              <w:t>叶城县东城区片区管理委员会</w:t>
            </w:r>
          </w:p>
        </w:tc>
      </w:tr>
      <w:tr w14:paraId="296BE5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E7C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715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F89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6BF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A11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646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C8A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A86A">
            <w:pPr>
              <w:jc w:val="center"/>
            </w:pPr>
            <w:r>
              <w:rPr>
                <w:rFonts w:ascii="宋体" w:hAnsi="宋体" w:eastAsia="宋体"/>
                <w:sz w:val="16"/>
              </w:rPr>
              <w:t>得分</w:t>
            </w:r>
          </w:p>
        </w:tc>
      </w:tr>
      <w:tr w14:paraId="4BEED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6DC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CB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4B077">
            <w:pPr>
              <w:jc w:val="center"/>
            </w:pPr>
            <w:r>
              <w:rPr>
                <w:rFonts w:ascii="宋体" w:hAnsi="宋体" w:eastAsia="宋体"/>
                <w:sz w:val="16"/>
              </w:rPr>
              <w:t>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14992">
            <w:pPr>
              <w:jc w:val="center"/>
            </w:pPr>
            <w:r>
              <w:rPr>
                <w:rFonts w:ascii="宋体" w:hAnsi="宋体" w:eastAsia="宋体"/>
                <w:sz w:val="16"/>
              </w:rPr>
              <w:t>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70425">
            <w:pPr>
              <w:jc w:val="center"/>
            </w:pPr>
            <w:r>
              <w:rPr>
                <w:rFonts w:ascii="宋体" w:hAnsi="宋体" w:eastAsia="宋体"/>
                <w:sz w:val="16"/>
              </w:rPr>
              <w:t>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775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6E13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9441">
            <w:pPr>
              <w:jc w:val="center"/>
            </w:pPr>
            <w:r>
              <w:rPr>
                <w:rFonts w:ascii="宋体" w:hAnsi="宋体" w:eastAsia="宋体"/>
                <w:sz w:val="16"/>
              </w:rPr>
              <w:t>10.00分</w:t>
            </w:r>
          </w:p>
        </w:tc>
      </w:tr>
      <w:tr w14:paraId="0DBB3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7CC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5A3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CA167">
            <w:pPr>
              <w:jc w:val="center"/>
            </w:pPr>
            <w:r>
              <w:rPr>
                <w:rFonts w:ascii="宋体" w:hAnsi="宋体" w:eastAsia="宋体"/>
                <w:sz w:val="16"/>
              </w:rPr>
              <w:t>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97F8E">
            <w:pPr>
              <w:jc w:val="center"/>
            </w:pPr>
            <w:r>
              <w:rPr>
                <w:rFonts w:ascii="宋体" w:hAnsi="宋体" w:eastAsia="宋体"/>
                <w:sz w:val="16"/>
              </w:rPr>
              <w:t>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8D636">
            <w:pPr>
              <w:jc w:val="center"/>
            </w:pPr>
            <w:r>
              <w:rPr>
                <w:rFonts w:ascii="宋体" w:hAnsi="宋体" w:eastAsia="宋体"/>
                <w:sz w:val="16"/>
              </w:rPr>
              <w:t>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7E9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96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4462">
            <w:pPr>
              <w:jc w:val="center"/>
            </w:pPr>
            <w:r>
              <w:rPr>
                <w:rFonts w:ascii="宋体" w:hAnsi="宋体" w:eastAsia="宋体"/>
                <w:sz w:val="16"/>
              </w:rPr>
              <w:t>—</w:t>
            </w:r>
          </w:p>
        </w:tc>
      </w:tr>
      <w:tr w14:paraId="1FDDC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63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81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582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D59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AFE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432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6D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4D06">
            <w:pPr>
              <w:jc w:val="center"/>
            </w:pPr>
            <w:r>
              <w:rPr>
                <w:rFonts w:ascii="宋体" w:hAnsi="宋体" w:eastAsia="宋体"/>
                <w:sz w:val="16"/>
              </w:rPr>
              <w:t>—</w:t>
            </w:r>
          </w:p>
        </w:tc>
      </w:tr>
      <w:tr w14:paraId="343B5A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7EE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8FF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2D5EDE">
            <w:pPr>
              <w:jc w:val="center"/>
            </w:pPr>
            <w:r>
              <w:rPr>
                <w:rFonts w:ascii="宋体" w:hAnsi="宋体" w:eastAsia="宋体"/>
                <w:sz w:val="16"/>
              </w:rPr>
              <w:t>实际完成情况</w:t>
            </w:r>
          </w:p>
        </w:tc>
      </w:tr>
      <w:tr w14:paraId="2215D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D1F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31E50">
            <w:pPr>
              <w:jc w:val="both"/>
            </w:pPr>
            <w:r>
              <w:rPr>
                <w:rFonts w:ascii="宋体" w:hAnsi="宋体" w:eastAsia="宋体"/>
                <w:sz w:val="16"/>
              </w:rPr>
              <w:t>项目资金4.64万元，用于支付采购</w:t>
            </w:r>
            <w:r>
              <w:rPr>
                <w:rFonts w:hint="eastAsia" w:ascii="宋体" w:hAnsi="宋体"/>
                <w:sz w:val="16"/>
                <w:lang w:eastAsia="zh-CN"/>
              </w:rPr>
              <w:t>YQ</w:t>
            </w:r>
            <w:r>
              <w:rPr>
                <w:rFonts w:ascii="宋体" w:hAnsi="宋体" w:eastAsia="宋体"/>
                <w:sz w:val="16"/>
              </w:rPr>
              <w:t>防疫物资的尾款，按时支付项目尾款，保证相关公司合法权益，建立健全财务运行机制，进一步规范地方政府举债融资行为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020EC">
            <w:pPr>
              <w:jc w:val="both"/>
            </w:pPr>
            <w:r>
              <w:rPr>
                <w:rFonts w:ascii="宋体" w:hAnsi="宋体" w:eastAsia="宋体"/>
                <w:sz w:val="16"/>
              </w:rPr>
              <w:t>截至2024年8月31日，项目实际支出4.64万元，支付采购防疫物资的尾款，保障项目顺利实施，保障相关企业合法权益。</w:t>
            </w:r>
          </w:p>
        </w:tc>
      </w:tr>
      <w:tr w14:paraId="327915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EB8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21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47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BE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74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B5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63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4E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8C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4A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7F9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69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47E76">
            <w:pPr>
              <w:jc w:val="center"/>
            </w:pPr>
            <w:r>
              <w:rPr>
                <w:rFonts w:ascii="宋体" w:hAnsi="宋体" w:eastAsia="宋体"/>
                <w:sz w:val="16"/>
              </w:rPr>
              <w:t>偏差原因分析及改进措施</w:t>
            </w:r>
          </w:p>
        </w:tc>
      </w:tr>
      <w:tr w14:paraId="7B9013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4C1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59B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1B2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5897">
            <w:pPr>
              <w:jc w:val="center"/>
            </w:pPr>
            <w:r>
              <w:rPr>
                <w:rFonts w:ascii="宋体" w:hAnsi="宋体" w:eastAsia="宋体"/>
                <w:sz w:val="16"/>
              </w:rPr>
              <w:t>覆盖城区（个）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3B6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5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5A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E6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66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9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348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94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3F063">
            <w:pPr>
              <w:jc w:val="center"/>
            </w:pPr>
          </w:p>
        </w:tc>
      </w:tr>
      <w:tr w14:paraId="7F650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13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37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65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EE86">
            <w:pPr>
              <w:jc w:val="center"/>
            </w:pPr>
            <w:r>
              <w:rPr>
                <w:rFonts w:ascii="宋体" w:hAnsi="宋体" w:eastAsia="宋体"/>
                <w:sz w:val="16"/>
              </w:rPr>
              <w:t>支付尾款项目个数（个）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61B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7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AB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A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0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7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C88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78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C30DE">
            <w:pPr>
              <w:jc w:val="center"/>
            </w:pPr>
          </w:p>
        </w:tc>
      </w:tr>
      <w:tr w14:paraId="4CF55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9E9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4BD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5DC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0922">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CD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3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06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FD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8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CB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B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CD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F892D">
            <w:pPr>
              <w:jc w:val="center"/>
            </w:pPr>
          </w:p>
        </w:tc>
      </w:tr>
      <w:tr w14:paraId="3A063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1B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7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4B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1E1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85A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2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CE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CA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32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78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E4CD">
            <w:pPr>
              <w:jc w:val="center"/>
            </w:pPr>
            <w:r>
              <w:rPr>
                <w:rFonts w:ascii="宋体" w:hAnsi="宋体" w:eastAsia="宋体"/>
                <w:sz w:val="16"/>
              </w:rPr>
              <w:t>2024年7月22日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9F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E60E">
            <w:pPr>
              <w:jc w:val="center"/>
            </w:pPr>
          </w:p>
        </w:tc>
      </w:tr>
      <w:tr w14:paraId="56B18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99C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5B1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52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7A63">
            <w:pPr>
              <w:jc w:val="center"/>
            </w:pPr>
            <w:r>
              <w:rPr>
                <w:rFonts w:ascii="宋体" w:hAnsi="宋体" w:eastAsia="宋体"/>
                <w:sz w:val="16"/>
              </w:rPr>
              <w:t>项目经费总额（万元）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2D45">
            <w:pPr>
              <w:jc w:val="center"/>
            </w:pPr>
            <w:r>
              <w:rPr>
                <w:rFonts w:ascii="宋体" w:hAnsi="宋体" w:eastAsia="宋体"/>
                <w:sz w:val="16"/>
              </w:rPr>
              <w:t>=4.64万元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4C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1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5C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F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1F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3C6E">
            <w:pPr>
              <w:jc w:val="center"/>
            </w:pPr>
            <w:r>
              <w:rPr>
                <w:rFonts w:ascii="宋体" w:hAnsi="宋体" w:eastAsia="宋体"/>
                <w:sz w:val="16"/>
              </w:rPr>
              <w:t>=4.64万元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4B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AA4CA">
            <w:pPr>
              <w:jc w:val="center"/>
            </w:pPr>
          </w:p>
        </w:tc>
      </w:tr>
      <w:tr w14:paraId="20250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F1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78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75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5082">
            <w:pPr>
              <w:jc w:val="center"/>
            </w:pPr>
            <w:r>
              <w:rPr>
                <w:rFonts w:ascii="宋体" w:hAnsi="宋体" w:eastAsia="宋体"/>
                <w:sz w:val="16"/>
              </w:rPr>
              <w:t>建立健全财务运行机制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3228">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6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2C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CF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C5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D3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4166">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DF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0AD46">
            <w:pPr>
              <w:jc w:val="center"/>
            </w:pPr>
          </w:p>
        </w:tc>
      </w:tr>
      <w:tr w14:paraId="73C92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68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4E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50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82A5">
            <w:pPr>
              <w:jc w:val="center"/>
            </w:pPr>
            <w:r>
              <w:rPr>
                <w:rFonts w:ascii="宋体" w:hAnsi="宋体" w:eastAsia="宋体"/>
                <w:sz w:val="16"/>
              </w:rPr>
              <w:t>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6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0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7A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7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F6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34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5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65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D817">
            <w:pPr>
              <w:jc w:val="center"/>
            </w:pPr>
          </w:p>
        </w:tc>
      </w:tr>
      <w:tr w14:paraId="5DF102B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077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83E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7FA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3B0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40183B"/>
        </w:tc>
      </w:tr>
    </w:tbl>
    <w:p w14:paraId="189DB6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208A673">
        <w:tblPrEx>
          <w:tblCellMar>
            <w:top w:w="0" w:type="dxa"/>
            <w:left w:w="108" w:type="dxa"/>
            <w:bottom w:w="0" w:type="dxa"/>
            <w:right w:w="108" w:type="dxa"/>
          </w:tblCellMar>
        </w:tblPrEx>
        <w:tc>
          <w:tcPr>
            <w:tcW w:w="8848" w:type="dxa"/>
            <w:gridSpan w:val="14"/>
            <w:vAlign w:val="center"/>
          </w:tcPr>
          <w:p w14:paraId="612FBA28">
            <w:pPr>
              <w:jc w:val="center"/>
            </w:pPr>
            <w:r>
              <w:rPr>
                <w:rFonts w:ascii="宋体" w:hAnsi="宋体" w:eastAsia="宋体"/>
                <w:sz w:val="24"/>
              </w:rPr>
              <w:t>项目支出绩效自评表</w:t>
            </w:r>
          </w:p>
        </w:tc>
      </w:tr>
      <w:tr w14:paraId="3512AA2B">
        <w:tblPrEx>
          <w:tblCellMar>
            <w:top w:w="0" w:type="dxa"/>
            <w:left w:w="108" w:type="dxa"/>
            <w:bottom w:w="0" w:type="dxa"/>
            <w:right w:w="108" w:type="dxa"/>
          </w:tblCellMar>
        </w:tblPrEx>
        <w:tc>
          <w:tcPr>
            <w:tcW w:w="8848" w:type="dxa"/>
            <w:gridSpan w:val="14"/>
            <w:vAlign w:val="center"/>
          </w:tcPr>
          <w:p w14:paraId="6EBA9520">
            <w:pPr>
              <w:jc w:val="center"/>
            </w:pPr>
            <w:r>
              <w:rPr>
                <w:rFonts w:ascii="宋体" w:hAnsi="宋体" w:eastAsia="宋体"/>
                <w:sz w:val="24"/>
              </w:rPr>
              <w:t>(2024年度)</w:t>
            </w:r>
          </w:p>
        </w:tc>
      </w:tr>
      <w:tr w14:paraId="3FB4A9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EF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D94979">
            <w:pPr>
              <w:jc w:val="center"/>
            </w:pPr>
            <w:r>
              <w:rPr>
                <w:rFonts w:ascii="宋体" w:hAnsi="宋体" w:eastAsia="宋体"/>
                <w:sz w:val="16"/>
              </w:rPr>
              <w:t>基层组织建设资金(中城区18、48社区）</w:t>
            </w:r>
          </w:p>
        </w:tc>
      </w:tr>
      <w:tr w14:paraId="0543D4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C6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4475B2">
            <w:pPr>
              <w:jc w:val="center"/>
            </w:pPr>
            <w:r>
              <w:rPr>
                <w:rFonts w:ascii="宋体" w:hAnsi="宋体" w:eastAsia="宋体"/>
                <w:sz w:val="16"/>
              </w:rPr>
              <w:t>叶城县东城区片区管理委员会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3B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3B6E4A">
            <w:pPr>
              <w:jc w:val="center"/>
            </w:pPr>
            <w:r>
              <w:rPr>
                <w:rFonts w:ascii="宋体" w:hAnsi="宋体" w:eastAsia="宋体"/>
                <w:sz w:val="16"/>
              </w:rPr>
              <w:t>叶城县东城区片区管理委员会</w:t>
            </w:r>
          </w:p>
        </w:tc>
      </w:tr>
      <w:tr w14:paraId="346A53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D90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902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F74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684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304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35E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F60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C129">
            <w:pPr>
              <w:jc w:val="center"/>
            </w:pPr>
            <w:r>
              <w:rPr>
                <w:rFonts w:ascii="宋体" w:hAnsi="宋体" w:eastAsia="宋体"/>
                <w:sz w:val="16"/>
              </w:rPr>
              <w:t>得分</w:t>
            </w:r>
          </w:p>
        </w:tc>
      </w:tr>
      <w:tr w14:paraId="328B0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B34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925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EF1E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B4A2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928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B61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5AC8">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95D3">
            <w:pPr>
              <w:jc w:val="center"/>
            </w:pPr>
            <w:r>
              <w:rPr>
                <w:rFonts w:ascii="宋体" w:hAnsi="宋体" w:eastAsia="宋体"/>
                <w:sz w:val="16"/>
              </w:rPr>
              <w:t>0.00分</w:t>
            </w:r>
          </w:p>
        </w:tc>
      </w:tr>
      <w:tr w14:paraId="5B569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F66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4FB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8E56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11B7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5F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8E1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82A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9CC7">
            <w:pPr>
              <w:jc w:val="center"/>
            </w:pPr>
            <w:r>
              <w:rPr>
                <w:rFonts w:ascii="宋体" w:hAnsi="宋体" w:eastAsia="宋体"/>
                <w:sz w:val="16"/>
              </w:rPr>
              <w:t>—</w:t>
            </w:r>
          </w:p>
        </w:tc>
      </w:tr>
      <w:tr w14:paraId="0E345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84E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AC5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D3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035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C0E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03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57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631B">
            <w:pPr>
              <w:jc w:val="center"/>
            </w:pPr>
            <w:r>
              <w:rPr>
                <w:rFonts w:ascii="宋体" w:hAnsi="宋体" w:eastAsia="宋体"/>
                <w:sz w:val="16"/>
              </w:rPr>
              <w:t>—</w:t>
            </w:r>
          </w:p>
        </w:tc>
      </w:tr>
      <w:tr w14:paraId="602C0D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9E3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FC8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80CA5C">
            <w:pPr>
              <w:jc w:val="center"/>
            </w:pPr>
            <w:r>
              <w:rPr>
                <w:rFonts w:ascii="宋体" w:hAnsi="宋体" w:eastAsia="宋体"/>
                <w:sz w:val="16"/>
              </w:rPr>
              <w:t>实际完成情况</w:t>
            </w:r>
          </w:p>
        </w:tc>
      </w:tr>
      <w:tr w14:paraId="62325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04C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41B1F">
            <w:pPr>
              <w:jc w:val="both"/>
            </w:pPr>
            <w:r>
              <w:rPr>
                <w:rFonts w:ascii="宋体" w:hAnsi="宋体" w:eastAsia="宋体"/>
                <w:sz w:val="16"/>
              </w:rPr>
              <w:t>项目总资金40万元，主要用于社区对办公阵地进行改造，达到紧紧围绕铸牢中华民族共同体意识、增进“五个认同”经常性开展宣传教育，突出针对性、有效性，让群众看得懂、记得住、入脑入心，坚持一室多用，办公面积最小化、服务面积最大化，总体做到功能务实、布局合理、简朴实用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6B5163">
            <w:pPr>
              <w:jc w:val="both"/>
            </w:pPr>
            <w:r>
              <w:rPr>
                <w:rFonts w:hint="eastAsia" w:ascii="宋体" w:hAnsi="宋体"/>
                <w:sz w:val="16"/>
                <w:lang w:eastAsia="zh-CN"/>
              </w:rPr>
              <w:t>截至2024</w:t>
            </w:r>
            <w:r>
              <w:rPr>
                <w:rFonts w:ascii="宋体" w:hAnsi="宋体" w:eastAsia="宋体"/>
                <w:sz w:val="16"/>
              </w:rPr>
              <w:t>年12月31日，该项目预算资金40万元，到位资金40万元，已支付0万元，主要用于社区对办公阵地进行改造，达到紧紧围绕铸牢中华民族共同体意识、增进“五个认同”经常性开展宣传教育，突出针对性、有效性，让群众看得懂、记得住、入脑入心，坚持一室多用，办公面积最小化、服务面积最大化，总体做到功能务实、布局合理、简朴实用的效果。</w:t>
            </w:r>
          </w:p>
        </w:tc>
      </w:tr>
      <w:tr w14:paraId="523FAC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BFF1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4F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BF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8A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CC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0F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3D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22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2D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ED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7D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E8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898C8">
            <w:pPr>
              <w:jc w:val="center"/>
            </w:pPr>
            <w:r>
              <w:rPr>
                <w:rFonts w:ascii="宋体" w:hAnsi="宋体" w:eastAsia="宋体"/>
                <w:sz w:val="16"/>
              </w:rPr>
              <w:t>偏差原因分析及改进措施</w:t>
            </w:r>
          </w:p>
        </w:tc>
      </w:tr>
      <w:tr w14:paraId="7ADE35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5B0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5893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BE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74DE">
            <w:pPr>
              <w:jc w:val="center"/>
            </w:pPr>
            <w:r>
              <w:rPr>
                <w:rFonts w:ascii="宋体" w:hAnsi="宋体" w:eastAsia="宋体"/>
                <w:sz w:val="16"/>
              </w:rPr>
              <w:t>涉及社区数量（个）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625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0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36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AE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8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C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8386">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19C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05E96">
            <w:pPr>
              <w:jc w:val="center"/>
            </w:pPr>
            <w:r>
              <w:rPr>
                <w:rFonts w:ascii="宋体" w:hAnsi="宋体" w:eastAsia="宋体"/>
                <w:sz w:val="16"/>
              </w:rPr>
              <w:t>偏差原因：施工方未提交完整支付材料，无法支付资金。整改措施：加快支付进度。</w:t>
            </w:r>
          </w:p>
        </w:tc>
      </w:tr>
      <w:tr w14:paraId="3BB2C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B0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AE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0D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05FF">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E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C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0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42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14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4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F2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240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F7D97">
            <w:pPr>
              <w:jc w:val="center"/>
            </w:pPr>
            <w:r>
              <w:rPr>
                <w:rFonts w:ascii="宋体" w:hAnsi="宋体" w:eastAsia="宋体"/>
                <w:sz w:val="16"/>
              </w:rPr>
              <w:t>偏差原因：施工方未提交完整支付材料，无法支付资金。整改措施：加快支付进度。</w:t>
            </w:r>
          </w:p>
        </w:tc>
      </w:tr>
      <w:tr w14:paraId="291E0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E9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2FB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68B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89F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0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4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1B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E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C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7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9F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4C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4902F">
            <w:pPr>
              <w:jc w:val="center"/>
            </w:pPr>
            <w:r>
              <w:rPr>
                <w:rFonts w:ascii="宋体" w:hAnsi="宋体" w:eastAsia="宋体"/>
                <w:sz w:val="16"/>
              </w:rPr>
              <w:t>偏差原因：施工方未提交完整支付材料，无法支付资金。整改措施：加快支付进度。</w:t>
            </w:r>
          </w:p>
        </w:tc>
      </w:tr>
      <w:tr w14:paraId="75BAC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A4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82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34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DC1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685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2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51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B7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C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D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E63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281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4596">
            <w:pPr>
              <w:jc w:val="center"/>
            </w:pPr>
            <w:r>
              <w:rPr>
                <w:rFonts w:ascii="宋体" w:hAnsi="宋体" w:eastAsia="宋体"/>
                <w:sz w:val="16"/>
              </w:rPr>
              <w:t>偏差原因：施工方未提交完整支付材料，无法支付资金。整改措施：加快支付进度。</w:t>
            </w:r>
          </w:p>
        </w:tc>
      </w:tr>
      <w:tr w14:paraId="2EF63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94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72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38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D716">
            <w:pPr>
              <w:jc w:val="center"/>
            </w:pPr>
            <w:r>
              <w:rPr>
                <w:rFonts w:ascii="宋体" w:hAnsi="宋体" w:eastAsia="宋体"/>
                <w:sz w:val="16"/>
              </w:rPr>
              <w:t>支付办公费（万元）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EBF2">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CC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D3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2C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4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AF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149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E7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2CBB0">
            <w:pPr>
              <w:jc w:val="center"/>
            </w:pPr>
            <w:r>
              <w:rPr>
                <w:rFonts w:ascii="宋体" w:hAnsi="宋体" w:eastAsia="宋体"/>
                <w:sz w:val="16"/>
              </w:rPr>
              <w:t>偏差原因：施工方未提交完整支付材料，无法支付资金。整改措施：加快支付进度。</w:t>
            </w:r>
          </w:p>
        </w:tc>
      </w:tr>
      <w:tr w14:paraId="1680B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390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61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E6C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09E6">
            <w:pPr>
              <w:jc w:val="center"/>
            </w:pPr>
            <w:r>
              <w:rPr>
                <w:rFonts w:ascii="宋体" w:hAnsi="宋体" w:eastAsia="宋体"/>
                <w:sz w:val="16"/>
              </w:rPr>
              <w:t>提高为民服务办事效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83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9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F0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EA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83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91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8738">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FC5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1B8EE">
            <w:pPr>
              <w:jc w:val="center"/>
            </w:pPr>
            <w:r>
              <w:rPr>
                <w:rFonts w:ascii="宋体" w:hAnsi="宋体" w:eastAsia="宋体"/>
                <w:sz w:val="16"/>
              </w:rPr>
              <w:t>偏差原因：施工方未提交完整支付材料，无法支付资金。整改措施：加快支付进度。</w:t>
            </w:r>
          </w:p>
        </w:tc>
      </w:tr>
      <w:tr w14:paraId="4BF70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CC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AD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AE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2D61">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9D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98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8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1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ED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92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8C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56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41155">
            <w:pPr>
              <w:jc w:val="center"/>
            </w:pPr>
            <w:r>
              <w:rPr>
                <w:rFonts w:ascii="宋体" w:hAnsi="宋体" w:eastAsia="宋体"/>
                <w:sz w:val="16"/>
              </w:rPr>
              <w:t>偏差原因：施工方未提交完整支付材料，无法支付资金。整改措施：加快支付进度。</w:t>
            </w:r>
          </w:p>
        </w:tc>
      </w:tr>
      <w:tr w14:paraId="6100D6E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057A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005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E0F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9133">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B99C6BB"/>
        </w:tc>
      </w:tr>
    </w:tbl>
    <w:p w14:paraId="3B8F31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0751046">
        <w:tblPrEx>
          <w:tblCellMar>
            <w:top w:w="0" w:type="dxa"/>
            <w:left w:w="108" w:type="dxa"/>
            <w:bottom w:w="0" w:type="dxa"/>
            <w:right w:w="108" w:type="dxa"/>
          </w:tblCellMar>
        </w:tblPrEx>
        <w:tc>
          <w:tcPr>
            <w:tcW w:w="8848" w:type="dxa"/>
            <w:gridSpan w:val="14"/>
            <w:vAlign w:val="center"/>
          </w:tcPr>
          <w:p w14:paraId="22BD13D7">
            <w:pPr>
              <w:jc w:val="center"/>
            </w:pPr>
            <w:r>
              <w:rPr>
                <w:rFonts w:ascii="宋体" w:hAnsi="宋体" w:eastAsia="宋体"/>
                <w:sz w:val="24"/>
              </w:rPr>
              <w:t>项目支出绩效自评表</w:t>
            </w:r>
          </w:p>
        </w:tc>
      </w:tr>
      <w:tr w14:paraId="644F605A">
        <w:tblPrEx>
          <w:tblCellMar>
            <w:top w:w="0" w:type="dxa"/>
            <w:left w:w="108" w:type="dxa"/>
            <w:bottom w:w="0" w:type="dxa"/>
            <w:right w:w="108" w:type="dxa"/>
          </w:tblCellMar>
        </w:tblPrEx>
        <w:tc>
          <w:tcPr>
            <w:tcW w:w="8848" w:type="dxa"/>
            <w:gridSpan w:val="14"/>
            <w:vAlign w:val="center"/>
          </w:tcPr>
          <w:p w14:paraId="37A27943">
            <w:pPr>
              <w:jc w:val="center"/>
            </w:pPr>
            <w:r>
              <w:rPr>
                <w:rFonts w:ascii="宋体" w:hAnsi="宋体" w:eastAsia="宋体"/>
                <w:sz w:val="24"/>
              </w:rPr>
              <w:t>(2024年度)</w:t>
            </w:r>
          </w:p>
        </w:tc>
      </w:tr>
      <w:tr w14:paraId="4EE33E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6E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1B5281">
            <w:pPr>
              <w:jc w:val="center"/>
            </w:pPr>
            <w:r>
              <w:rPr>
                <w:rFonts w:ascii="宋体" w:hAnsi="宋体" w:eastAsia="宋体"/>
                <w:sz w:val="16"/>
              </w:rPr>
              <w:t>基层组织建设资金（东城区19社区）</w:t>
            </w:r>
          </w:p>
        </w:tc>
      </w:tr>
      <w:tr w14:paraId="1CA947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8C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453A1">
            <w:pPr>
              <w:jc w:val="center"/>
            </w:pPr>
            <w:r>
              <w:rPr>
                <w:rFonts w:ascii="宋体" w:hAnsi="宋体" w:eastAsia="宋体"/>
                <w:sz w:val="16"/>
              </w:rPr>
              <w:t>叶城县东城区片区管理委员会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32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3FDA83">
            <w:pPr>
              <w:jc w:val="center"/>
            </w:pPr>
            <w:r>
              <w:rPr>
                <w:rFonts w:ascii="宋体" w:hAnsi="宋体" w:eastAsia="宋体"/>
                <w:sz w:val="16"/>
              </w:rPr>
              <w:t>叶城县东城区片区管理委员会</w:t>
            </w:r>
          </w:p>
        </w:tc>
      </w:tr>
      <w:tr w14:paraId="0B1091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652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455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DE2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899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4F7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971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464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E225">
            <w:pPr>
              <w:jc w:val="center"/>
            </w:pPr>
            <w:r>
              <w:rPr>
                <w:rFonts w:ascii="宋体" w:hAnsi="宋体" w:eastAsia="宋体"/>
                <w:sz w:val="16"/>
              </w:rPr>
              <w:t>得分</w:t>
            </w:r>
          </w:p>
        </w:tc>
      </w:tr>
      <w:tr w14:paraId="734F0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917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93E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73A5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81BC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85C5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3D2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F23A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0A46">
            <w:pPr>
              <w:jc w:val="center"/>
            </w:pPr>
            <w:r>
              <w:rPr>
                <w:rFonts w:ascii="宋体" w:hAnsi="宋体" w:eastAsia="宋体"/>
                <w:sz w:val="16"/>
              </w:rPr>
              <w:t>10.00分</w:t>
            </w:r>
          </w:p>
        </w:tc>
      </w:tr>
      <w:tr w14:paraId="6435F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509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DAB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02B0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ECC8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F690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687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88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29BE">
            <w:pPr>
              <w:jc w:val="center"/>
            </w:pPr>
            <w:r>
              <w:rPr>
                <w:rFonts w:ascii="宋体" w:hAnsi="宋体" w:eastAsia="宋体"/>
                <w:sz w:val="16"/>
              </w:rPr>
              <w:t>—</w:t>
            </w:r>
          </w:p>
        </w:tc>
      </w:tr>
      <w:tr w14:paraId="4DC66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388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0B1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4D3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C1F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CC4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97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43A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19B8">
            <w:pPr>
              <w:jc w:val="center"/>
            </w:pPr>
            <w:r>
              <w:rPr>
                <w:rFonts w:ascii="宋体" w:hAnsi="宋体" w:eastAsia="宋体"/>
                <w:sz w:val="16"/>
              </w:rPr>
              <w:t>—</w:t>
            </w:r>
          </w:p>
        </w:tc>
      </w:tr>
      <w:tr w14:paraId="7EBD65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434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CEC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5A3537">
            <w:pPr>
              <w:jc w:val="center"/>
            </w:pPr>
            <w:r>
              <w:rPr>
                <w:rFonts w:ascii="宋体" w:hAnsi="宋体" w:eastAsia="宋体"/>
                <w:sz w:val="16"/>
              </w:rPr>
              <w:t>实际完成情况</w:t>
            </w:r>
          </w:p>
        </w:tc>
      </w:tr>
      <w:tr w14:paraId="62472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4FD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6E709B">
            <w:pPr>
              <w:jc w:val="both"/>
            </w:pPr>
            <w:r>
              <w:rPr>
                <w:rFonts w:ascii="宋体" w:hAnsi="宋体" w:eastAsia="宋体"/>
                <w:sz w:val="16"/>
              </w:rPr>
              <w:t>项目总资金20万元，主要用于社区对办公阵地进行改造，达到紧紧围绕铸牢中华民族共同体意识、增进“五个认同”经常性开展宣传教育，突出针对性、有效性，让群众看得懂、记得住、入脑入心，坚持一室多用，办公面积最小化、服务面积最大化，总体做到功能务实、布局合理、简朴实用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B841BE">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20万元，到位资金20万元，已支付20万元，主要用于社区对办公阵地进行改造，达到紧紧围绕铸牢中华民族共同体意识、增进“五个认同”经常性开展宣传教育，突出针对性、有效性，让群众看得懂、记得住、入脑入心，坚持一室多用，办公面积最小化、服务面积最大化，总体做到功能务实、布局合理、简朴实用的效果。</w:t>
            </w:r>
          </w:p>
        </w:tc>
      </w:tr>
      <w:tr w14:paraId="0F9799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598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DE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C4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11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DB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AA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42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D7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B8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20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B5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FD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EA6B6">
            <w:pPr>
              <w:jc w:val="center"/>
            </w:pPr>
            <w:r>
              <w:rPr>
                <w:rFonts w:ascii="宋体" w:hAnsi="宋体" w:eastAsia="宋体"/>
                <w:sz w:val="16"/>
              </w:rPr>
              <w:t>偏差原因分析及改进措施</w:t>
            </w:r>
          </w:p>
        </w:tc>
      </w:tr>
      <w:tr w14:paraId="41B5DE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85A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C7B5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16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FD77">
            <w:pPr>
              <w:jc w:val="center"/>
            </w:pPr>
            <w:r>
              <w:rPr>
                <w:rFonts w:ascii="宋体" w:hAnsi="宋体" w:eastAsia="宋体"/>
                <w:sz w:val="16"/>
              </w:rPr>
              <w:t>涉及社区数量（个）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20E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B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9A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6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B6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0A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633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C7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770F5">
            <w:pPr>
              <w:jc w:val="center"/>
            </w:pPr>
          </w:p>
        </w:tc>
      </w:tr>
      <w:tr w14:paraId="5D84E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CA8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22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6B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20BA">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1D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42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52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6A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7E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20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B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0F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C68A2">
            <w:pPr>
              <w:jc w:val="center"/>
            </w:pPr>
          </w:p>
        </w:tc>
      </w:tr>
      <w:tr w14:paraId="3E9B3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BD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AD3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AC0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80F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70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E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97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CF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27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9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C8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E7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50839">
            <w:pPr>
              <w:jc w:val="center"/>
            </w:pPr>
          </w:p>
        </w:tc>
      </w:tr>
      <w:tr w14:paraId="33672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DD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560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B9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8CB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893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26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B8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49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F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7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ACB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F3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B7BB2">
            <w:pPr>
              <w:jc w:val="center"/>
            </w:pPr>
          </w:p>
        </w:tc>
      </w:tr>
      <w:tr w14:paraId="1D08A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CC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AE7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C9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E273">
            <w:pPr>
              <w:jc w:val="center"/>
            </w:pPr>
            <w:r>
              <w:rPr>
                <w:rFonts w:ascii="宋体" w:hAnsi="宋体" w:eastAsia="宋体"/>
                <w:sz w:val="16"/>
              </w:rPr>
              <w:t>支付办公经费（万元）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82BF">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DF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41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15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B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09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A0A4">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4D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E7DF3">
            <w:pPr>
              <w:jc w:val="center"/>
            </w:pPr>
          </w:p>
        </w:tc>
      </w:tr>
      <w:tr w14:paraId="4013F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79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F4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41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3340">
            <w:pPr>
              <w:jc w:val="center"/>
            </w:pPr>
            <w:r>
              <w:rPr>
                <w:rFonts w:ascii="宋体" w:hAnsi="宋体" w:eastAsia="宋体"/>
                <w:sz w:val="16"/>
              </w:rPr>
              <w:t>提高为民服务办事效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56E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8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0C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4D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B4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9C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E24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46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5B9F">
            <w:pPr>
              <w:jc w:val="center"/>
            </w:pPr>
          </w:p>
        </w:tc>
      </w:tr>
      <w:tr w14:paraId="575BD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52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4E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BC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0086">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C2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C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84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FB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FD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3A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883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1F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145D2">
            <w:pPr>
              <w:jc w:val="center"/>
            </w:pPr>
          </w:p>
        </w:tc>
      </w:tr>
      <w:tr w14:paraId="4674E5A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134B7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3BC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3C1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3EE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0C5906"/>
        </w:tc>
      </w:tr>
    </w:tbl>
    <w:p w14:paraId="3AF09037">
      <w:r>
        <w:br w:type="page"/>
      </w:r>
    </w:p>
    <w:p w14:paraId="1E0C53EF">
      <w:pPr>
        <w:spacing w:line="640" w:lineRule="exact"/>
        <w:ind w:firstLine="640"/>
        <w:jc w:val="both"/>
        <w:outlineLvl w:val="2"/>
      </w:pPr>
      <w:r>
        <w:rPr>
          <w:rFonts w:ascii="黑体" w:hAnsi="黑体" w:eastAsia="黑体"/>
          <w:sz w:val="32"/>
        </w:rPr>
        <w:t>十二、其他需说明的事项</w:t>
      </w:r>
    </w:p>
    <w:p w14:paraId="43AB0F75">
      <w:pPr>
        <w:spacing w:line="580" w:lineRule="exact"/>
        <w:ind w:firstLine="640"/>
        <w:jc w:val="both"/>
      </w:pPr>
      <w:r>
        <w:rPr>
          <w:rFonts w:ascii="仿宋_GB2312" w:hAnsi="仿宋_GB2312" w:eastAsia="仿宋_GB2312"/>
          <w:b w:val="0"/>
          <w:sz w:val="32"/>
        </w:rPr>
        <w:t>本单位无其他需说明的事项。</w:t>
      </w:r>
    </w:p>
    <w:p w14:paraId="442F8681">
      <w:r>
        <w:br w:type="page"/>
      </w:r>
    </w:p>
    <w:p w14:paraId="4FD51819">
      <w:pPr>
        <w:spacing w:line="240" w:lineRule="auto"/>
        <w:jc w:val="center"/>
        <w:outlineLvl w:val="1"/>
      </w:pPr>
      <w:r>
        <w:rPr>
          <w:rFonts w:ascii="黑体" w:hAnsi="黑体" w:eastAsia="黑体"/>
          <w:sz w:val="32"/>
        </w:rPr>
        <w:t>第三部分 专业名词解释</w:t>
      </w:r>
    </w:p>
    <w:p w14:paraId="167E6A8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496308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1FC23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4F0D1B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4926F6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444AC8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90E93D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0E2D03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5B8CD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440CB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C0B9D8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332432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8D3F2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91F5CE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1988F23">
      <w:r>
        <w:br w:type="page"/>
      </w:r>
    </w:p>
    <w:p w14:paraId="779A9BF1">
      <w:pPr>
        <w:spacing w:line="240" w:lineRule="auto"/>
        <w:jc w:val="center"/>
        <w:outlineLvl w:val="1"/>
      </w:pPr>
      <w:r>
        <w:rPr>
          <w:rFonts w:ascii="黑体" w:hAnsi="黑体" w:eastAsia="黑体"/>
          <w:sz w:val="32"/>
        </w:rPr>
        <w:t>第四部分 部门决算报表（见附表）</w:t>
      </w:r>
    </w:p>
    <w:p w14:paraId="1F05BE7A">
      <w:pPr>
        <w:spacing w:line="240" w:lineRule="auto"/>
        <w:ind w:firstLine="640"/>
        <w:jc w:val="both"/>
      </w:pPr>
      <w:r>
        <w:rPr>
          <w:rFonts w:ascii="仿宋_GB2312" w:hAnsi="仿宋_GB2312" w:eastAsia="仿宋_GB2312"/>
          <w:b w:val="0"/>
          <w:sz w:val="32"/>
        </w:rPr>
        <w:t>一、《收入支出决算总表》</w:t>
      </w:r>
    </w:p>
    <w:p w14:paraId="62B3B6FC">
      <w:pPr>
        <w:spacing w:line="240" w:lineRule="auto"/>
        <w:ind w:firstLine="640"/>
        <w:jc w:val="both"/>
      </w:pPr>
      <w:r>
        <w:rPr>
          <w:rFonts w:ascii="仿宋_GB2312" w:hAnsi="仿宋_GB2312" w:eastAsia="仿宋_GB2312"/>
          <w:b w:val="0"/>
          <w:sz w:val="32"/>
        </w:rPr>
        <w:t>二、《收入决算表》</w:t>
      </w:r>
    </w:p>
    <w:p w14:paraId="69766E15">
      <w:pPr>
        <w:spacing w:line="240" w:lineRule="auto"/>
        <w:ind w:firstLine="640"/>
        <w:jc w:val="both"/>
      </w:pPr>
      <w:r>
        <w:rPr>
          <w:rFonts w:ascii="仿宋_GB2312" w:hAnsi="仿宋_GB2312" w:eastAsia="仿宋_GB2312"/>
          <w:b w:val="0"/>
          <w:sz w:val="32"/>
        </w:rPr>
        <w:t>三、《支出决算表》</w:t>
      </w:r>
    </w:p>
    <w:p w14:paraId="3DA59724">
      <w:pPr>
        <w:spacing w:line="240" w:lineRule="auto"/>
        <w:ind w:firstLine="640"/>
        <w:jc w:val="both"/>
      </w:pPr>
      <w:r>
        <w:rPr>
          <w:rFonts w:ascii="仿宋_GB2312" w:hAnsi="仿宋_GB2312" w:eastAsia="仿宋_GB2312"/>
          <w:b w:val="0"/>
          <w:sz w:val="32"/>
        </w:rPr>
        <w:t>四、《财政拨款收入支出决算总表》</w:t>
      </w:r>
    </w:p>
    <w:p w14:paraId="32481155">
      <w:pPr>
        <w:spacing w:line="240" w:lineRule="auto"/>
        <w:ind w:firstLine="640"/>
        <w:jc w:val="both"/>
      </w:pPr>
      <w:r>
        <w:rPr>
          <w:rFonts w:ascii="仿宋_GB2312" w:hAnsi="仿宋_GB2312" w:eastAsia="仿宋_GB2312"/>
          <w:b w:val="0"/>
          <w:sz w:val="32"/>
        </w:rPr>
        <w:t>五、《一般公共预算财政拨款支出决算表》</w:t>
      </w:r>
    </w:p>
    <w:p w14:paraId="4A115152">
      <w:pPr>
        <w:spacing w:line="240" w:lineRule="auto"/>
        <w:ind w:firstLine="640"/>
        <w:jc w:val="both"/>
      </w:pPr>
      <w:r>
        <w:rPr>
          <w:rFonts w:ascii="仿宋_GB2312" w:hAnsi="仿宋_GB2312" w:eastAsia="仿宋_GB2312"/>
          <w:b w:val="0"/>
          <w:sz w:val="32"/>
        </w:rPr>
        <w:t>六、《一般公共预算财政拨款基本支出决算表》</w:t>
      </w:r>
    </w:p>
    <w:p w14:paraId="560C131E">
      <w:pPr>
        <w:spacing w:line="240" w:lineRule="auto"/>
        <w:ind w:firstLine="640"/>
        <w:jc w:val="both"/>
      </w:pPr>
      <w:r>
        <w:rPr>
          <w:rFonts w:ascii="仿宋_GB2312" w:hAnsi="仿宋_GB2312" w:eastAsia="仿宋_GB2312"/>
          <w:b w:val="0"/>
          <w:sz w:val="32"/>
        </w:rPr>
        <w:t>七、《政府性基金预算财政拨款收入支出决算表》</w:t>
      </w:r>
    </w:p>
    <w:p w14:paraId="4D104618">
      <w:pPr>
        <w:spacing w:line="240" w:lineRule="auto"/>
        <w:ind w:firstLine="640"/>
        <w:jc w:val="both"/>
      </w:pPr>
      <w:r>
        <w:rPr>
          <w:rFonts w:ascii="仿宋_GB2312" w:hAnsi="仿宋_GB2312" w:eastAsia="仿宋_GB2312"/>
          <w:b w:val="0"/>
          <w:sz w:val="32"/>
        </w:rPr>
        <w:t>八、《国有资本经营预算财政拨款收入支出决算表》</w:t>
      </w:r>
    </w:p>
    <w:p w14:paraId="468A462F">
      <w:pPr>
        <w:spacing w:line="240" w:lineRule="auto"/>
        <w:ind w:firstLine="640"/>
        <w:jc w:val="both"/>
      </w:pPr>
      <w:r>
        <w:rPr>
          <w:rFonts w:ascii="仿宋_GB2312" w:hAnsi="仿宋_GB2312" w:eastAsia="仿宋_GB2312"/>
          <w:b w:val="0"/>
          <w:sz w:val="32"/>
        </w:rPr>
        <w:t>九、《财政拨款“三公”经费支出决算表》</w:t>
      </w:r>
    </w:p>
    <w:p w14:paraId="43A340D8">
      <w:pPr>
        <w:spacing w:line="240" w:lineRule="auto"/>
        <w:ind w:firstLine="640"/>
        <w:jc w:val="both"/>
      </w:pPr>
    </w:p>
    <w:p w14:paraId="0FCB5888">
      <w:pPr>
        <w:spacing w:line="240" w:lineRule="auto"/>
        <w:ind w:firstLine="640"/>
        <w:jc w:val="both"/>
      </w:pPr>
    </w:p>
    <w:p w14:paraId="3A1C0CB8">
      <w:pPr>
        <w:spacing w:line="240" w:lineRule="auto"/>
        <w:ind w:firstLine="640"/>
        <w:jc w:val="both"/>
      </w:pPr>
    </w:p>
    <w:p w14:paraId="357B717B">
      <w:pPr>
        <w:spacing w:line="240" w:lineRule="auto"/>
        <w:ind w:firstLine="640"/>
        <w:jc w:val="both"/>
      </w:pPr>
    </w:p>
    <w:p w14:paraId="3EF0B2B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9F39E7"/>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53381E"/>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6481</Words>
  <Characters>7483</Characters>
  <Lines>0</Lines>
  <Paragraphs>0</Paragraphs>
  <TotalTime>20</TotalTime>
  <ScaleCrop>false</ScaleCrop>
  <LinksUpToDate>false</LinksUpToDate>
  <CharactersWithSpaces>7491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2025-09-29T09:14:45Z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