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0A0566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叶城县乌夏巴什镇人民政府2024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E6385E">
      <w:r>
        <w:br w:type="page"/>
      </w:r>
    </w:p>
    <w:p w14:paraId="31984E40">
      <w:pPr>
        <w:spacing w:line="640" w:lineRule="exact"/>
        <w:jc w:val="center"/>
        <w:outlineLvl w:val="1"/>
      </w:pPr>
      <w:r>
        <w:rPr>
          <w:rFonts w:ascii="黑体" w:hAnsi="黑体" w:eastAsia="黑体"/>
          <w:sz w:val="32"/>
        </w:rPr>
        <w:t>第一部分 单位概况</w:t>
      </w:r>
    </w:p>
    <w:p w14:paraId="6B712063">
      <w:pPr>
        <w:spacing w:line="640" w:lineRule="exact"/>
        <w:ind w:firstLine="640"/>
        <w:jc w:val="both"/>
        <w:outlineLvl w:val="2"/>
      </w:pPr>
      <w:r>
        <w:rPr>
          <w:rFonts w:ascii="黑体" w:hAnsi="黑体" w:eastAsia="黑体"/>
          <w:sz w:val="32"/>
        </w:rPr>
        <w:t>一、主要职能</w:t>
      </w:r>
    </w:p>
    <w:p w14:paraId="1E44C6A7">
      <w:pPr>
        <w:spacing w:line="580" w:lineRule="exact"/>
        <w:ind w:firstLine="640"/>
        <w:jc w:val="both"/>
      </w:pPr>
      <w:r>
        <w:rPr>
          <w:rFonts w:ascii="仿宋_GB2312" w:hAnsi="仿宋_GB2312" w:eastAsia="仿宋_GB2312"/>
          <w:sz w:val="32"/>
        </w:rPr>
        <w:t>负责全乡党政行政管理事务。以贯彻落实党的二十大，以科学发展观为指导，坚决贯彻执行党中央、国务院、自治区、地区及县委、县人民政府的有关方面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人民群众提供社会服务。</w:t>
      </w:r>
    </w:p>
    <w:p w14:paraId="2002F3E6">
      <w:pPr>
        <w:spacing w:line="640" w:lineRule="exact"/>
        <w:ind w:firstLine="640"/>
        <w:jc w:val="both"/>
        <w:outlineLvl w:val="2"/>
      </w:pPr>
      <w:r>
        <w:rPr>
          <w:rFonts w:ascii="黑体" w:hAnsi="黑体" w:eastAsia="黑体"/>
          <w:sz w:val="32"/>
        </w:rPr>
        <w:t>二、机构设置及人员情况</w:t>
      </w:r>
    </w:p>
    <w:p w14:paraId="3CDC7CFB">
      <w:pPr>
        <w:spacing w:line="580" w:lineRule="exact"/>
        <w:ind w:firstLine="640"/>
        <w:jc w:val="both"/>
      </w:pPr>
      <w:r>
        <w:rPr>
          <w:rFonts w:ascii="仿宋_GB2312" w:hAnsi="仿宋_GB2312" w:eastAsia="仿宋_GB2312"/>
          <w:sz w:val="32"/>
        </w:rPr>
        <w:t>叶城县乌夏巴什镇人民政府2024年度，实有人数120人，其中：在职人员99人，增加0人；离休人员0人，增加0人；退休人员21人,增加1人。</w:t>
      </w:r>
    </w:p>
    <w:p w14:paraId="0151F746">
      <w:pPr>
        <w:spacing w:line="580" w:lineRule="exact"/>
        <w:ind w:firstLine="640"/>
        <w:jc w:val="both"/>
      </w:pPr>
      <w:r>
        <w:rPr>
          <w:rFonts w:ascii="仿宋_GB2312" w:hAnsi="仿宋_GB2312" w:eastAsia="仿宋_GB2312"/>
          <w:sz w:val="32"/>
        </w:rPr>
        <w:t>叶城县乌夏巴什镇人民政府无下属预算单位，下设5个科室，分别是：党政办、党建办、综治办、社会事务办、经济发展办。</w:t>
      </w:r>
    </w:p>
    <w:p w14:paraId="03576A2A">
      <w:r>
        <w:br w:type="page"/>
      </w:r>
    </w:p>
    <w:p w14:paraId="7E45712D">
      <w:pPr>
        <w:spacing w:line="240" w:lineRule="auto"/>
        <w:jc w:val="center"/>
        <w:outlineLvl w:val="1"/>
      </w:pPr>
      <w:r>
        <w:rPr>
          <w:rFonts w:ascii="黑体" w:hAnsi="黑体" w:eastAsia="黑体"/>
          <w:sz w:val="32"/>
        </w:rPr>
        <w:t>第二部分 部门决算情况说明</w:t>
      </w:r>
    </w:p>
    <w:p w14:paraId="2E645C87">
      <w:pPr>
        <w:spacing w:line="640" w:lineRule="exact"/>
        <w:ind w:firstLine="640"/>
        <w:jc w:val="both"/>
        <w:outlineLvl w:val="2"/>
      </w:pPr>
      <w:r>
        <w:rPr>
          <w:rFonts w:ascii="黑体" w:hAnsi="黑体" w:eastAsia="黑体"/>
          <w:sz w:val="32"/>
        </w:rPr>
        <w:t>一、收入支出决算总体情况说明</w:t>
      </w:r>
    </w:p>
    <w:p w14:paraId="74C8ADC9">
      <w:pPr>
        <w:spacing w:line="580" w:lineRule="exact"/>
        <w:ind w:firstLine="640"/>
        <w:jc w:val="both"/>
      </w:pPr>
      <w:r>
        <w:rPr>
          <w:rFonts w:ascii="仿宋_GB2312" w:hAnsi="仿宋_GB2312" w:eastAsia="仿宋_GB2312"/>
          <w:b/>
          <w:sz w:val="32"/>
        </w:rPr>
        <w:t>2024年度收入总计4,403.54万元，</w:t>
      </w:r>
      <w:r>
        <w:rPr>
          <w:rFonts w:ascii="仿宋_GB2312" w:hAnsi="仿宋_GB2312" w:eastAsia="仿宋_GB2312"/>
          <w:b w:val="0"/>
          <w:sz w:val="32"/>
        </w:rPr>
        <w:t>其中：本年收入合计4,403.54万元，使用非财政拨款结余（含专用结余）0.00万元，年初结转和结余0.00万元。</w:t>
      </w:r>
    </w:p>
    <w:p w14:paraId="7AFA135E">
      <w:pPr>
        <w:spacing w:line="580" w:lineRule="exact"/>
        <w:ind w:firstLine="640"/>
        <w:jc w:val="both"/>
      </w:pPr>
      <w:r>
        <w:rPr>
          <w:rFonts w:ascii="仿宋_GB2312" w:hAnsi="仿宋_GB2312" w:eastAsia="仿宋_GB2312"/>
          <w:b/>
          <w:sz w:val="32"/>
        </w:rPr>
        <w:t>2024年度支出总计4,403.54万元，</w:t>
      </w:r>
      <w:r>
        <w:rPr>
          <w:rFonts w:ascii="仿宋_GB2312" w:hAnsi="仿宋_GB2312" w:eastAsia="仿宋_GB2312"/>
          <w:b w:val="0"/>
          <w:sz w:val="32"/>
        </w:rPr>
        <w:t>其中：本年支出合计4,403.54万元，结余分配0.00万元，年末结转和结余0.00万元。</w:t>
      </w:r>
    </w:p>
    <w:p w14:paraId="1CB82316">
      <w:pPr>
        <w:spacing w:line="580" w:lineRule="exact"/>
        <w:ind w:firstLine="640"/>
        <w:jc w:val="both"/>
      </w:pPr>
      <w:r>
        <w:rPr>
          <w:rFonts w:ascii="仿宋_GB2312" w:hAnsi="仿宋_GB2312" w:eastAsia="仿宋_GB2312"/>
          <w:b w:val="0"/>
          <w:sz w:val="32"/>
        </w:rPr>
        <w:t>收入支出总体与上年相比，减少1,306.49万元，下降22.88%，主要原因是：本年减少乌夏巴什镇农业产业机械化建设项目，乌夏巴什镇储存库（窖）建设项目，乌夏巴什镇粮食烘干厂建设项目，乌夏巴什镇布柬托皮斯（13）村示范村乡村建设项目，乌夏巴什镇8村示范村乡村建设项目，乌夏巴什镇防渗渠建设项目，乌夏巴什镇十小店铺建设项目等。</w:t>
      </w:r>
    </w:p>
    <w:p w14:paraId="21ECEBB5">
      <w:pPr>
        <w:spacing w:line="640" w:lineRule="exact"/>
        <w:ind w:firstLine="640"/>
        <w:jc w:val="both"/>
        <w:outlineLvl w:val="2"/>
      </w:pPr>
      <w:r>
        <w:rPr>
          <w:rFonts w:ascii="黑体" w:hAnsi="黑体" w:eastAsia="黑体"/>
          <w:sz w:val="32"/>
        </w:rPr>
        <w:t>二、收入决算情况说明</w:t>
      </w:r>
    </w:p>
    <w:p w14:paraId="5EBA1F8C">
      <w:pPr>
        <w:spacing w:line="580" w:lineRule="exact"/>
        <w:ind w:firstLine="640"/>
        <w:jc w:val="both"/>
      </w:pPr>
      <w:r>
        <w:rPr>
          <w:rFonts w:ascii="仿宋_GB2312" w:hAnsi="仿宋_GB2312" w:eastAsia="仿宋_GB2312"/>
          <w:b/>
          <w:sz w:val="32"/>
        </w:rPr>
        <w:t>本年收入4,403.54万元，</w:t>
      </w:r>
      <w:r>
        <w:rPr>
          <w:rFonts w:ascii="仿宋_GB2312" w:hAnsi="仿宋_GB2312" w:eastAsia="仿宋_GB2312"/>
          <w:b w:val="0"/>
          <w:sz w:val="32"/>
        </w:rPr>
        <w:t>其中：财政拨款收入4,403.54万元，占100.00%；上级补助收入0.00万元，占0.00%；事业收入0.00万元，占0.00%；经营收入0.00万元，占0.00%；附属单位上缴收入0.00万元，占0.00%；其他收入0.00万元，占0.00%。</w:t>
      </w:r>
    </w:p>
    <w:p w14:paraId="2344F67D">
      <w:pPr>
        <w:spacing w:line="640" w:lineRule="exact"/>
        <w:ind w:firstLine="640"/>
        <w:jc w:val="both"/>
        <w:outlineLvl w:val="2"/>
      </w:pPr>
      <w:r>
        <w:rPr>
          <w:rFonts w:ascii="黑体" w:hAnsi="黑体" w:eastAsia="黑体"/>
          <w:sz w:val="32"/>
        </w:rPr>
        <w:t>三、支出决算情况说明</w:t>
      </w:r>
    </w:p>
    <w:p w14:paraId="5057D21A">
      <w:pPr>
        <w:spacing w:line="580" w:lineRule="exact"/>
        <w:ind w:firstLine="640"/>
        <w:jc w:val="both"/>
      </w:pPr>
      <w:r>
        <w:rPr>
          <w:rFonts w:ascii="仿宋_GB2312" w:hAnsi="仿宋_GB2312" w:eastAsia="仿宋_GB2312"/>
          <w:b/>
          <w:sz w:val="32"/>
        </w:rPr>
        <w:t>本年支出4,403.54万元，</w:t>
      </w:r>
      <w:r>
        <w:rPr>
          <w:rFonts w:ascii="仿宋_GB2312" w:hAnsi="仿宋_GB2312" w:eastAsia="仿宋_GB2312"/>
          <w:b w:val="0"/>
          <w:sz w:val="32"/>
        </w:rPr>
        <w:t>其中：基本支出2,384.79万元，占54.16%；项目支出2,018.75万元，占45.84%；上缴上级支出0.00万元，占0.00%；经营支出0.00万元，占0.00%；对附属单位补助支出0.00万元，占0.00%。</w:t>
      </w:r>
    </w:p>
    <w:p w14:paraId="29B6F452">
      <w:pPr>
        <w:spacing w:line="640" w:lineRule="exact"/>
        <w:ind w:firstLine="640"/>
        <w:jc w:val="both"/>
        <w:outlineLvl w:val="2"/>
      </w:pPr>
      <w:r>
        <w:rPr>
          <w:rFonts w:ascii="黑体" w:hAnsi="黑体" w:eastAsia="黑体"/>
          <w:sz w:val="32"/>
        </w:rPr>
        <w:t>四、财政拨款收入支出决算总体情况说明</w:t>
      </w:r>
    </w:p>
    <w:p w14:paraId="1CDCE973">
      <w:pPr>
        <w:spacing w:line="580" w:lineRule="exact"/>
        <w:ind w:firstLine="640"/>
        <w:jc w:val="both"/>
      </w:pPr>
      <w:r>
        <w:rPr>
          <w:rFonts w:ascii="仿宋_GB2312" w:hAnsi="仿宋_GB2312" w:eastAsia="仿宋_GB2312"/>
          <w:b/>
          <w:sz w:val="32"/>
        </w:rPr>
        <w:t>2024年度财政拨款收入总计4,403.54万元，</w:t>
      </w:r>
      <w:r>
        <w:rPr>
          <w:rFonts w:ascii="仿宋_GB2312" w:hAnsi="仿宋_GB2312" w:eastAsia="仿宋_GB2312"/>
          <w:b w:val="0"/>
          <w:sz w:val="32"/>
        </w:rPr>
        <w:t>其中：年初财政拨款结转和结余0.00万元，本年财政拨款收入4,403.54万元。</w:t>
      </w:r>
      <w:r>
        <w:rPr>
          <w:rFonts w:ascii="仿宋_GB2312" w:hAnsi="仿宋_GB2312" w:eastAsia="仿宋_GB2312"/>
          <w:b/>
          <w:sz w:val="32"/>
        </w:rPr>
        <w:t>财政拨款支出总计4,403.54万元，</w:t>
      </w:r>
      <w:r>
        <w:rPr>
          <w:rFonts w:ascii="仿宋_GB2312" w:hAnsi="仿宋_GB2312" w:eastAsia="仿宋_GB2312"/>
          <w:b w:val="0"/>
          <w:sz w:val="32"/>
        </w:rPr>
        <w:t>其中：年末财政拨款结转和结余0.00万元，本年财政拨款支出4,403.54万元。</w:t>
      </w:r>
    </w:p>
    <w:p w14:paraId="4693CD7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1,306.49万元，下降22.88%，主要原因是：本年减少乌夏巴什镇农业产业机械化建设项目，乌夏巴什镇储存库（窖）建设项目，乌夏巴什镇粮食烘干厂建设项目，乌夏巴什镇布柬托皮斯（13）村示范村乡村建设项目，乌夏巴什镇8村示范村乡村建设项目，乌夏巴什镇防渗渠建设项目，乌夏巴什镇十小店铺建设项目等。</w:t>
      </w:r>
      <w:r>
        <w:rPr>
          <w:rFonts w:ascii="仿宋_GB2312" w:hAnsi="仿宋_GB2312" w:eastAsia="仿宋_GB2312"/>
          <w:b/>
          <w:sz w:val="32"/>
        </w:rPr>
        <w:t>与年初预算相比，</w:t>
      </w:r>
      <w:r>
        <w:rPr>
          <w:rFonts w:ascii="仿宋_GB2312" w:hAnsi="仿宋_GB2312" w:eastAsia="仿宋_GB2312"/>
          <w:b w:val="0"/>
          <w:sz w:val="32"/>
        </w:rPr>
        <w:t>年初预算数2,156.06万元，决算数4,403.54万元，预决算差异率104.24%，主要原因是：年中追加人员工资、社保、公积金基数调增部分资金及种植业基地配套建设项目、马铃薯种薯产业园建设项目、9村示范村乡村建设项目、杏子高产示范园建设项目，导致预决算存在差异。</w:t>
      </w:r>
    </w:p>
    <w:p w14:paraId="43203626">
      <w:pPr>
        <w:spacing w:line="640" w:lineRule="exact"/>
        <w:ind w:firstLine="640"/>
        <w:jc w:val="both"/>
        <w:outlineLvl w:val="2"/>
      </w:pPr>
      <w:r>
        <w:rPr>
          <w:rFonts w:ascii="黑体" w:hAnsi="黑体" w:eastAsia="黑体"/>
          <w:sz w:val="32"/>
        </w:rPr>
        <w:t>五、一般公共预算财政拨款支出决算情况说明</w:t>
      </w:r>
    </w:p>
    <w:p w14:paraId="1612105D">
      <w:pPr>
        <w:spacing w:line="640" w:lineRule="exact"/>
        <w:ind w:firstLine="640"/>
        <w:jc w:val="both"/>
        <w:outlineLvl w:val="3"/>
      </w:pPr>
      <w:r>
        <w:rPr>
          <w:rFonts w:ascii="楷体_GB2312" w:hAnsi="楷体_GB2312" w:eastAsia="楷体_GB2312"/>
          <w:b/>
          <w:sz w:val="32"/>
        </w:rPr>
        <w:t>（一）一般公共预算财政拨款支出决算总体情况</w:t>
      </w:r>
    </w:p>
    <w:p w14:paraId="2E698284">
      <w:pPr>
        <w:spacing w:line="580" w:lineRule="exact"/>
        <w:ind w:firstLine="640"/>
        <w:jc w:val="both"/>
      </w:pPr>
      <w:r>
        <w:rPr>
          <w:rFonts w:ascii="仿宋_GB2312" w:hAnsi="仿宋_GB2312" w:eastAsia="仿宋_GB2312"/>
          <w:b/>
          <w:sz w:val="32"/>
        </w:rPr>
        <w:t>2024年度一般公共预算财政拨款支出4,403.54万元，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1,306.49万元，下降22.88%，主要原因是：本年减少乌夏巴什镇农业产业机械化建设项目，乌夏巴什镇储存库（窖）建设项目，乌夏巴什镇粮食烘干厂建设项目，乌夏巴什镇布柬托皮斯（13）村示范村乡村建设项目，乌夏巴什镇8村示范村乡村建设项目，乌夏巴什镇防渗渠建设项目，乌夏巴什镇十小店铺建设项目等。</w:t>
      </w:r>
      <w:r>
        <w:rPr>
          <w:rFonts w:ascii="仿宋_GB2312" w:hAnsi="仿宋_GB2312" w:eastAsia="仿宋_GB2312"/>
          <w:b/>
          <w:sz w:val="32"/>
        </w:rPr>
        <w:t>与年初预算相比,</w:t>
      </w:r>
      <w:r>
        <w:rPr>
          <w:rFonts w:ascii="仿宋_GB2312" w:hAnsi="仿宋_GB2312" w:eastAsia="仿宋_GB2312"/>
          <w:b w:val="0"/>
          <w:sz w:val="32"/>
        </w:rPr>
        <w:t>年初预算数2,156.06万元，决算数4,403.54万元，预决算差异率104.24%，主要原因是：年中追加人员工资、社保、公积金基数调增部分资金及种植业基地配套建设项目、马铃薯种薯产业园建设项目、9村示范村乡村建设项目、杏子高产示范园建设项目，导致预决算存在差异。</w:t>
      </w:r>
    </w:p>
    <w:p w14:paraId="0301257C">
      <w:pPr>
        <w:spacing w:line="640" w:lineRule="exact"/>
        <w:ind w:firstLine="640"/>
        <w:jc w:val="both"/>
        <w:outlineLvl w:val="3"/>
      </w:pPr>
      <w:r>
        <w:rPr>
          <w:rFonts w:ascii="楷体_GB2312" w:hAnsi="楷体_GB2312" w:eastAsia="楷体_GB2312"/>
          <w:b/>
          <w:sz w:val="32"/>
        </w:rPr>
        <w:t>（二）一般公共预算财政拨款支出决算结构情况</w:t>
      </w:r>
    </w:p>
    <w:p w14:paraId="0F38E9A6">
      <w:pPr>
        <w:spacing w:line="580" w:lineRule="exact"/>
        <w:ind w:firstLine="640"/>
        <w:jc w:val="both"/>
      </w:pPr>
      <w:r>
        <w:rPr>
          <w:rFonts w:ascii="仿宋_GB2312" w:hAnsi="仿宋_GB2312" w:eastAsia="仿宋_GB2312"/>
          <w:b w:val="0"/>
          <w:sz w:val="32"/>
        </w:rPr>
        <w:t>1.一般公共服务支出(类)2,163.96万元,占49.14%。</w:t>
      </w:r>
    </w:p>
    <w:p w14:paraId="0D29DBB8">
      <w:pPr>
        <w:spacing w:line="580" w:lineRule="exact"/>
        <w:ind w:firstLine="640"/>
        <w:jc w:val="both"/>
      </w:pPr>
      <w:r>
        <w:rPr>
          <w:rFonts w:ascii="仿宋_GB2312" w:hAnsi="仿宋_GB2312" w:eastAsia="仿宋_GB2312"/>
          <w:b w:val="0"/>
          <w:sz w:val="32"/>
        </w:rPr>
        <w:t>2.公共安全支出(类)22.27万元,占0.51%。</w:t>
      </w:r>
    </w:p>
    <w:p w14:paraId="5EB21B60">
      <w:pPr>
        <w:spacing w:line="580" w:lineRule="exact"/>
        <w:ind w:firstLine="640"/>
        <w:jc w:val="both"/>
      </w:pPr>
      <w:r>
        <w:rPr>
          <w:rFonts w:ascii="仿宋_GB2312" w:hAnsi="仿宋_GB2312" w:eastAsia="仿宋_GB2312"/>
          <w:b w:val="0"/>
          <w:sz w:val="32"/>
        </w:rPr>
        <w:t>3.文化旅游体育与传媒支出(类)16.20万元,占0.37%。</w:t>
      </w:r>
    </w:p>
    <w:p w14:paraId="2AC71207">
      <w:pPr>
        <w:spacing w:line="580" w:lineRule="exact"/>
        <w:ind w:firstLine="640"/>
        <w:jc w:val="both"/>
      </w:pPr>
      <w:r>
        <w:rPr>
          <w:rFonts w:ascii="仿宋_GB2312" w:hAnsi="仿宋_GB2312" w:eastAsia="仿宋_GB2312"/>
          <w:b w:val="0"/>
          <w:sz w:val="32"/>
        </w:rPr>
        <w:t>4.社会保障和就业支出(类)244.36万元,占5.55%。</w:t>
      </w:r>
    </w:p>
    <w:p w14:paraId="45954B2C">
      <w:pPr>
        <w:spacing w:line="580" w:lineRule="exact"/>
        <w:ind w:firstLine="640"/>
        <w:jc w:val="both"/>
      </w:pPr>
      <w:r>
        <w:rPr>
          <w:rFonts w:ascii="仿宋_GB2312" w:hAnsi="仿宋_GB2312" w:eastAsia="仿宋_GB2312"/>
          <w:b w:val="0"/>
          <w:sz w:val="32"/>
        </w:rPr>
        <w:t>5.卫生健康支出(类)111.72万元,占2.54%。</w:t>
      </w:r>
    </w:p>
    <w:p w14:paraId="131350E3">
      <w:pPr>
        <w:spacing w:line="580" w:lineRule="exact"/>
        <w:ind w:firstLine="640"/>
        <w:jc w:val="both"/>
      </w:pPr>
      <w:r>
        <w:rPr>
          <w:rFonts w:ascii="仿宋_GB2312" w:hAnsi="仿宋_GB2312" w:eastAsia="仿宋_GB2312"/>
          <w:b w:val="0"/>
          <w:sz w:val="32"/>
        </w:rPr>
        <w:t>6.农林水支出(类)1,677.58万元,占38.10%。</w:t>
      </w:r>
    </w:p>
    <w:p w14:paraId="6A10E315">
      <w:pPr>
        <w:spacing w:line="580" w:lineRule="exact"/>
        <w:ind w:firstLine="640"/>
        <w:jc w:val="both"/>
      </w:pPr>
      <w:r>
        <w:rPr>
          <w:rFonts w:ascii="仿宋_GB2312" w:hAnsi="仿宋_GB2312" w:eastAsia="仿宋_GB2312"/>
          <w:b w:val="0"/>
          <w:sz w:val="32"/>
        </w:rPr>
        <w:t>7.交通运输支出(类)0.12万元,占0.003%。</w:t>
      </w:r>
    </w:p>
    <w:p w14:paraId="524E2647">
      <w:pPr>
        <w:spacing w:line="580" w:lineRule="exact"/>
        <w:ind w:firstLine="640"/>
        <w:jc w:val="both"/>
      </w:pPr>
      <w:r>
        <w:rPr>
          <w:rFonts w:ascii="仿宋_GB2312" w:hAnsi="仿宋_GB2312" w:eastAsia="仿宋_GB2312"/>
          <w:b w:val="0"/>
          <w:sz w:val="32"/>
        </w:rPr>
        <w:t>8.住房保障支出(类)167.32万元,占3.80%。</w:t>
      </w:r>
    </w:p>
    <w:p w14:paraId="2F570F75">
      <w:pPr>
        <w:spacing w:line="640" w:lineRule="exact"/>
        <w:ind w:firstLine="640"/>
        <w:jc w:val="both"/>
        <w:outlineLvl w:val="3"/>
      </w:pPr>
      <w:r>
        <w:rPr>
          <w:rFonts w:ascii="楷体_GB2312" w:hAnsi="楷体_GB2312" w:eastAsia="楷体_GB2312"/>
          <w:b/>
          <w:sz w:val="32"/>
        </w:rPr>
        <w:t>（三）一般公共预算财政拨款支出决算具体情况</w:t>
      </w:r>
    </w:p>
    <w:p w14:paraId="0DBE8C87">
      <w:pPr>
        <w:spacing w:line="580" w:lineRule="exact"/>
        <w:ind w:firstLine="640"/>
        <w:jc w:val="both"/>
      </w:pPr>
      <w:r>
        <w:rPr>
          <w:rFonts w:ascii="仿宋_GB2312" w:hAnsi="仿宋_GB2312" w:eastAsia="仿宋_GB2312"/>
          <w:b w:val="0"/>
          <w:sz w:val="32"/>
        </w:rPr>
        <w:t>1.一般公共服务支出(类)人大事务(款)代表工作(项):支出决算数为2.58万元，比上年决算减少1.54万元，下降37.38%,主要原因是：本年度减少人大经费。</w:t>
      </w:r>
    </w:p>
    <w:p w14:paraId="14C3AB1A">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2.一般公共服务支出(类)人大事务(款)其他人大事务支出(项):支出决算数为0.00万元，比上年决算减少2.58万元，下降100.00%,主要原因是：本年减少自治区人大代表经费。</w:t>
      </w:r>
    </w:p>
    <w:p w14:paraId="2F0F3828">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1,866.38万元，比上年决算增加265.04万元，增长16.55%,主要原因是：本年在职人员工资调增，导致相关人员经费较上年有所增加。</w:t>
      </w:r>
    </w:p>
    <w:p w14:paraId="2E60FA84">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4.一般公共服务支出(类)政府办公厅（室）及相关机构事务(款)一般行政管理事务(项):支出决算数为61.00万元，比上年决算增加6.01万元，增长10.93%,主要原因是：本年增加2024年县级专项公用经费项目。</w:t>
      </w:r>
    </w:p>
    <w:p w14:paraId="6457D9DA">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5.一般公共服务支出(类)纪检监察事务(款)其他纪检监察事务支出(项):支出决算数为2.00万元，比上年决算增加1.00万元，增长100.00%,主要原因是：本年度增加纪检监察经费。</w:t>
      </w:r>
    </w:p>
    <w:p w14:paraId="6024D9CA">
      <w:pPr>
        <w:spacing w:line="580" w:lineRule="exact"/>
        <w:ind w:firstLine="640"/>
        <w:jc w:val="both"/>
      </w:pPr>
      <w:r>
        <w:rPr>
          <w:rFonts w:ascii="仿宋_GB2312" w:hAnsi="仿宋_GB2312" w:eastAsia="仿宋_GB2312"/>
          <w:b w:val="0"/>
          <w:sz w:val="32"/>
        </w:rPr>
        <w:t>6.一般公共服务支出(类)组织事务(款)其他组织事务支出(项):支出决算数为228.00万元，比上年决算增加92.23万元，增长67.93%,主要原因是：本年度增加村级为民办实事经费项目。</w:t>
      </w:r>
    </w:p>
    <w:p w14:paraId="64D03147">
      <w:pPr>
        <w:spacing w:line="580" w:lineRule="exact"/>
        <w:ind w:firstLine="640"/>
        <w:jc w:val="both"/>
      </w:pPr>
      <w:r>
        <w:rPr>
          <w:rFonts w:ascii="仿宋_GB2312" w:hAnsi="仿宋_GB2312" w:eastAsia="仿宋_GB2312"/>
          <w:b w:val="0"/>
          <w:sz w:val="32"/>
        </w:rPr>
        <w:t>7.一般公共服务支出(类)统战事务(款)宗教事务(项):支出决算数为4.00万元，比上年决算增加4.00万元，增长100.00%,主要原因是：本年度管委会经费由其他统战事务支出科目调整至宗教事务科目。</w:t>
      </w:r>
    </w:p>
    <w:p w14:paraId="32FBD95D">
      <w:pPr>
        <w:spacing w:line="580" w:lineRule="exact"/>
        <w:ind w:firstLine="640"/>
        <w:jc w:val="both"/>
      </w:pPr>
      <w:r>
        <w:rPr>
          <w:rFonts w:ascii="仿宋_GB2312" w:hAnsi="仿宋_GB2312" w:eastAsia="仿宋_GB2312"/>
          <w:b w:val="0"/>
          <w:sz w:val="32"/>
        </w:rPr>
        <w:t>8.一般公共服务支出(类)统战事务(款)其他统战事务支出(项):支出决算数为0.00万元，比上年决算减少17.17万元，下降100.00%,主要原因是：本年度管委会经费由其他统战事务支出科目调整至宗教事务科目。</w:t>
      </w:r>
    </w:p>
    <w:p w14:paraId="742D8028">
      <w:pPr>
        <w:spacing w:line="580" w:lineRule="exact"/>
        <w:ind w:firstLine="640"/>
        <w:jc w:val="both"/>
      </w:pPr>
      <w:r>
        <w:rPr>
          <w:rFonts w:ascii="仿宋_GB2312" w:hAnsi="仿宋_GB2312" w:eastAsia="仿宋_GB2312"/>
          <w:b w:val="0"/>
          <w:sz w:val="32"/>
        </w:rPr>
        <w:t>9.公共安全支出(类)其他公共安全支出(款)其他公共安全支出(项):支出决算数为22.27万元，比上年决算减少14.58万元，下降39.57%,主要原因是：本年度集中整治工作经费项目和转移支付项目安排资金减少。</w:t>
      </w:r>
    </w:p>
    <w:p w14:paraId="60E0AFE0">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10.文化旅游体育与传媒支出(类)文化和旅游(款)其他文化和旅游支出(项):支出决算数为5.00万元，比上年决算增加0.00万元，增长0.00%,主要原因是：2024年文化站免费开放补助资金与上年一致，无变化。</w:t>
      </w:r>
    </w:p>
    <w:p w14:paraId="1864B9B5">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11.20万元，比上年决算增加0.00万元，增长0.00%,主要原因是：本年度中央补助地方公共文化服务体系建设补助资金与上年一致，无变化。</w:t>
      </w:r>
    </w:p>
    <w:p w14:paraId="7C59D08C">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12.社会保障和就业支出(类)民政管理事务(款)其他民政管理事务支出(项):支出决算数为5.00万元，比上年决算增加0.00万元，增长0.00%,主要原因是：2024年自治区农村幸福大院补助资金与上年一致，无变化。</w:t>
      </w:r>
    </w:p>
    <w:p w14:paraId="340E94A1">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13.社会保障和就业支出(类)行政事业单位养老支出(款)行政单位离退休(项):支出决算数为25.59万元，比上年决算减少1.20万元，下降4.48%,主要原因是：2024年中退休人员死亡1人，年末增加2人，相应退休经费减少。</w:t>
      </w:r>
    </w:p>
    <w:p w14:paraId="3985E065">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213.77万元，比上年决算增加68.27万元，增长46.92%,主要原因是：本年在职人员工资基数调增，养老缴费基数上涨，相应支出增加。</w:t>
      </w:r>
    </w:p>
    <w:p w14:paraId="584C1240">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15.社会保障和就业支出(类)行政事业单位养老支出(款)机关事业单位职业年金缴费支出(项):支出决算数为0.00万元，比上年决算减少3.68万元，下降100.00%,主要原因是：本年度未安排职业年金缴费支出。</w:t>
      </w:r>
    </w:p>
    <w:p w14:paraId="150F32B1">
      <w:pPr>
        <w:spacing w:line="580" w:lineRule="exact"/>
        <w:ind w:firstLine="640"/>
        <w:jc w:val="both"/>
      </w:pPr>
      <w:r>
        <w:rPr>
          <w:rFonts w:ascii="仿宋_GB2312" w:hAnsi="仿宋_GB2312" w:eastAsia="仿宋_GB2312"/>
          <w:b w:val="0"/>
          <w:sz w:val="32"/>
        </w:rPr>
        <w:t>16.社会保障和就业支出(类)抚恤(款)死亡抚恤(项):支出决算数为0.00万元，比上年决算减少26.66万元，下降100.00%,主要原因是：本年度未安排死亡人员抚恤金。</w:t>
      </w:r>
    </w:p>
    <w:p w14:paraId="0645FA2F">
      <w:pPr>
        <w:spacing w:line="580" w:lineRule="exact"/>
        <w:ind w:firstLine="640"/>
        <w:jc w:val="both"/>
      </w:pPr>
      <w:r>
        <w:rPr>
          <w:rFonts w:ascii="仿宋_GB2312" w:hAnsi="仿宋_GB2312" w:eastAsia="仿宋_GB2312"/>
          <w:b w:val="0"/>
          <w:sz w:val="32"/>
        </w:rPr>
        <w:t>17.卫生健康支出(类)行政事业单位医疗(款)行政单位医疗(项):支出决算数为90.85万元，比上年决算增加28.60万元，增长45.94%,主要原因是：本年在职人员工资基数调增，医疗缴费基数上涨，相应支出增加。</w:t>
      </w:r>
    </w:p>
    <w:p w14:paraId="7F0B2737">
      <w:pPr>
        <w:spacing w:line="580" w:lineRule="exact"/>
        <w:ind w:firstLine="640"/>
        <w:jc w:val="both"/>
      </w:pPr>
      <w:r>
        <w:rPr>
          <w:rFonts w:ascii="仿宋_GB2312" w:hAnsi="仿宋_GB2312" w:eastAsia="仿宋_GB2312"/>
          <w:b w:val="0"/>
          <w:sz w:val="32"/>
        </w:rPr>
        <w:t>18.卫生健康支出(类)行政事业单位医疗(款)公务员医疗补助(项):支出决算数为20.87万元，比上年决算增加4.90万元，增长30.68%,主要原因是：本年在职人员工资基数调增，公务员医疗补助缴费基数上涨，相应支出增加。</w:t>
      </w:r>
    </w:p>
    <w:p w14:paraId="2182B6D2">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56.83万元，下降100.00%,主要原因是：本年功能科目调整，人员奖金从农林水支出(类)农业农村(款)行政运行(项)调整至一般公共服务支出(类)政府办公厅（室）及相关机构事务(款)行政运行(项)。</w:t>
      </w:r>
    </w:p>
    <w:p w14:paraId="01940ECB">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20.农林水支出(类)农业农村(款)农业生产发展(项):支出决算数为3.52万元，比上年决算增加3.52万元，增长100.00%,主要原因是：本年度增加乌夏巴什镇高素质农民培育项目。</w:t>
      </w:r>
    </w:p>
    <w:p w14:paraId="34EEB855">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1,624.06万元，比上年决算减少1,764.15万元，下降52.07%,主要原因是：本年减少乌夏巴什镇农业产业机械化建设项目，乌夏巴什镇储存库（窖）建设项目，乌夏巴什镇粮食烘干厂建设项目，乌夏巴什镇布柬托皮斯（13）村示范村乡村建设项目，乌夏巴什镇8村示范村乡村建设项目，乌夏巴什镇防渗渠建设项目，乌夏巴什镇十小店铺建设项目等。</w:t>
      </w:r>
    </w:p>
    <w:p w14:paraId="3EF0F654">
      <w:pPr>
        <w:spacing w:line="580" w:lineRule="exact"/>
        <w:ind w:firstLine="640"/>
        <w:jc w:val="both"/>
      </w:pPr>
      <w:r>
        <w:rPr>
          <w:rFonts w:ascii="仿宋_GB2312" w:hAnsi="仿宋_GB2312" w:eastAsia="仿宋_GB2312"/>
          <w:b w:val="0"/>
          <w:sz w:val="32"/>
        </w:rPr>
        <w:t>22.农林水支出(类)农村综合改革(款)对村级公益事业建设的补助(项):支出决算数为50.00万元，比上年决算增加50.00万元，增长100.00%,主要原因是：本年度增加16村自治区综改农村公益事业财政奖补资金项目。</w:t>
      </w:r>
    </w:p>
    <w:p w14:paraId="6189E74B">
      <w:pPr>
        <w:spacing w:line="580" w:lineRule="exact"/>
        <w:ind w:firstLine="640"/>
        <w:jc w:val="both"/>
      </w:pPr>
      <w:r>
        <w:rPr>
          <w:rFonts w:ascii="仿宋_GB2312" w:hAnsi="仿宋_GB2312" w:eastAsia="仿宋_GB2312"/>
          <w:b w:val="0"/>
          <w:sz w:val="32"/>
        </w:rPr>
        <w:t>23.交通运输支出(类)邮政业支出(款)邮政普遍服务与特殊服务(项):支出决算数为0.12万元，比上年决算增加0.00万元，增长0.00%,主要原因是：2024年农牧区投递员专项补贴资金与上年一致，无变化。</w:t>
      </w:r>
    </w:p>
    <w:p w14:paraId="7A712BD0">
      <w:pPr>
        <w:spacing w:line="580" w:lineRule="exact"/>
        <w:ind w:firstLine="640"/>
        <w:jc w:val="both"/>
      </w:pPr>
      <w:r>
        <w:rPr>
          <w:rFonts w:ascii="仿宋_GB2312" w:hAnsi="仿宋_GB2312" w:eastAsia="仿宋_GB2312"/>
          <w:b w:val="0"/>
          <w:sz w:val="32"/>
        </w:rPr>
        <w:t>24.住房保障支出(类)住房改革支出(款)住房公积金(项):支出决算数为167.32万元，比上年决算增加58.31万元，增长53.49%,主要原因是：本年在职人员工资基数调增，公积金缴费基数上涨，相应支出增加。</w:t>
      </w:r>
    </w:p>
    <w:p w14:paraId="3A7F5903">
      <w:pPr>
        <w:spacing w:line="640" w:lineRule="exact"/>
        <w:ind w:firstLine="640"/>
        <w:jc w:val="both"/>
        <w:outlineLvl w:val="2"/>
      </w:pPr>
      <w:r>
        <w:rPr>
          <w:rFonts w:ascii="黑体" w:hAnsi="黑体" w:eastAsia="黑体"/>
          <w:sz w:val="32"/>
        </w:rPr>
        <w:t>六、一般公共预算财政拨款基本支出决算情况说明</w:t>
      </w:r>
    </w:p>
    <w:p w14:paraId="45E099D2">
      <w:pPr>
        <w:spacing w:line="580" w:lineRule="exact"/>
        <w:ind w:firstLine="640"/>
        <w:jc w:val="both"/>
      </w:pPr>
      <w:r>
        <w:rPr>
          <w:rFonts w:ascii="仿宋_GB2312" w:hAnsi="仿宋_GB2312" w:eastAsia="仿宋_GB2312"/>
          <w:b w:val="0"/>
          <w:sz w:val="32"/>
        </w:rPr>
        <w:t>2024年度一般公共预算财政拨款基本支出2,384.79万元，其中：</w:t>
      </w:r>
      <w:r>
        <w:rPr>
          <w:rFonts w:ascii="仿宋_GB2312" w:hAnsi="仿宋_GB2312" w:eastAsia="仿宋_GB2312"/>
          <w:b/>
          <w:sz w:val="32"/>
        </w:rPr>
        <w:t>人员经费2,328.50万元，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包括：基本工资、津贴补贴、奖金、绩效工资、机关事业单位基本养老保险缴费、职工基本医疗保险缴费、公务员医疗补助缴费、其他社会保障缴费、住房公积金、退休费、生活补助、奖励金。</w:t>
      </w:r>
    </w:p>
    <w:p w14:paraId="21FEA1C3">
      <w:pPr>
        <w:spacing w:line="580" w:lineRule="exact"/>
        <w:ind w:firstLine="640"/>
        <w:jc w:val="both"/>
      </w:pPr>
      <w:r>
        <w:rPr>
          <w:rFonts w:ascii="仿宋_GB2312" w:hAnsi="仿宋_GB2312" w:eastAsia="仿宋_GB2312"/>
          <w:b/>
          <w:sz w:val="32"/>
        </w:rPr>
        <w:t>公用经费56.29万元，</w:t>
      </w:r>
      <w:r>
        <w:rPr>
          <w:rFonts w:ascii="仿宋_GB2312" w:hAnsi="仿宋_GB2312" w:eastAsia="仿宋_GB2312"/>
          <w:b w:val="0"/>
          <w:sz w:val="32"/>
        </w:rPr>
        <w:t>包括：办公费、印刷费、水费、电费、邮电费、取暖费、维修（护）费、劳务费、委托业务费、公务用车运行维护费、税金及附加费用。</w:t>
      </w:r>
    </w:p>
    <w:p w14:paraId="706511CA">
      <w:pPr>
        <w:spacing w:line="640" w:lineRule="exact"/>
        <w:ind w:firstLine="640"/>
        <w:jc w:val="both"/>
        <w:outlineLvl w:val="2"/>
      </w:pPr>
      <w:r>
        <w:rPr>
          <w:rFonts w:ascii="黑体" w:hAnsi="黑体" w:eastAsia="黑体"/>
          <w:sz w:val="32"/>
        </w:rPr>
        <w:t>七、政府性基金预算财政拨款收入支出决算情况说明</w:t>
      </w:r>
    </w:p>
    <w:p w14:paraId="6305884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33F7A22">
      <w:pPr>
        <w:spacing w:line="640" w:lineRule="exact"/>
        <w:ind w:firstLine="640"/>
        <w:jc w:val="both"/>
        <w:outlineLvl w:val="2"/>
      </w:pPr>
      <w:r>
        <w:rPr>
          <w:rFonts w:ascii="黑体" w:hAnsi="黑体" w:eastAsia="黑体"/>
          <w:sz w:val="32"/>
        </w:rPr>
        <w:t>八、国有资本经营预算财政拨款收入支出决算情况说明</w:t>
      </w:r>
    </w:p>
    <w:p w14:paraId="05154ED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EA7B60">
      <w:pPr>
        <w:spacing w:line="640" w:lineRule="exact"/>
        <w:ind w:firstLine="640"/>
        <w:jc w:val="both"/>
        <w:outlineLvl w:val="2"/>
      </w:pPr>
      <w:r>
        <w:rPr>
          <w:rFonts w:ascii="黑体" w:hAnsi="黑体" w:eastAsia="黑体"/>
          <w:sz w:val="32"/>
        </w:rPr>
        <w:t>九、财政拨款“三公”经费支出决算情况说明</w:t>
      </w:r>
    </w:p>
    <w:p w14:paraId="44D589D8">
      <w:pPr>
        <w:spacing w:line="580" w:lineRule="exact"/>
        <w:ind w:firstLine="640"/>
        <w:jc w:val="both"/>
      </w:pPr>
      <w:r>
        <w:rPr>
          <w:rFonts w:ascii="仿宋_GB2312" w:hAnsi="仿宋_GB2312" w:eastAsia="仿宋_GB2312"/>
          <w:b/>
          <w:sz w:val="32"/>
        </w:rPr>
        <w:t>2024年度财政拨款“三公”经费支出7.56万元，</w:t>
      </w:r>
      <w:r>
        <w:rPr>
          <w:rFonts w:ascii="仿宋_GB2312" w:hAnsi="仿宋_GB2312" w:eastAsia="仿宋_GB2312"/>
          <w:b w:val="0"/>
          <w:sz w:val="32"/>
        </w:rPr>
        <w:t>比上年增加0.91万元，增长13.68%，主要原因是：本年度公务用车老旧，维修费用增加。其中：因公出国（境）费支出0.00万元，占0.00%，比上年增加0.00万元，增长0.00%，主要原因是：2023年与2024年均未安排因公出国（境）费支出。公务用车购置及运行维护费支出7.56万元，占100.00%，比上年增加0.91万元，增长13.68%，主要原因是：本年度公务用车老旧，维修费用增加。公务接待费支出0.00万元，占0.00%，比上年增加0.00万元，增长0.00%，主要原因是：2023年与2024年均未安排公务接待费支出。</w:t>
      </w:r>
    </w:p>
    <w:p w14:paraId="09A8AEFC">
      <w:pPr>
        <w:spacing w:line="580" w:lineRule="exact"/>
        <w:ind w:firstLine="640"/>
        <w:jc w:val="both"/>
      </w:pPr>
      <w:r>
        <w:rPr>
          <w:rFonts w:ascii="仿宋_GB2312" w:hAnsi="仿宋_GB2312" w:eastAsia="仿宋_GB2312"/>
          <w:b/>
          <w:sz w:val="32"/>
        </w:rPr>
        <w:t>具体情况如下：</w:t>
      </w:r>
    </w:p>
    <w:p w14:paraId="4E5CD6A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E05E90">
      <w:pPr>
        <w:spacing w:line="580" w:lineRule="exact"/>
        <w:ind w:firstLine="640"/>
        <w:jc w:val="both"/>
      </w:pPr>
      <w:r>
        <w:rPr>
          <w:rFonts w:ascii="仿宋_GB2312" w:hAnsi="仿宋_GB2312" w:eastAsia="仿宋_GB2312"/>
          <w:b w:val="0"/>
          <w:sz w:val="32"/>
        </w:rPr>
        <w:t>公务用车购置及运行维护费7.56万元，其中：公务用车购置费0.00万元，公务用车运行维护费7.56万元。公务用车运行维护费开支内容包括车辆燃油费、维修费、保险费。公务用车购置数0辆，公务用车保有量5辆。国有资产占用情况中固定资产车辆5辆，与公务用车保有量差异原因是：本单位固定资产车辆与公务用车保有量一致无差异。</w:t>
      </w:r>
    </w:p>
    <w:p w14:paraId="4B2FB4B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0A4D63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7.56万元，决算数7.56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7.56万元，决算数7.56万元，预决算差异率0.00%，主要原因是：严格按照预算执行，预决算无差异。公务接待费全年预算数0.00万元，决算数0.00万元，预决算差异率0.00%，主要原因是：本单位无公务接待费。</w:t>
      </w:r>
    </w:p>
    <w:p w14:paraId="7776F2A2">
      <w:pPr>
        <w:spacing w:line="640" w:lineRule="exact"/>
        <w:ind w:firstLine="640"/>
        <w:jc w:val="both"/>
        <w:outlineLvl w:val="2"/>
      </w:pPr>
      <w:r>
        <w:rPr>
          <w:rFonts w:ascii="黑体" w:hAnsi="黑体" w:eastAsia="黑体"/>
          <w:sz w:val="32"/>
        </w:rPr>
        <w:t>十、其他重要事项的情况说明</w:t>
      </w:r>
    </w:p>
    <w:p w14:paraId="4A7D88AC">
      <w:pPr>
        <w:spacing w:line="640" w:lineRule="exact"/>
        <w:ind w:firstLine="640"/>
        <w:jc w:val="both"/>
        <w:outlineLvl w:val="3"/>
      </w:pPr>
      <w:r>
        <w:rPr>
          <w:rFonts w:ascii="楷体_GB2312" w:hAnsi="楷体_GB2312" w:eastAsia="楷体_GB2312"/>
          <w:b/>
          <w:sz w:val="32"/>
        </w:rPr>
        <w:t>（一）机关运行经费及公用经费支出情况</w:t>
      </w:r>
    </w:p>
    <w:p w14:paraId="1CE4C69A">
      <w:pPr>
        <w:spacing w:line="580" w:lineRule="exact"/>
        <w:ind w:firstLine="640"/>
        <w:jc w:val="both"/>
      </w:pPr>
      <w:r>
        <w:rPr>
          <w:rFonts w:ascii="仿宋_GB2312" w:hAnsi="仿宋_GB2312" w:eastAsia="仿宋_GB2312"/>
          <w:b w:val="0"/>
          <w:sz w:val="32"/>
        </w:rPr>
        <w:t>2024年度叶城县乌夏巴什镇人民政府（行政单位和参照公务员法管理事业单位）机关运行经费支出56.29万元，比上年增加17.79万元，增长46.21%，主要原因是：本年</w:t>
      </w:r>
      <w:r>
        <w:rPr>
          <w:rFonts w:hint="eastAsia" w:ascii="仿宋_GB2312" w:hAnsi="仿宋_GB2312" w:eastAsia="仿宋_GB2312"/>
          <w:b w:val="0"/>
          <w:sz w:val="32"/>
          <w:lang w:val="en-US" w:eastAsia="zh-CN"/>
        </w:rPr>
        <w:t>水费、电费、维修费支出增加，导致</w:t>
      </w:r>
      <w:r>
        <w:rPr>
          <w:rFonts w:ascii="仿宋_GB2312" w:hAnsi="仿宋_GB2312" w:eastAsia="仿宋_GB2312"/>
          <w:b w:val="0"/>
          <w:sz w:val="32"/>
        </w:rPr>
        <w:t>机关运行经费支出</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57DE74F">
      <w:pPr>
        <w:spacing w:line="640" w:lineRule="exact"/>
        <w:ind w:firstLine="640"/>
        <w:jc w:val="both"/>
        <w:outlineLvl w:val="3"/>
      </w:pPr>
      <w:r>
        <w:rPr>
          <w:rFonts w:ascii="楷体_GB2312" w:hAnsi="楷体_GB2312" w:eastAsia="楷体_GB2312"/>
          <w:b/>
          <w:sz w:val="32"/>
        </w:rPr>
        <w:t>（二）政府采购情况</w:t>
      </w:r>
    </w:p>
    <w:p w14:paraId="398C483A">
      <w:pPr>
        <w:spacing w:line="580" w:lineRule="exact"/>
        <w:ind w:firstLine="640"/>
        <w:jc w:val="both"/>
      </w:pPr>
      <w:r>
        <w:rPr>
          <w:rFonts w:ascii="仿宋_GB2312" w:hAnsi="仿宋_GB2312" w:eastAsia="仿宋_GB2312"/>
          <w:b w:val="0"/>
          <w:sz w:val="32"/>
        </w:rPr>
        <w:t>2024年度政府采购支出总额136.31万元，其中：政府采购货物支出111.04万元、政府采购工程支出4.41万元、政府采购服务支出20.86万元。</w:t>
      </w:r>
    </w:p>
    <w:p w14:paraId="23A22A1F">
      <w:pPr>
        <w:spacing w:line="580" w:lineRule="exact"/>
        <w:ind w:firstLine="640"/>
        <w:jc w:val="both"/>
      </w:pPr>
      <w:r>
        <w:rPr>
          <w:rFonts w:ascii="仿宋_GB2312" w:hAnsi="仿宋_GB2312" w:eastAsia="仿宋_GB2312"/>
          <w:b w:val="0"/>
          <w:sz w:val="32"/>
        </w:rPr>
        <w:t>授予中小企业合同金额134.82万元，占政府采购支出总额的98.91%，其中：授予小微企业合同金额131.50万元，占政府采购支出总额的96.47%。</w:t>
      </w:r>
    </w:p>
    <w:p w14:paraId="6ED453F9">
      <w:pPr>
        <w:spacing w:line="640" w:lineRule="exact"/>
        <w:ind w:firstLine="640"/>
        <w:jc w:val="both"/>
        <w:outlineLvl w:val="3"/>
      </w:pPr>
      <w:r>
        <w:rPr>
          <w:rFonts w:ascii="楷体_GB2312" w:hAnsi="楷体_GB2312" w:eastAsia="楷体_GB2312"/>
          <w:b/>
          <w:sz w:val="32"/>
        </w:rPr>
        <w:t>（三）国有资产占用情况说明</w:t>
      </w:r>
    </w:p>
    <w:p w14:paraId="754D710D">
      <w:pPr>
        <w:spacing w:line="580" w:lineRule="exact"/>
        <w:ind w:firstLine="640"/>
        <w:jc w:val="both"/>
      </w:pPr>
      <w:r>
        <w:rPr>
          <w:rFonts w:ascii="仿宋_GB2312" w:hAnsi="仿宋_GB2312" w:eastAsia="仿宋_GB2312"/>
          <w:b w:val="0"/>
          <w:sz w:val="32"/>
        </w:rPr>
        <w:t>截至2024年12月31日，房屋6,244.11平方米，价值285.93万元。车辆5辆，价值62.98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309B6CD7">
      <w:pPr>
        <w:spacing w:line="640" w:lineRule="exact"/>
        <w:ind w:firstLine="640"/>
        <w:jc w:val="both"/>
        <w:outlineLvl w:val="2"/>
      </w:pPr>
      <w:r>
        <w:rPr>
          <w:rFonts w:ascii="黑体" w:hAnsi="黑体" w:eastAsia="黑体"/>
          <w:sz w:val="32"/>
        </w:rPr>
        <w:t>十一、预算绩效的情况说明</w:t>
      </w:r>
    </w:p>
    <w:p w14:paraId="1ADF9B3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4,403.53万元，实际执行总额4,403.53万元；预算绩效评价项目2个，全年预算数106.42万元，全年执行数106.42万元。预算绩效管理取得的成效：一是健全管理制度，本单位为加强预算管理，规范财务行为已制定《叶城县乌夏巴什镇人民政府预算绩效管理工作实施办法》《叶城县乌夏巴什镇人民政府财务管理制度》等健全完整的各项管理制度，有效保障了我单位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我单位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1E8DA17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8C9204F">
        <w:tblPrEx>
          <w:tblCellMar>
            <w:top w:w="0" w:type="dxa"/>
            <w:left w:w="108" w:type="dxa"/>
            <w:bottom w:w="0" w:type="dxa"/>
            <w:right w:w="108" w:type="dxa"/>
          </w:tblCellMar>
        </w:tblPrEx>
        <w:tc>
          <w:tcPr>
            <w:tcW w:w="8847" w:type="dxa"/>
            <w:gridSpan w:val="9"/>
            <w:vAlign w:val="center"/>
          </w:tcPr>
          <w:p w14:paraId="623767CF">
            <w:pPr>
              <w:jc w:val="center"/>
            </w:pPr>
            <w:r>
              <w:rPr>
                <w:rFonts w:ascii="宋体" w:hAnsi="宋体" w:eastAsia="宋体"/>
                <w:sz w:val="24"/>
              </w:rPr>
              <w:t>单位整体支出绩效自评表</w:t>
            </w:r>
          </w:p>
        </w:tc>
      </w:tr>
      <w:tr w14:paraId="15F84147">
        <w:tblPrEx>
          <w:tblCellMar>
            <w:top w:w="0" w:type="dxa"/>
            <w:left w:w="108" w:type="dxa"/>
            <w:bottom w:w="0" w:type="dxa"/>
            <w:right w:w="108" w:type="dxa"/>
          </w:tblCellMar>
        </w:tblPrEx>
        <w:tc>
          <w:tcPr>
            <w:tcW w:w="8847" w:type="dxa"/>
            <w:gridSpan w:val="9"/>
            <w:vAlign w:val="center"/>
          </w:tcPr>
          <w:p w14:paraId="2D9277A6">
            <w:pPr>
              <w:jc w:val="center"/>
            </w:pPr>
            <w:r>
              <w:rPr>
                <w:rFonts w:ascii="宋体" w:hAnsi="宋体" w:eastAsia="宋体"/>
                <w:sz w:val="24"/>
              </w:rPr>
              <w:t>（2024年度）</w:t>
            </w:r>
          </w:p>
        </w:tc>
      </w:tr>
      <w:tr w14:paraId="2B010D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D18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F9A55E">
            <w:pPr>
              <w:jc w:val="center"/>
            </w:pPr>
            <w:r>
              <w:rPr>
                <w:rFonts w:ascii="宋体" w:hAnsi="宋体" w:eastAsia="宋体"/>
                <w:sz w:val="16"/>
              </w:rPr>
              <w:t>叶城县乌夏巴什镇人民政府</w:t>
            </w:r>
          </w:p>
        </w:tc>
      </w:tr>
      <w:tr w14:paraId="79FC7D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B0B1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D2B6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05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42B4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583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C31E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DE53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F3DE">
            <w:pPr>
              <w:jc w:val="center"/>
            </w:pPr>
            <w:r>
              <w:rPr>
                <w:rFonts w:ascii="宋体" w:hAnsi="宋体" w:eastAsia="宋体"/>
                <w:sz w:val="16"/>
              </w:rPr>
              <w:t>得分</w:t>
            </w:r>
          </w:p>
        </w:tc>
      </w:tr>
      <w:tr w14:paraId="262B83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A0D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AD51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DFB21">
            <w:pPr>
              <w:jc w:val="center"/>
            </w:pPr>
            <w:r>
              <w:rPr>
                <w:rFonts w:ascii="宋体" w:hAnsi="宋体" w:eastAsia="宋体"/>
                <w:sz w:val="16"/>
              </w:rPr>
              <w:t>2,156.07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3AAAD">
            <w:pPr>
              <w:jc w:val="center"/>
            </w:pPr>
            <w:r>
              <w:rPr>
                <w:rFonts w:ascii="宋体" w:hAnsi="宋体" w:eastAsia="宋体"/>
                <w:sz w:val="16"/>
              </w:rPr>
              <w:t>4,403.53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23BA1">
            <w:pPr>
              <w:jc w:val="center"/>
            </w:pPr>
            <w:r>
              <w:rPr>
                <w:rFonts w:ascii="宋体" w:hAnsi="宋体" w:eastAsia="宋体"/>
                <w:sz w:val="16"/>
              </w:rPr>
              <w:t>4,403.53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B45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0511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C8EF">
            <w:pPr>
              <w:jc w:val="center"/>
            </w:pPr>
            <w:r>
              <w:rPr>
                <w:rFonts w:ascii="宋体" w:hAnsi="宋体" w:eastAsia="宋体"/>
                <w:sz w:val="16"/>
              </w:rPr>
              <w:t>10</w:t>
            </w:r>
          </w:p>
        </w:tc>
      </w:tr>
      <w:tr w14:paraId="50DC60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20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9971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97B03">
            <w:pPr>
              <w:jc w:val="center"/>
            </w:pPr>
            <w:r>
              <w:rPr>
                <w:rFonts w:ascii="宋体" w:hAnsi="宋体" w:eastAsia="宋体"/>
                <w:sz w:val="16"/>
              </w:rPr>
              <w:t>10.66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B881">
            <w:pPr>
              <w:jc w:val="center"/>
            </w:pPr>
            <w:r>
              <w:rPr>
                <w:rFonts w:ascii="宋体" w:hAnsi="宋体" w:eastAsia="宋体"/>
                <w:sz w:val="16"/>
              </w:rPr>
              <w:t>2,018.74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1D3BF">
            <w:pPr>
              <w:jc w:val="center"/>
            </w:pPr>
            <w:r>
              <w:rPr>
                <w:rFonts w:ascii="宋体" w:hAnsi="宋体" w:eastAsia="宋体"/>
                <w:sz w:val="16"/>
              </w:rPr>
              <w:t>2,018.74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2D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347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D976D">
            <w:pPr>
              <w:jc w:val="center"/>
            </w:pPr>
            <w:r>
              <w:rPr>
                <w:rFonts w:ascii="宋体" w:hAnsi="宋体" w:eastAsia="宋体"/>
                <w:sz w:val="16"/>
              </w:rPr>
              <w:t>—</w:t>
            </w:r>
          </w:p>
        </w:tc>
      </w:tr>
      <w:tr w14:paraId="6A6ADB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B3C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564D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DB1E9">
            <w:pPr>
              <w:jc w:val="center"/>
            </w:pPr>
            <w:r>
              <w:rPr>
                <w:rFonts w:ascii="宋体" w:hAnsi="宋体" w:eastAsia="宋体"/>
                <w:sz w:val="16"/>
              </w:rPr>
              <w:t>2,145.41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49BD6">
            <w:pPr>
              <w:jc w:val="center"/>
            </w:pPr>
            <w:r>
              <w:rPr>
                <w:rFonts w:ascii="宋体" w:hAnsi="宋体" w:eastAsia="宋体"/>
                <w:sz w:val="16"/>
              </w:rPr>
              <w:t>2,384.79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1872B">
            <w:pPr>
              <w:jc w:val="center"/>
            </w:pPr>
            <w:r>
              <w:rPr>
                <w:rFonts w:ascii="宋体" w:hAnsi="宋体" w:eastAsia="宋体"/>
                <w:sz w:val="16"/>
              </w:rPr>
              <w:t>2,384.79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193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5E94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D0C0">
            <w:pPr>
              <w:jc w:val="center"/>
            </w:pPr>
            <w:r>
              <w:rPr>
                <w:rFonts w:ascii="宋体" w:hAnsi="宋体" w:eastAsia="宋体"/>
                <w:sz w:val="16"/>
              </w:rPr>
              <w:t>—</w:t>
            </w:r>
          </w:p>
        </w:tc>
      </w:tr>
      <w:tr w14:paraId="072259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EEC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EDC2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C12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61A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0BB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C91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98F2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249EB">
            <w:pPr>
              <w:jc w:val="center"/>
            </w:pPr>
            <w:r>
              <w:rPr>
                <w:rFonts w:ascii="宋体" w:hAnsi="宋体" w:eastAsia="宋体"/>
                <w:sz w:val="16"/>
              </w:rPr>
              <w:t>—</w:t>
            </w:r>
          </w:p>
        </w:tc>
      </w:tr>
      <w:tr w14:paraId="7699EC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76FB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28591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FD808F">
            <w:pPr>
              <w:jc w:val="center"/>
            </w:pPr>
            <w:r>
              <w:rPr>
                <w:rFonts w:ascii="宋体" w:hAnsi="宋体" w:eastAsia="宋体"/>
                <w:sz w:val="16"/>
              </w:rPr>
              <w:t>实际完成情况</w:t>
            </w:r>
          </w:p>
        </w:tc>
      </w:tr>
      <w:tr w14:paraId="4F0311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D516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8E8BFD">
            <w:pPr>
              <w:jc w:val="both"/>
            </w:pPr>
            <w:r>
              <w:rPr>
                <w:rFonts w:ascii="宋体" w:hAnsi="宋体" w:eastAsia="宋体"/>
                <w:sz w:val="16"/>
              </w:rPr>
              <w:t>新疆维吾尔自治区喀什地区叶城县乌夏巴什镇负责全片区党政行政管理事务。坚决贯彻执行党</w:t>
            </w:r>
            <w:bookmarkStart w:id="0" w:name="_GoBack"/>
            <w:r>
              <w:rPr>
                <w:rFonts w:ascii="宋体" w:hAnsi="宋体" w:eastAsia="宋体"/>
                <w:sz w:val="16"/>
              </w:rPr>
              <w:t>中央</w:t>
            </w:r>
            <w:bookmarkEnd w:id="0"/>
            <w:r>
              <w:rPr>
                <w:rFonts w:ascii="宋体" w:hAnsi="宋体" w:eastAsia="宋体"/>
                <w:sz w:val="16"/>
              </w:rPr>
              <w:t>、国务院、自治区、地区及县委、县人民政府的有关方面政策指示，把党的各项优惠政策落实到实处，负责全区经济社会发展、社会事务管理、社会安全、基层组织建设等全面工作。以全面建设社会主义新农村为根本出发点，不断深化美丽乡村建设为总目标,不断铸牢全区经济社会发展基础，为全区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F76DE">
            <w:pPr>
              <w:jc w:val="both"/>
            </w:pPr>
            <w:r>
              <w:rPr>
                <w:rFonts w:hint="eastAsia" w:ascii="宋体" w:hAnsi="宋体"/>
                <w:sz w:val="16"/>
                <w:lang w:eastAsia="zh-CN"/>
              </w:rPr>
              <w:t>截至2024</w:t>
            </w:r>
            <w:r>
              <w:rPr>
                <w:rFonts w:ascii="宋体" w:hAnsi="宋体" w:eastAsia="宋体"/>
                <w:sz w:val="16"/>
              </w:rPr>
              <w:t>年12月31日，已完成叶城县乌夏巴什镇在县委、县人民政府的统一领导下，以时不我待的精神，按照“总目标”要求，以巩固“脱贫攻坚”和乡村振兴有效衔接为总抓手，在乡村振兴巩固阶段和任务严峻的形势下，由于各级财政不断</w:t>
            </w:r>
            <w:r>
              <w:rPr>
                <w:rFonts w:hint="eastAsia" w:ascii="宋体" w:hAnsi="宋体"/>
                <w:sz w:val="16"/>
                <w:lang w:eastAsia="zh-CN"/>
              </w:rPr>
              <w:t>加大</w:t>
            </w:r>
            <w:r>
              <w:rPr>
                <w:rFonts w:ascii="宋体" w:hAnsi="宋体" w:eastAsia="宋体"/>
                <w:sz w:val="16"/>
              </w:rPr>
              <w:t>投入，乡党委、政府加大对经费的精细化管理，确保了全乡在2024年度工作中不断开拓创新，稳中求进，全乡经济社会发展取得了较大进步，保障运转幸福大院数量1个，保障单位在职人员数量106人，巩固加强基层政权建设100%，农产品质量安全保障率100%，强农惠农措施覆盖率100%，美丽乡村建设取得了明显成效，全乡人均收入、社会生产总值得到了较大提高。基层组织建设、乡村振兴、社会治理、群众工作等全面进步，为全乡各项工作奠定了坚实的基础。</w:t>
            </w:r>
          </w:p>
        </w:tc>
      </w:tr>
      <w:tr w14:paraId="10947B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4ED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2F1F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4A4A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ABA9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48A3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974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CBF3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C701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DA41">
            <w:pPr>
              <w:jc w:val="center"/>
            </w:pPr>
            <w:r>
              <w:rPr>
                <w:rFonts w:ascii="宋体" w:hAnsi="宋体" w:eastAsia="宋体"/>
                <w:sz w:val="16"/>
              </w:rPr>
              <w:t>得分</w:t>
            </w:r>
          </w:p>
        </w:tc>
      </w:tr>
      <w:tr w14:paraId="023701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78AA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CF3D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C4B67">
            <w:pPr>
              <w:jc w:val="center"/>
            </w:pPr>
            <w:r>
              <w:rPr>
                <w:rFonts w:ascii="宋体" w:hAnsi="宋体" w:eastAsia="宋体"/>
                <w:sz w:val="16"/>
              </w:rPr>
              <w:t>保障运转幸福大院数量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723A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524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5762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6500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348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6FA1A">
            <w:pPr>
              <w:jc w:val="center"/>
            </w:pPr>
            <w:r>
              <w:rPr>
                <w:rFonts w:ascii="宋体" w:hAnsi="宋体" w:eastAsia="宋体"/>
                <w:sz w:val="16"/>
              </w:rPr>
              <w:t>18</w:t>
            </w:r>
          </w:p>
        </w:tc>
      </w:tr>
      <w:tr w14:paraId="2C0D9C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A1C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D02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AFAB">
            <w:pPr>
              <w:jc w:val="center"/>
            </w:pPr>
            <w:r>
              <w:rPr>
                <w:rFonts w:ascii="宋体" w:hAnsi="宋体" w:eastAsia="宋体"/>
                <w:sz w:val="16"/>
              </w:rPr>
              <w:t>保障单位在职人员数量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7EA65">
            <w:pPr>
              <w:jc w:val="center"/>
            </w:pPr>
            <w:r>
              <w:rPr>
                <w:rFonts w:ascii="宋体" w:hAnsi="宋体" w:eastAsia="宋体"/>
                <w:sz w:val="16"/>
              </w:rPr>
              <w:t>=106人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46D4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5BA3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E8CF">
            <w:pPr>
              <w:jc w:val="center"/>
            </w:pPr>
            <w:r>
              <w:rPr>
                <w:rFonts w:ascii="宋体" w:hAnsi="宋体" w:eastAsia="宋体"/>
                <w:sz w:val="16"/>
              </w:rPr>
              <w:t>=99人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B9CD9">
            <w:pPr>
              <w:jc w:val="center"/>
            </w:pPr>
            <w:r>
              <w:rPr>
                <w:rFonts w:ascii="宋体" w:hAnsi="宋体" w:eastAsia="宋体"/>
                <w:sz w:val="16"/>
              </w:rPr>
              <w:t>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B7500">
            <w:pPr>
              <w:jc w:val="center"/>
            </w:pPr>
            <w:r>
              <w:rPr>
                <w:rFonts w:ascii="宋体" w:hAnsi="宋体" w:eastAsia="宋体"/>
                <w:sz w:val="16"/>
              </w:rPr>
              <w:t>17</w:t>
            </w:r>
          </w:p>
        </w:tc>
      </w:tr>
      <w:tr w14:paraId="0C6AD2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A23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E9BC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B6E0">
            <w:pPr>
              <w:jc w:val="center"/>
            </w:pPr>
            <w:r>
              <w:rPr>
                <w:rFonts w:ascii="宋体" w:hAnsi="宋体" w:eastAsia="宋体"/>
                <w:sz w:val="16"/>
              </w:rPr>
              <w:t>巩固加强基层政权建设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14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E004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C462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23A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67C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9124B">
            <w:pPr>
              <w:jc w:val="center"/>
            </w:pPr>
            <w:r>
              <w:rPr>
                <w:rFonts w:ascii="宋体" w:hAnsi="宋体" w:eastAsia="宋体"/>
                <w:sz w:val="16"/>
              </w:rPr>
              <w:t>18</w:t>
            </w:r>
          </w:p>
        </w:tc>
      </w:tr>
      <w:tr w14:paraId="2AE2D1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850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574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2538">
            <w:pPr>
              <w:jc w:val="center"/>
            </w:pPr>
            <w:r>
              <w:rPr>
                <w:rFonts w:ascii="宋体" w:hAnsi="宋体" w:eastAsia="宋体"/>
                <w:sz w:val="16"/>
              </w:rPr>
              <w:t>农产品质量安全保障率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C9A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650F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A964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BB3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FA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54B60">
            <w:pPr>
              <w:jc w:val="center"/>
            </w:pPr>
            <w:r>
              <w:rPr>
                <w:rFonts w:ascii="宋体" w:hAnsi="宋体" w:eastAsia="宋体"/>
                <w:sz w:val="16"/>
              </w:rPr>
              <w:t>18</w:t>
            </w:r>
          </w:p>
        </w:tc>
      </w:tr>
      <w:tr w14:paraId="280422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809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40B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E19C5">
            <w:pPr>
              <w:jc w:val="center"/>
            </w:pPr>
            <w:r>
              <w:rPr>
                <w:rFonts w:ascii="宋体" w:hAnsi="宋体" w:eastAsia="宋体"/>
                <w:sz w:val="16"/>
              </w:rPr>
              <w:t>强农惠农措施覆盖率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AAD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D464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D25C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DB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9A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04437">
            <w:pPr>
              <w:jc w:val="center"/>
            </w:pPr>
            <w:r>
              <w:rPr>
                <w:rFonts w:ascii="宋体" w:hAnsi="宋体" w:eastAsia="宋体"/>
                <w:sz w:val="16"/>
              </w:rPr>
              <w:t>18</w:t>
            </w:r>
          </w:p>
        </w:tc>
      </w:tr>
    </w:tbl>
    <w:p w14:paraId="378C83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AF1ADCA">
        <w:tblPrEx>
          <w:tblCellMar>
            <w:top w:w="0" w:type="dxa"/>
            <w:left w:w="108" w:type="dxa"/>
            <w:bottom w:w="0" w:type="dxa"/>
            <w:right w:w="108" w:type="dxa"/>
          </w:tblCellMar>
        </w:tblPrEx>
        <w:tc>
          <w:tcPr>
            <w:tcW w:w="8848" w:type="dxa"/>
            <w:gridSpan w:val="14"/>
            <w:vAlign w:val="center"/>
          </w:tcPr>
          <w:p w14:paraId="07820512">
            <w:pPr>
              <w:jc w:val="center"/>
            </w:pPr>
            <w:r>
              <w:rPr>
                <w:rFonts w:ascii="宋体" w:hAnsi="宋体" w:eastAsia="宋体"/>
                <w:sz w:val="24"/>
              </w:rPr>
              <w:t>项目支出绩效自评表</w:t>
            </w:r>
          </w:p>
        </w:tc>
      </w:tr>
      <w:tr w14:paraId="2BD63096">
        <w:tblPrEx>
          <w:tblCellMar>
            <w:top w:w="0" w:type="dxa"/>
            <w:left w:w="108" w:type="dxa"/>
            <w:bottom w:w="0" w:type="dxa"/>
            <w:right w:w="108" w:type="dxa"/>
          </w:tblCellMar>
        </w:tblPrEx>
        <w:tc>
          <w:tcPr>
            <w:tcW w:w="8848" w:type="dxa"/>
            <w:gridSpan w:val="14"/>
            <w:vAlign w:val="center"/>
          </w:tcPr>
          <w:p w14:paraId="1BA6F0F2">
            <w:pPr>
              <w:jc w:val="center"/>
            </w:pPr>
            <w:r>
              <w:rPr>
                <w:rFonts w:ascii="宋体" w:hAnsi="宋体" w:eastAsia="宋体"/>
                <w:sz w:val="24"/>
              </w:rPr>
              <w:t>(2024年度)</w:t>
            </w:r>
          </w:p>
        </w:tc>
      </w:tr>
      <w:tr w14:paraId="1F7332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0A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B3F861">
            <w:pPr>
              <w:jc w:val="center"/>
            </w:pPr>
            <w:r>
              <w:rPr>
                <w:rFonts w:ascii="宋体" w:hAnsi="宋体" w:eastAsia="宋体"/>
                <w:sz w:val="16"/>
              </w:rPr>
              <w:t>叶城县乌夏巴什镇2024年县级专项公用经费项目</w:t>
            </w:r>
          </w:p>
        </w:tc>
      </w:tr>
      <w:tr w14:paraId="342C17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29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23548">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BE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9F8B0A">
            <w:pPr>
              <w:jc w:val="center"/>
            </w:pPr>
            <w:r>
              <w:rPr>
                <w:rFonts w:ascii="宋体" w:hAnsi="宋体" w:eastAsia="宋体"/>
                <w:sz w:val="16"/>
              </w:rPr>
              <w:t>叶城县乌夏巴什镇人民政府</w:t>
            </w:r>
          </w:p>
        </w:tc>
      </w:tr>
      <w:tr w14:paraId="27D944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4AF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54F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D30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CB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C13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18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3B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660D">
            <w:pPr>
              <w:jc w:val="center"/>
            </w:pPr>
            <w:r>
              <w:rPr>
                <w:rFonts w:ascii="宋体" w:hAnsi="宋体" w:eastAsia="宋体"/>
                <w:sz w:val="16"/>
              </w:rPr>
              <w:t>得分</w:t>
            </w:r>
          </w:p>
        </w:tc>
      </w:tr>
      <w:tr w14:paraId="35A2B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251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27B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45991">
            <w:pPr>
              <w:jc w:val="center"/>
            </w:pPr>
            <w:r>
              <w:rPr>
                <w:rFonts w:ascii="宋体" w:hAnsi="宋体" w:eastAsia="宋体"/>
                <w:sz w:val="16"/>
              </w:rPr>
              <w:t>70.42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D0AD7">
            <w:pPr>
              <w:jc w:val="center"/>
            </w:pPr>
            <w:r>
              <w:rPr>
                <w:rFonts w:ascii="宋体" w:hAnsi="宋体" w:eastAsia="宋体"/>
                <w:sz w:val="16"/>
              </w:rPr>
              <w:t>70.42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FFCE3">
            <w:pPr>
              <w:jc w:val="center"/>
            </w:pPr>
            <w:r>
              <w:rPr>
                <w:rFonts w:ascii="宋体" w:hAnsi="宋体" w:eastAsia="宋体"/>
                <w:sz w:val="16"/>
              </w:rPr>
              <w:t>70.42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F5A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AE9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3883">
            <w:pPr>
              <w:jc w:val="center"/>
            </w:pPr>
            <w:r>
              <w:rPr>
                <w:rFonts w:ascii="宋体" w:hAnsi="宋体" w:eastAsia="宋体"/>
                <w:sz w:val="16"/>
              </w:rPr>
              <w:t>10.00分</w:t>
            </w:r>
          </w:p>
        </w:tc>
      </w:tr>
      <w:tr w14:paraId="4BB09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B0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C1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2940">
            <w:pPr>
              <w:jc w:val="center"/>
            </w:pPr>
            <w:r>
              <w:rPr>
                <w:rFonts w:ascii="宋体" w:hAnsi="宋体" w:eastAsia="宋体"/>
                <w:sz w:val="16"/>
              </w:rPr>
              <w:t>70.42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6457A">
            <w:pPr>
              <w:jc w:val="center"/>
            </w:pPr>
            <w:r>
              <w:rPr>
                <w:rFonts w:ascii="宋体" w:hAnsi="宋体" w:eastAsia="宋体"/>
                <w:sz w:val="16"/>
              </w:rPr>
              <w:t>70.42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B3D9">
            <w:pPr>
              <w:jc w:val="center"/>
            </w:pPr>
            <w:r>
              <w:rPr>
                <w:rFonts w:ascii="宋体" w:hAnsi="宋体" w:eastAsia="宋体"/>
                <w:sz w:val="16"/>
              </w:rPr>
              <w:t>70.42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761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D3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6AFE">
            <w:pPr>
              <w:jc w:val="center"/>
            </w:pPr>
            <w:r>
              <w:rPr>
                <w:rFonts w:ascii="宋体" w:hAnsi="宋体" w:eastAsia="宋体"/>
                <w:sz w:val="16"/>
              </w:rPr>
              <w:t>—</w:t>
            </w:r>
          </w:p>
        </w:tc>
      </w:tr>
      <w:tr w14:paraId="371A2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BA9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ED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3E6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DE9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55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0E1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D5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318B">
            <w:pPr>
              <w:jc w:val="center"/>
            </w:pPr>
            <w:r>
              <w:rPr>
                <w:rFonts w:ascii="宋体" w:hAnsi="宋体" w:eastAsia="宋体"/>
                <w:sz w:val="16"/>
              </w:rPr>
              <w:t>—</w:t>
            </w:r>
          </w:p>
        </w:tc>
      </w:tr>
      <w:tr w14:paraId="30AB32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AF3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1E1F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10E4D3">
            <w:pPr>
              <w:jc w:val="center"/>
            </w:pPr>
            <w:r>
              <w:rPr>
                <w:rFonts w:ascii="宋体" w:hAnsi="宋体" w:eastAsia="宋体"/>
                <w:sz w:val="16"/>
              </w:rPr>
              <w:t>实际完成情况</w:t>
            </w:r>
          </w:p>
        </w:tc>
      </w:tr>
      <w:tr w14:paraId="760C4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A9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EBE61">
            <w:pPr>
              <w:jc w:val="both"/>
            </w:pPr>
            <w:r>
              <w:rPr>
                <w:rFonts w:ascii="宋体" w:hAnsi="宋体" w:eastAsia="宋体"/>
                <w:sz w:val="16"/>
              </w:rPr>
              <w:t>2024年下达资金70.42万元，其中：2024年县级专项公用经费项目中央级预算安排资金61万元、2024年工作经费县（区）级预算安排资金9.42万元。主要用于镇机关日常办公用品采购、公务用车维修事宜和根据实际情况支付镇本级往期各类费用。项目的实施保障镇</w:t>
            </w:r>
            <w:r>
              <w:rPr>
                <w:rFonts w:hint="eastAsia" w:ascii="宋体" w:hAnsi="宋体"/>
                <w:sz w:val="16"/>
                <w:lang w:eastAsia="zh-CN"/>
              </w:rPr>
              <w:t>级</w:t>
            </w:r>
            <w:r>
              <w:rPr>
                <w:rFonts w:ascii="宋体" w:hAnsi="宋体" w:eastAsia="宋体"/>
                <w:sz w:val="16"/>
              </w:rPr>
              <w:t>机关日常为民服务能力，进一步提升辖区村民幸福感、满意度。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235525">
            <w:pPr>
              <w:jc w:val="both"/>
            </w:pPr>
            <w:r>
              <w:rPr>
                <w:rFonts w:ascii="宋体" w:hAnsi="宋体" w:eastAsia="宋体"/>
                <w:sz w:val="16"/>
              </w:rPr>
              <w:t>实际完成目标：2024年，乌夏巴什镇2024年县级专项公用经费项目申请资金70.42万元，其中：2024年县级专项公用经费项目中央级预算安排资金61万元、2024年工作经费县（区）级预算安排资金9.42万元。该项目资金已用于镇机关日常办公用品采购、公务用车维修事宜和根据实际情况支付镇本级往期各类费用，该项目的实施保障了镇本级机关日常为民服务能力，有效提升了辖区村民幸福感、满意度。</w:t>
            </w:r>
          </w:p>
        </w:tc>
      </w:tr>
      <w:tr w14:paraId="3A682C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BA7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3D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7E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80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39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D1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1E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4B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F7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61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89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E2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D0148">
            <w:pPr>
              <w:jc w:val="center"/>
            </w:pPr>
            <w:r>
              <w:rPr>
                <w:rFonts w:ascii="宋体" w:hAnsi="宋体" w:eastAsia="宋体"/>
                <w:sz w:val="16"/>
              </w:rPr>
              <w:t>偏差原因分析及改进措施</w:t>
            </w:r>
          </w:p>
        </w:tc>
      </w:tr>
      <w:tr w14:paraId="38F79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360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EB7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90A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F0B1">
            <w:pPr>
              <w:jc w:val="center"/>
            </w:pPr>
            <w:r>
              <w:rPr>
                <w:rFonts w:ascii="宋体" w:hAnsi="宋体" w:eastAsia="宋体"/>
                <w:sz w:val="16"/>
              </w:rPr>
              <w:t>覆盖乡镇数量（个）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F2A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F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F1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17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0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F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84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99E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7EBC8">
            <w:pPr>
              <w:jc w:val="center"/>
            </w:pPr>
          </w:p>
        </w:tc>
      </w:tr>
      <w:tr w14:paraId="20E61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E7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9F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43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E846">
            <w:pPr>
              <w:jc w:val="center"/>
            </w:pPr>
            <w:r>
              <w:rPr>
                <w:rFonts w:ascii="宋体" w:hAnsi="宋体" w:eastAsia="宋体"/>
                <w:sz w:val="16"/>
              </w:rPr>
              <w:t>支付水土保持费（笔）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0FE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6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A3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13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7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4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4B90">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41E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61AD9">
            <w:pPr>
              <w:jc w:val="center"/>
            </w:pPr>
          </w:p>
        </w:tc>
      </w:tr>
      <w:tr w14:paraId="6AA88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FE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0A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A3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BB48">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B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18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D9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42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3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3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4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B3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0D9C">
            <w:pPr>
              <w:jc w:val="center"/>
            </w:pPr>
          </w:p>
        </w:tc>
      </w:tr>
      <w:tr w14:paraId="216F8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B5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031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0FA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F9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263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8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0D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3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A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4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908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6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EE24">
            <w:pPr>
              <w:jc w:val="center"/>
            </w:pPr>
          </w:p>
        </w:tc>
      </w:tr>
      <w:tr w14:paraId="1C091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D1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04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93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834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2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7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64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1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8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7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0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19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0614D">
            <w:pPr>
              <w:jc w:val="center"/>
            </w:pPr>
          </w:p>
        </w:tc>
      </w:tr>
      <w:tr w14:paraId="56413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FB6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13C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537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17CB">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8255">
            <w:pPr>
              <w:jc w:val="center"/>
            </w:pPr>
            <w:r>
              <w:rPr>
                <w:rFonts w:ascii="宋体" w:hAnsi="宋体" w:eastAsia="宋体"/>
                <w:sz w:val="16"/>
              </w:rPr>
              <w:t>&lt;=68.50万元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1B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6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8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E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34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E4E6">
            <w:pPr>
              <w:jc w:val="center"/>
            </w:pPr>
            <w:r>
              <w:rPr>
                <w:rFonts w:ascii="宋体" w:hAnsi="宋体" w:eastAsia="宋体"/>
                <w:sz w:val="16"/>
              </w:rPr>
              <w:t>=68.5万元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54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9E05E">
            <w:pPr>
              <w:jc w:val="center"/>
            </w:pPr>
          </w:p>
        </w:tc>
      </w:tr>
      <w:tr w14:paraId="73693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F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0B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93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B0C9">
            <w:pPr>
              <w:jc w:val="center"/>
            </w:pPr>
            <w:r>
              <w:rPr>
                <w:rFonts w:ascii="宋体" w:hAnsi="宋体" w:eastAsia="宋体"/>
                <w:sz w:val="16"/>
              </w:rPr>
              <w:t>水土保持费金额（万元）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0C79">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48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2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9E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0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FF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D094">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5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8F280">
            <w:pPr>
              <w:jc w:val="center"/>
            </w:pPr>
          </w:p>
        </w:tc>
      </w:tr>
      <w:tr w14:paraId="385B7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40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B5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77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3BEE">
            <w:pPr>
              <w:jc w:val="center"/>
            </w:pPr>
            <w:r>
              <w:rPr>
                <w:rFonts w:ascii="宋体" w:hAnsi="宋体" w:eastAsia="宋体"/>
                <w:sz w:val="16"/>
              </w:rPr>
              <w:t>进一步提升辖区村民幸福感、满意度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1ED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A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ED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EC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8F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FE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548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9D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7CF42">
            <w:pPr>
              <w:jc w:val="center"/>
            </w:pPr>
          </w:p>
        </w:tc>
      </w:tr>
      <w:tr w14:paraId="63852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CB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28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7E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3FF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EB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F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7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3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C3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7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FC1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12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F767B">
            <w:pPr>
              <w:jc w:val="center"/>
            </w:pPr>
          </w:p>
        </w:tc>
      </w:tr>
      <w:tr w14:paraId="1DD0684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EF5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61A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A32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69C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320460"/>
        </w:tc>
      </w:tr>
    </w:tbl>
    <w:p w14:paraId="5DD28F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F6C09C3">
        <w:tblPrEx>
          <w:tblCellMar>
            <w:top w:w="0" w:type="dxa"/>
            <w:left w:w="108" w:type="dxa"/>
            <w:bottom w:w="0" w:type="dxa"/>
            <w:right w:w="108" w:type="dxa"/>
          </w:tblCellMar>
        </w:tblPrEx>
        <w:tc>
          <w:tcPr>
            <w:tcW w:w="8848" w:type="dxa"/>
            <w:gridSpan w:val="14"/>
            <w:vAlign w:val="center"/>
          </w:tcPr>
          <w:p w14:paraId="3B04CE0E">
            <w:pPr>
              <w:jc w:val="center"/>
            </w:pPr>
            <w:r>
              <w:rPr>
                <w:rFonts w:ascii="宋体" w:hAnsi="宋体" w:eastAsia="宋体"/>
                <w:sz w:val="24"/>
              </w:rPr>
              <w:t>项目支出绩效自评表</w:t>
            </w:r>
          </w:p>
        </w:tc>
      </w:tr>
      <w:tr w14:paraId="39EDB9A6">
        <w:tblPrEx>
          <w:tblCellMar>
            <w:top w:w="0" w:type="dxa"/>
            <w:left w:w="108" w:type="dxa"/>
            <w:bottom w:w="0" w:type="dxa"/>
            <w:right w:w="108" w:type="dxa"/>
          </w:tblCellMar>
        </w:tblPrEx>
        <w:tc>
          <w:tcPr>
            <w:tcW w:w="8848" w:type="dxa"/>
            <w:gridSpan w:val="14"/>
            <w:vAlign w:val="center"/>
          </w:tcPr>
          <w:p w14:paraId="7698A12A">
            <w:pPr>
              <w:jc w:val="center"/>
            </w:pPr>
            <w:r>
              <w:rPr>
                <w:rFonts w:ascii="宋体" w:hAnsi="宋体" w:eastAsia="宋体"/>
                <w:sz w:val="24"/>
              </w:rPr>
              <w:t>(2024年度)</w:t>
            </w:r>
          </w:p>
        </w:tc>
      </w:tr>
      <w:tr w14:paraId="7E4220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EB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4C74FD">
            <w:pPr>
              <w:jc w:val="center"/>
            </w:pPr>
            <w:r>
              <w:rPr>
                <w:rFonts w:ascii="宋体" w:hAnsi="宋体" w:eastAsia="宋体"/>
                <w:sz w:val="16"/>
              </w:rPr>
              <w:t>乌夏巴什镇</w:t>
            </w:r>
            <w:r>
              <w:rPr>
                <w:rFonts w:hint="eastAsia" w:ascii="宋体" w:hAnsi="宋体"/>
                <w:sz w:val="16"/>
                <w:lang w:eastAsia="zh-CN"/>
              </w:rPr>
              <w:t>YQ</w:t>
            </w:r>
            <w:r>
              <w:rPr>
                <w:rFonts w:ascii="宋体" w:hAnsi="宋体" w:eastAsia="宋体"/>
                <w:sz w:val="16"/>
              </w:rPr>
              <w:t>工作经费项目</w:t>
            </w:r>
          </w:p>
        </w:tc>
      </w:tr>
      <w:tr w14:paraId="33E592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03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554C1">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E9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4355CF">
            <w:pPr>
              <w:jc w:val="center"/>
            </w:pPr>
            <w:r>
              <w:rPr>
                <w:rFonts w:ascii="宋体" w:hAnsi="宋体" w:eastAsia="宋体"/>
                <w:sz w:val="16"/>
              </w:rPr>
              <w:t>叶城县乌夏巴什镇人民政府</w:t>
            </w:r>
          </w:p>
        </w:tc>
      </w:tr>
      <w:tr w14:paraId="64A750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0AB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E0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494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AA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07A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107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AE6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961A">
            <w:pPr>
              <w:jc w:val="center"/>
            </w:pPr>
            <w:r>
              <w:rPr>
                <w:rFonts w:ascii="宋体" w:hAnsi="宋体" w:eastAsia="宋体"/>
                <w:sz w:val="16"/>
              </w:rPr>
              <w:t>得分</w:t>
            </w:r>
          </w:p>
        </w:tc>
      </w:tr>
      <w:tr w14:paraId="6BBD7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D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5FB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17A8">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0590">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09C0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D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D505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23B6">
            <w:pPr>
              <w:jc w:val="center"/>
            </w:pPr>
            <w:r>
              <w:rPr>
                <w:rFonts w:ascii="宋体" w:hAnsi="宋体" w:eastAsia="宋体"/>
                <w:sz w:val="16"/>
              </w:rPr>
              <w:t>10.00分</w:t>
            </w:r>
          </w:p>
        </w:tc>
      </w:tr>
      <w:tr w14:paraId="70B80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A79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A30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F0128">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CDA4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605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C7F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BF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8ABB">
            <w:pPr>
              <w:jc w:val="center"/>
            </w:pPr>
            <w:r>
              <w:rPr>
                <w:rFonts w:ascii="宋体" w:hAnsi="宋体" w:eastAsia="宋体"/>
                <w:sz w:val="16"/>
              </w:rPr>
              <w:t>—</w:t>
            </w:r>
          </w:p>
        </w:tc>
      </w:tr>
      <w:tr w14:paraId="13998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55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06B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91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6F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EA9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609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27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C081">
            <w:pPr>
              <w:jc w:val="center"/>
            </w:pPr>
            <w:r>
              <w:rPr>
                <w:rFonts w:ascii="宋体" w:hAnsi="宋体" w:eastAsia="宋体"/>
                <w:sz w:val="16"/>
              </w:rPr>
              <w:t>—</w:t>
            </w:r>
          </w:p>
        </w:tc>
      </w:tr>
      <w:tr w14:paraId="02A718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08B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5FE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7F456">
            <w:pPr>
              <w:jc w:val="center"/>
            </w:pPr>
            <w:r>
              <w:rPr>
                <w:rFonts w:ascii="宋体" w:hAnsi="宋体" w:eastAsia="宋体"/>
                <w:sz w:val="16"/>
              </w:rPr>
              <w:t>实际完成情况</w:t>
            </w:r>
          </w:p>
        </w:tc>
      </w:tr>
      <w:tr w14:paraId="471B9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65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64919">
            <w:pPr>
              <w:jc w:val="both"/>
            </w:pPr>
            <w:r>
              <w:rPr>
                <w:rFonts w:ascii="宋体" w:hAnsi="宋体" w:eastAsia="宋体"/>
                <w:sz w:val="16"/>
              </w:rPr>
              <w:t>乌夏巴什镇</w:t>
            </w:r>
            <w:r>
              <w:rPr>
                <w:rFonts w:hint="eastAsia" w:ascii="宋体" w:hAnsi="宋体"/>
                <w:sz w:val="16"/>
                <w:lang w:eastAsia="zh-CN"/>
              </w:rPr>
              <w:t>YQ</w:t>
            </w:r>
            <w:r>
              <w:rPr>
                <w:rFonts w:ascii="宋体" w:hAnsi="宋体" w:eastAsia="宋体"/>
                <w:sz w:val="16"/>
              </w:rPr>
              <w:t>防控项目资金36万元，主要</w:t>
            </w:r>
            <w:r>
              <w:rPr>
                <w:rFonts w:hint="eastAsia" w:ascii="宋体" w:hAnsi="宋体"/>
                <w:sz w:val="16"/>
                <w:lang w:eastAsia="zh-CN"/>
              </w:rPr>
              <w:t>用于YQ</w:t>
            </w:r>
            <w:r>
              <w:rPr>
                <w:rFonts w:ascii="宋体" w:hAnsi="宋体" w:eastAsia="宋体"/>
                <w:sz w:val="16"/>
              </w:rPr>
              <w:t>防控，使群众生命安全得到保证。全面保障农牧民群众生命安全和身体健康。根据本镇</w:t>
            </w:r>
            <w:r>
              <w:rPr>
                <w:rFonts w:hint="eastAsia" w:ascii="宋体" w:hAnsi="宋体"/>
                <w:sz w:val="16"/>
                <w:lang w:eastAsia="zh-CN"/>
              </w:rPr>
              <w:t>YQ</w:t>
            </w:r>
            <w:r>
              <w:rPr>
                <w:rFonts w:ascii="宋体" w:hAnsi="宋体" w:eastAsia="宋体"/>
                <w:sz w:val="16"/>
              </w:rPr>
              <w:t>隔离点情况，购买被褥，解决群众住宿问题，保障农牧民群众生命安全和身体健康，提高为民服务本领。进一步提升辖区村民安全感、幸福感。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514DE2">
            <w:pPr>
              <w:jc w:val="both"/>
            </w:pPr>
            <w:r>
              <w:rPr>
                <w:rFonts w:ascii="宋体" w:hAnsi="宋体" w:eastAsia="宋体"/>
                <w:sz w:val="16"/>
              </w:rPr>
              <w:t>实际完成目标：乌夏巴什镇</w:t>
            </w:r>
            <w:r>
              <w:rPr>
                <w:rFonts w:hint="eastAsia" w:ascii="宋体" w:hAnsi="宋体"/>
                <w:sz w:val="16"/>
                <w:lang w:eastAsia="zh-CN"/>
              </w:rPr>
              <w:t>YQ</w:t>
            </w:r>
            <w:r>
              <w:rPr>
                <w:rFonts w:ascii="宋体" w:hAnsi="宋体" w:eastAsia="宋体"/>
                <w:sz w:val="16"/>
              </w:rPr>
              <w:t>防控项目资金36万元已全额完成支付，</w:t>
            </w:r>
            <w:r>
              <w:rPr>
                <w:rFonts w:hint="eastAsia" w:ascii="宋体" w:hAnsi="宋体"/>
                <w:sz w:val="16"/>
                <w:lang w:eastAsia="zh-CN"/>
              </w:rPr>
              <w:t>用于YQ</w:t>
            </w:r>
            <w:r>
              <w:rPr>
                <w:rFonts w:ascii="宋体" w:hAnsi="宋体" w:eastAsia="宋体"/>
                <w:sz w:val="16"/>
              </w:rPr>
              <w:t>防控，使群众生命安全得到保证。全面保障农牧民群众生命安全和身体健康。根据本镇</w:t>
            </w:r>
            <w:r>
              <w:rPr>
                <w:rFonts w:hint="eastAsia" w:ascii="宋体" w:hAnsi="宋体"/>
                <w:sz w:val="16"/>
                <w:lang w:eastAsia="zh-CN"/>
              </w:rPr>
              <w:t>YQ</w:t>
            </w:r>
            <w:r>
              <w:rPr>
                <w:rFonts w:ascii="宋体" w:hAnsi="宋体" w:eastAsia="宋体"/>
                <w:sz w:val="16"/>
              </w:rPr>
              <w:t>隔离点情况，购买被褥，有效解决群众住宿问题，保障农牧民群众生命安全和身体健康，提高为民服务本领，预防各类疾病防治。</w:t>
            </w:r>
          </w:p>
        </w:tc>
      </w:tr>
      <w:tr w14:paraId="19FADE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FEA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E7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74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05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DB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65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65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FB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57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25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56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95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4EA19">
            <w:pPr>
              <w:jc w:val="center"/>
            </w:pPr>
            <w:r>
              <w:rPr>
                <w:rFonts w:ascii="宋体" w:hAnsi="宋体" w:eastAsia="宋体"/>
                <w:sz w:val="16"/>
              </w:rPr>
              <w:t>偏差原因分析及改进措施</w:t>
            </w:r>
          </w:p>
        </w:tc>
      </w:tr>
      <w:tr w14:paraId="1C00B8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B2F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10E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11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E18E">
            <w:pPr>
              <w:jc w:val="center"/>
            </w:pPr>
            <w:r>
              <w:rPr>
                <w:rFonts w:ascii="宋体" w:hAnsi="宋体" w:eastAsia="宋体"/>
                <w:sz w:val="16"/>
              </w:rPr>
              <w:t>覆盖乡镇数量（个）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78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0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30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C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2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9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577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6A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99985">
            <w:pPr>
              <w:jc w:val="center"/>
            </w:pPr>
          </w:p>
        </w:tc>
      </w:tr>
      <w:tr w14:paraId="1D37F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61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57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31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70F9">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4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C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EE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3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F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0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B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5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C5757">
            <w:pPr>
              <w:jc w:val="center"/>
            </w:pPr>
          </w:p>
        </w:tc>
      </w:tr>
      <w:tr w14:paraId="69F10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1A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82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3FC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EA7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9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9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E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3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2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F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8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EB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99446">
            <w:pPr>
              <w:jc w:val="center"/>
            </w:pPr>
          </w:p>
        </w:tc>
      </w:tr>
      <w:tr w14:paraId="4DC73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D6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EC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B7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90C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71D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9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2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2A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8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B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A4B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62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4F3BE">
            <w:pPr>
              <w:jc w:val="center"/>
            </w:pPr>
          </w:p>
        </w:tc>
      </w:tr>
      <w:tr w14:paraId="17C2B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5B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DA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73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B4F3">
            <w:pPr>
              <w:jc w:val="center"/>
            </w:pPr>
            <w:r>
              <w:rPr>
                <w:rFonts w:ascii="宋体" w:hAnsi="宋体" w:eastAsia="宋体"/>
                <w:sz w:val="16"/>
              </w:rPr>
              <w:t>项目经费总额（元）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5AD6">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E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8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FF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3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12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F7C6">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14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CCE04">
            <w:pPr>
              <w:jc w:val="center"/>
            </w:pPr>
          </w:p>
        </w:tc>
      </w:tr>
      <w:tr w14:paraId="091B2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6D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E2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00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845C">
            <w:pPr>
              <w:jc w:val="center"/>
            </w:pPr>
            <w:r>
              <w:rPr>
                <w:rFonts w:ascii="宋体" w:hAnsi="宋体" w:eastAsia="宋体"/>
                <w:sz w:val="16"/>
              </w:rPr>
              <w:t>保持乡镇</w:t>
            </w:r>
            <w:r>
              <w:rPr>
                <w:rFonts w:hint="eastAsia" w:ascii="宋体" w:hAnsi="宋体"/>
                <w:sz w:val="16"/>
                <w:lang w:eastAsia="zh-CN"/>
              </w:rPr>
              <w:t>YQ</w:t>
            </w:r>
            <w:r>
              <w:rPr>
                <w:rFonts w:ascii="宋体" w:hAnsi="宋体" w:eastAsia="宋体"/>
                <w:sz w:val="16"/>
              </w:rPr>
              <w:t>常态化得到稳定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EDC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D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58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8A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96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9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EFD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6D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2536">
            <w:pPr>
              <w:jc w:val="center"/>
            </w:pPr>
          </w:p>
        </w:tc>
      </w:tr>
      <w:tr w14:paraId="32D84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CE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FF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8C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D30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A9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7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E8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26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1C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C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D2FB">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68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0EE9">
            <w:pPr>
              <w:jc w:val="center"/>
            </w:pPr>
          </w:p>
        </w:tc>
      </w:tr>
      <w:tr w14:paraId="5EB6CD2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B2A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5A9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D6F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14F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960FA0"/>
        </w:tc>
      </w:tr>
    </w:tbl>
    <w:p w14:paraId="44015341">
      <w:r>
        <w:br w:type="page"/>
      </w:r>
    </w:p>
    <w:p w14:paraId="3DAF68C5">
      <w:pPr>
        <w:spacing w:line="640" w:lineRule="exact"/>
        <w:ind w:firstLine="640"/>
        <w:jc w:val="both"/>
        <w:outlineLvl w:val="2"/>
      </w:pPr>
      <w:r>
        <w:rPr>
          <w:rFonts w:ascii="黑体" w:hAnsi="黑体" w:eastAsia="黑体"/>
          <w:sz w:val="32"/>
        </w:rPr>
        <w:t>十二、其他需说明的事项</w:t>
      </w:r>
    </w:p>
    <w:p w14:paraId="67068ED0">
      <w:pPr>
        <w:spacing w:line="580" w:lineRule="exact"/>
        <w:ind w:firstLine="640"/>
        <w:jc w:val="both"/>
      </w:pPr>
      <w:r>
        <w:rPr>
          <w:rFonts w:ascii="仿宋_GB2312" w:hAnsi="仿宋_GB2312" w:eastAsia="仿宋_GB2312"/>
          <w:b w:val="0"/>
          <w:sz w:val="32"/>
        </w:rPr>
        <w:t>本单位无其他需说明的事项。</w:t>
      </w:r>
    </w:p>
    <w:p w14:paraId="0B0F3521">
      <w:r>
        <w:br w:type="page"/>
      </w:r>
    </w:p>
    <w:p w14:paraId="4345CA52">
      <w:pPr>
        <w:spacing w:line="240" w:lineRule="auto"/>
        <w:jc w:val="center"/>
        <w:outlineLvl w:val="1"/>
      </w:pPr>
      <w:r>
        <w:rPr>
          <w:rFonts w:ascii="黑体" w:hAnsi="黑体" w:eastAsia="黑体"/>
          <w:sz w:val="32"/>
        </w:rPr>
        <w:t>第三部分 专业名词解释</w:t>
      </w:r>
    </w:p>
    <w:p w14:paraId="0D6FA9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35D38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1D6A15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76B28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656675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0CB8D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30DF2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EFBA0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E45C6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087B6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A9315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127738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7DDCB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134A4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3AF62A">
      <w:r>
        <w:br w:type="page"/>
      </w:r>
    </w:p>
    <w:p w14:paraId="6443F16E">
      <w:pPr>
        <w:spacing w:line="240" w:lineRule="auto"/>
        <w:jc w:val="center"/>
        <w:outlineLvl w:val="1"/>
      </w:pPr>
      <w:r>
        <w:rPr>
          <w:rFonts w:ascii="黑体" w:hAnsi="黑体" w:eastAsia="黑体"/>
          <w:sz w:val="32"/>
        </w:rPr>
        <w:t>第四部分 部门决算报表（见附表）</w:t>
      </w:r>
    </w:p>
    <w:p w14:paraId="06225167">
      <w:pPr>
        <w:spacing w:line="240" w:lineRule="auto"/>
        <w:ind w:firstLine="640"/>
        <w:jc w:val="both"/>
      </w:pPr>
      <w:r>
        <w:rPr>
          <w:rFonts w:ascii="仿宋_GB2312" w:hAnsi="仿宋_GB2312" w:eastAsia="仿宋_GB2312"/>
          <w:b w:val="0"/>
          <w:sz w:val="32"/>
        </w:rPr>
        <w:t>一、《收入支出决算总表》</w:t>
      </w:r>
    </w:p>
    <w:p w14:paraId="2A979525">
      <w:pPr>
        <w:spacing w:line="240" w:lineRule="auto"/>
        <w:ind w:firstLine="640"/>
        <w:jc w:val="both"/>
      </w:pPr>
      <w:r>
        <w:rPr>
          <w:rFonts w:ascii="仿宋_GB2312" w:hAnsi="仿宋_GB2312" w:eastAsia="仿宋_GB2312"/>
          <w:b w:val="0"/>
          <w:sz w:val="32"/>
        </w:rPr>
        <w:t>二、《收入决算表》</w:t>
      </w:r>
    </w:p>
    <w:p w14:paraId="46CE49EA">
      <w:pPr>
        <w:spacing w:line="240" w:lineRule="auto"/>
        <w:ind w:firstLine="640"/>
        <w:jc w:val="both"/>
      </w:pPr>
      <w:r>
        <w:rPr>
          <w:rFonts w:ascii="仿宋_GB2312" w:hAnsi="仿宋_GB2312" w:eastAsia="仿宋_GB2312"/>
          <w:b w:val="0"/>
          <w:sz w:val="32"/>
        </w:rPr>
        <w:t>三、《支出决算表》</w:t>
      </w:r>
    </w:p>
    <w:p w14:paraId="4F71347C">
      <w:pPr>
        <w:spacing w:line="240" w:lineRule="auto"/>
        <w:ind w:firstLine="640"/>
        <w:jc w:val="both"/>
      </w:pPr>
      <w:r>
        <w:rPr>
          <w:rFonts w:ascii="仿宋_GB2312" w:hAnsi="仿宋_GB2312" w:eastAsia="仿宋_GB2312"/>
          <w:b w:val="0"/>
          <w:sz w:val="32"/>
        </w:rPr>
        <w:t>四、《财政拨款收入支出决算总表》</w:t>
      </w:r>
    </w:p>
    <w:p w14:paraId="4E15C9C0">
      <w:pPr>
        <w:spacing w:line="240" w:lineRule="auto"/>
        <w:ind w:firstLine="640"/>
        <w:jc w:val="both"/>
      </w:pPr>
      <w:r>
        <w:rPr>
          <w:rFonts w:ascii="仿宋_GB2312" w:hAnsi="仿宋_GB2312" w:eastAsia="仿宋_GB2312"/>
          <w:b w:val="0"/>
          <w:sz w:val="32"/>
        </w:rPr>
        <w:t>五、《一般公共预算财政拨款支出决算表》</w:t>
      </w:r>
    </w:p>
    <w:p w14:paraId="70118906">
      <w:pPr>
        <w:spacing w:line="240" w:lineRule="auto"/>
        <w:ind w:firstLine="640"/>
        <w:jc w:val="both"/>
      </w:pPr>
      <w:r>
        <w:rPr>
          <w:rFonts w:ascii="仿宋_GB2312" w:hAnsi="仿宋_GB2312" w:eastAsia="仿宋_GB2312"/>
          <w:b w:val="0"/>
          <w:sz w:val="32"/>
        </w:rPr>
        <w:t>六、《一般公共预算财政拨款基本支出决算表》</w:t>
      </w:r>
    </w:p>
    <w:p w14:paraId="6B1E717F">
      <w:pPr>
        <w:spacing w:line="240" w:lineRule="auto"/>
        <w:ind w:firstLine="640"/>
        <w:jc w:val="both"/>
      </w:pPr>
      <w:r>
        <w:rPr>
          <w:rFonts w:ascii="仿宋_GB2312" w:hAnsi="仿宋_GB2312" w:eastAsia="仿宋_GB2312"/>
          <w:b w:val="0"/>
          <w:sz w:val="32"/>
        </w:rPr>
        <w:t>七、《政府性基金预算财政拨款收入支出决算表》</w:t>
      </w:r>
    </w:p>
    <w:p w14:paraId="5477FCEC">
      <w:pPr>
        <w:spacing w:line="240" w:lineRule="auto"/>
        <w:ind w:firstLine="640"/>
        <w:jc w:val="both"/>
      </w:pPr>
      <w:r>
        <w:rPr>
          <w:rFonts w:ascii="仿宋_GB2312" w:hAnsi="仿宋_GB2312" w:eastAsia="仿宋_GB2312"/>
          <w:b w:val="0"/>
          <w:sz w:val="32"/>
        </w:rPr>
        <w:t>八、《国有资本经营预算财政拨款收入支出决算表》</w:t>
      </w:r>
    </w:p>
    <w:p w14:paraId="6233CCD9">
      <w:pPr>
        <w:spacing w:line="240" w:lineRule="auto"/>
        <w:ind w:firstLine="640"/>
        <w:jc w:val="both"/>
      </w:pPr>
      <w:r>
        <w:rPr>
          <w:rFonts w:ascii="仿宋_GB2312" w:hAnsi="仿宋_GB2312" w:eastAsia="仿宋_GB2312"/>
          <w:b w:val="0"/>
          <w:sz w:val="32"/>
        </w:rPr>
        <w:t>九、《财政拨款“三公”经费支出决算表》</w:t>
      </w:r>
    </w:p>
    <w:p w14:paraId="409A22A3">
      <w:pPr>
        <w:spacing w:line="240" w:lineRule="auto"/>
        <w:ind w:firstLine="640"/>
        <w:jc w:val="both"/>
      </w:pPr>
    </w:p>
    <w:p w14:paraId="3426BCB7">
      <w:pPr>
        <w:spacing w:line="240" w:lineRule="auto"/>
        <w:ind w:firstLine="640"/>
        <w:jc w:val="both"/>
      </w:pPr>
    </w:p>
    <w:p w14:paraId="6BDED540">
      <w:pPr>
        <w:spacing w:line="240" w:lineRule="auto"/>
        <w:ind w:firstLine="640"/>
        <w:jc w:val="both"/>
      </w:pPr>
    </w:p>
    <w:p w14:paraId="3C64E9D0">
      <w:pPr>
        <w:spacing w:line="240" w:lineRule="auto"/>
        <w:ind w:firstLine="640"/>
        <w:jc w:val="both"/>
      </w:pPr>
    </w:p>
    <w:p w14:paraId="150919F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9AF39EC"/>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9B34F1"/>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7579</Words>
  <Characters>8735</Characters>
  <Lines>0</Lines>
  <Paragraphs>0</Paragraphs>
  <TotalTime>7</TotalTime>
  <ScaleCrop>false</ScaleCrop>
  <LinksUpToDate>false</LinksUpToDate>
  <CharactersWithSpaces>8743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2025-09-29T09:02:01Z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