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叶城县伯西热克镇人民政府2024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FF478C5">
      <w:r>
        <w:br w:type="page"/>
      </w:r>
    </w:p>
    <w:p w14:paraId="51E40743">
      <w:pPr>
        <w:spacing w:line="640" w:lineRule="exact"/>
        <w:jc w:val="center"/>
        <w:outlineLvl w:val="1"/>
      </w:pPr>
      <w:r>
        <w:rPr>
          <w:rFonts w:ascii="黑体" w:hAnsi="黑体" w:eastAsia="黑体"/>
          <w:sz w:val="32"/>
        </w:rPr>
        <w:t>第一部分 单位概况</w:t>
      </w:r>
    </w:p>
    <w:p w14:paraId="45E194CC">
      <w:pPr>
        <w:spacing w:line="640" w:lineRule="exact"/>
        <w:ind w:firstLine="640"/>
        <w:jc w:val="both"/>
        <w:outlineLvl w:val="2"/>
      </w:pPr>
      <w:r>
        <w:rPr>
          <w:rFonts w:ascii="黑体" w:hAnsi="黑体" w:eastAsia="黑体"/>
          <w:sz w:val="32"/>
        </w:rPr>
        <w:t>一、主要职能</w:t>
      </w:r>
    </w:p>
    <w:p w14:paraId="11DA223D">
      <w:pPr>
        <w:spacing w:line="580" w:lineRule="exact"/>
        <w:ind w:firstLine="640"/>
        <w:jc w:val="both"/>
      </w:pPr>
      <w:r>
        <w:rPr>
          <w:rFonts w:ascii="仿宋_GB2312" w:hAnsi="仿宋_GB2312" w:eastAsia="仿宋_GB2312"/>
          <w:sz w:val="32"/>
        </w:rPr>
        <w:t>负责全乡党政行政管理事务坚决贯彻县委、县人民政府各项指示，负责全乡经济社会发展、社会事务管理、基层组织建设等全面工作。以乡村振兴为引领实现社会发展“总目标”，不断铸牢全乡经济社会发展基础，为全乡各族群众提供社会服务。</w:t>
      </w:r>
    </w:p>
    <w:p w14:paraId="72EDEF21">
      <w:pPr>
        <w:spacing w:line="640" w:lineRule="exact"/>
        <w:ind w:firstLine="640"/>
        <w:jc w:val="both"/>
        <w:outlineLvl w:val="2"/>
      </w:pPr>
      <w:r>
        <w:rPr>
          <w:rFonts w:ascii="黑体" w:hAnsi="黑体" w:eastAsia="黑体"/>
          <w:sz w:val="32"/>
        </w:rPr>
        <w:t>二、机构设置及人员情况</w:t>
      </w:r>
    </w:p>
    <w:p w14:paraId="4C6ADBFB">
      <w:pPr>
        <w:spacing w:line="580" w:lineRule="exact"/>
        <w:ind w:firstLine="640"/>
        <w:jc w:val="both"/>
      </w:pPr>
      <w:r>
        <w:rPr>
          <w:rFonts w:ascii="仿宋_GB2312" w:hAnsi="仿宋_GB2312" w:eastAsia="仿宋_GB2312"/>
          <w:sz w:val="32"/>
        </w:rPr>
        <w:t>叶城县伯西热克镇人民政府2024年度，实有人数132人，其中：在职人员112人，增加0人；离休人员0人，增加0人；退休人员20人,增加2人。</w:t>
      </w:r>
    </w:p>
    <w:p w14:paraId="497D9505">
      <w:pPr>
        <w:spacing w:line="580" w:lineRule="exact"/>
        <w:ind w:firstLine="640"/>
        <w:jc w:val="both"/>
      </w:pPr>
      <w:r>
        <w:rPr>
          <w:rFonts w:ascii="仿宋_GB2312" w:hAnsi="仿宋_GB2312" w:eastAsia="仿宋_GB2312"/>
          <w:sz w:val="32"/>
        </w:rPr>
        <w:t>叶城县伯西热克镇人民政府无下属预算单位，下设5个科室，分别是：党政办、社会事务办、综治办、党建办、经济发展办。</w:t>
      </w:r>
    </w:p>
    <w:p w14:paraId="70CAE296">
      <w:r>
        <w:br w:type="page"/>
      </w:r>
    </w:p>
    <w:p w14:paraId="53F1A556">
      <w:pPr>
        <w:spacing w:line="240" w:lineRule="auto"/>
        <w:jc w:val="center"/>
        <w:outlineLvl w:val="1"/>
      </w:pPr>
      <w:r>
        <w:rPr>
          <w:rFonts w:ascii="黑体" w:hAnsi="黑体" w:eastAsia="黑体"/>
          <w:sz w:val="32"/>
        </w:rPr>
        <w:t>第二部分 部门决算情况说明</w:t>
      </w:r>
    </w:p>
    <w:p w14:paraId="7AD6315A">
      <w:pPr>
        <w:spacing w:line="640" w:lineRule="exact"/>
        <w:ind w:firstLine="640"/>
        <w:jc w:val="both"/>
        <w:outlineLvl w:val="2"/>
      </w:pPr>
      <w:r>
        <w:rPr>
          <w:rFonts w:ascii="黑体" w:hAnsi="黑体" w:eastAsia="黑体"/>
          <w:sz w:val="32"/>
        </w:rPr>
        <w:t>一、收入支出决算总体情况说明</w:t>
      </w:r>
    </w:p>
    <w:p w14:paraId="3C8EAD2F">
      <w:pPr>
        <w:spacing w:line="580" w:lineRule="exact"/>
        <w:ind w:firstLine="640"/>
        <w:jc w:val="both"/>
      </w:pPr>
      <w:r>
        <w:rPr>
          <w:rFonts w:ascii="仿宋_GB2312" w:hAnsi="仿宋_GB2312" w:eastAsia="仿宋_GB2312"/>
          <w:b/>
          <w:sz w:val="32"/>
        </w:rPr>
        <w:t>2024年度收入总计6,260.39万元，</w:t>
      </w:r>
      <w:r>
        <w:rPr>
          <w:rFonts w:ascii="仿宋_GB2312" w:hAnsi="仿宋_GB2312" w:eastAsia="仿宋_GB2312"/>
          <w:b w:val="0"/>
          <w:sz w:val="32"/>
        </w:rPr>
        <w:t>其中：本年收入合计6,260.39万元，使用非财政拨款结余（含专用结余）0.00万元，年初结转和结余0.00万元。</w:t>
      </w:r>
    </w:p>
    <w:p w14:paraId="6E1E72CB">
      <w:pPr>
        <w:spacing w:line="580" w:lineRule="exact"/>
        <w:ind w:firstLine="640"/>
        <w:jc w:val="both"/>
      </w:pPr>
      <w:r>
        <w:rPr>
          <w:rFonts w:ascii="仿宋_GB2312" w:hAnsi="仿宋_GB2312" w:eastAsia="仿宋_GB2312"/>
          <w:b/>
          <w:sz w:val="32"/>
        </w:rPr>
        <w:t>2024年度支出总计6,260.39万元，</w:t>
      </w:r>
      <w:r>
        <w:rPr>
          <w:rFonts w:ascii="仿宋_GB2312" w:hAnsi="仿宋_GB2312" w:eastAsia="仿宋_GB2312"/>
          <w:b w:val="0"/>
          <w:sz w:val="32"/>
        </w:rPr>
        <w:t>其中：本年支出合计6,260.39万元，结余分配0.00万元，年末结转和结余0.00万元。</w:t>
      </w:r>
    </w:p>
    <w:p w14:paraId="3C063E81">
      <w:pPr>
        <w:spacing w:line="580" w:lineRule="exact"/>
        <w:ind w:firstLine="640"/>
        <w:jc w:val="both"/>
      </w:pPr>
      <w:r>
        <w:rPr>
          <w:rFonts w:ascii="仿宋_GB2312" w:hAnsi="仿宋_GB2312" w:eastAsia="仿宋_GB2312"/>
          <w:b w:val="0"/>
          <w:sz w:val="32"/>
        </w:rPr>
        <w:t>收入支出总体与上年相比，减少1,524.42万元，下降19.58%，主要原因是：本年减少叶城县2024年伯西热克镇16村示范村乡村建设项目、减少伯西热克镇17村防渗渠建设。</w:t>
      </w:r>
    </w:p>
    <w:p w14:paraId="59D465A1">
      <w:pPr>
        <w:spacing w:line="640" w:lineRule="exact"/>
        <w:ind w:firstLine="640"/>
        <w:jc w:val="both"/>
        <w:outlineLvl w:val="2"/>
      </w:pPr>
      <w:r>
        <w:rPr>
          <w:rFonts w:ascii="黑体" w:hAnsi="黑体" w:eastAsia="黑体"/>
          <w:sz w:val="32"/>
        </w:rPr>
        <w:t>二、收入决算情况说明</w:t>
      </w:r>
    </w:p>
    <w:p w14:paraId="756CD97F">
      <w:pPr>
        <w:spacing w:line="580" w:lineRule="exact"/>
        <w:ind w:firstLine="640"/>
        <w:jc w:val="both"/>
      </w:pPr>
      <w:r>
        <w:rPr>
          <w:rFonts w:ascii="仿宋_GB2312" w:hAnsi="仿宋_GB2312" w:eastAsia="仿宋_GB2312"/>
          <w:b/>
          <w:sz w:val="32"/>
        </w:rPr>
        <w:t>本年收入6,260.39万元，</w:t>
      </w:r>
      <w:r>
        <w:rPr>
          <w:rFonts w:ascii="仿宋_GB2312" w:hAnsi="仿宋_GB2312" w:eastAsia="仿宋_GB2312"/>
          <w:b w:val="0"/>
          <w:sz w:val="32"/>
        </w:rPr>
        <w:t>其中：财政拨款收入5,480.71万元，占87.55%；上级补助收入0.00万元，占0.00%；事业收入0.00万元，占0.00%；经营收入0.00万元，占0.00%；附属单位上缴收入0.00万元，占0.00%；其他收入779.68万元，占12.45%。</w:t>
      </w:r>
    </w:p>
    <w:p w14:paraId="6235D723">
      <w:pPr>
        <w:spacing w:line="640" w:lineRule="exact"/>
        <w:ind w:firstLine="640"/>
        <w:jc w:val="both"/>
        <w:outlineLvl w:val="2"/>
      </w:pPr>
      <w:r>
        <w:rPr>
          <w:rFonts w:ascii="黑体" w:hAnsi="黑体" w:eastAsia="黑体"/>
          <w:sz w:val="32"/>
        </w:rPr>
        <w:t>三、支出决算情况说明</w:t>
      </w:r>
    </w:p>
    <w:p w14:paraId="1DEF5E17">
      <w:pPr>
        <w:spacing w:line="580" w:lineRule="exact"/>
        <w:ind w:firstLine="640"/>
        <w:jc w:val="both"/>
      </w:pPr>
      <w:r>
        <w:rPr>
          <w:rFonts w:ascii="仿宋_GB2312" w:hAnsi="仿宋_GB2312" w:eastAsia="仿宋_GB2312"/>
          <w:b/>
          <w:sz w:val="32"/>
        </w:rPr>
        <w:t>本年支出6,260.39万元，</w:t>
      </w:r>
      <w:r>
        <w:rPr>
          <w:rFonts w:ascii="仿宋_GB2312" w:hAnsi="仿宋_GB2312" w:eastAsia="仿宋_GB2312"/>
          <w:b w:val="0"/>
          <w:sz w:val="32"/>
        </w:rPr>
        <w:t>其中：基本支出2,403.08万元，占38.39%；项目支出3,857.31万元，占61.61%；上缴上级支出0.00万元，占0.00%；经营支出0.00万元，占0.00%；对附属单位补助支出0.00万元，占0.00%。</w:t>
      </w:r>
    </w:p>
    <w:p w14:paraId="7B701C98">
      <w:pPr>
        <w:spacing w:line="640" w:lineRule="exact"/>
        <w:ind w:firstLine="640"/>
        <w:jc w:val="both"/>
        <w:outlineLvl w:val="2"/>
      </w:pPr>
      <w:r>
        <w:rPr>
          <w:rFonts w:ascii="黑体" w:hAnsi="黑体" w:eastAsia="黑体"/>
          <w:sz w:val="32"/>
        </w:rPr>
        <w:t>四、财政拨款收入支出决算总体情况说明</w:t>
      </w:r>
    </w:p>
    <w:p w14:paraId="04A89810">
      <w:pPr>
        <w:spacing w:line="580" w:lineRule="exact"/>
        <w:ind w:firstLine="640"/>
        <w:jc w:val="both"/>
      </w:pPr>
      <w:r>
        <w:rPr>
          <w:rFonts w:ascii="仿宋_GB2312" w:hAnsi="仿宋_GB2312" w:eastAsia="仿宋_GB2312"/>
          <w:b/>
          <w:sz w:val="32"/>
        </w:rPr>
        <w:t>2024年度财政拨款收入总计5,480.71万元，</w:t>
      </w:r>
      <w:r>
        <w:rPr>
          <w:rFonts w:ascii="仿宋_GB2312" w:hAnsi="仿宋_GB2312" w:eastAsia="仿宋_GB2312"/>
          <w:b w:val="0"/>
          <w:sz w:val="32"/>
        </w:rPr>
        <w:t>其中：年初财政拨款结转和结余0.00万元，本年财政拨款收入5,480.71万元。</w:t>
      </w:r>
      <w:r>
        <w:rPr>
          <w:rFonts w:ascii="仿宋_GB2312" w:hAnsi="仿宋_GB2312" w:eastAsia="仿宋_GB2312"/>
          <w:b/>
          <w:sz w:val="32"/>
        </w:rPr>
        <w:t>财政拨款支出总计5,480.71万元，</w:t>
      </w:r>
      <w:r>
        <w:rPr>
          <w:rFonts w:ascii="仿宋_GB2312" w:hAnsi="仿宋_GB2312" w:eastAsia="仿宋_GB2312"/>
          <w:b w:val="0"/>
          <w:sz w:val="32"/>
        </w:rPr>
        <w:t>其中：年末财政拨款结转和结余0.00万元，本年财政拨款支出5,480.71万元。</w:t>
      </w:r>
    </w:p>
    <w:p w14:paraId="2094657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减少1,981.14万元，下降26.55%，主要原因是：本年减少叶城县2024年伯西热克镇16村示范村乡村建设项目、减少伯西热克镇17村防渗渠建设。</w:t>
      </w:r>
      <w:r>
        <w:rPr>
          <w:rFonts w:ascii="仿宋_GB2312" w:hAnsi="仿宋_GB2312" w:eastAsia="仿宋_GB2312"/>
          <w:b/>
          <w:sz w:val="32"/>
        </w:rPr>
        <w:t>与年初预算相比，</w:t>
      </w:r>
      <w:r>
        <w:rPr>
          <w:rFonts w:ascii="仿宋_GB2312" w:hAnsi="仿宋_GB2312" w:eastAsia="仿宋_GB2312"/>
          <w:b w:val="0"/>
          <w:sz w:val="32"/>
        </w:rPr>
        <w:t>年初预算数2,905.76万元，决算数5,480.71万元，预决算差异率88.62%，主要原因是：年中追加人员工资、社保、公积金基数调增部分资金及本年追加2024年综合发展与环境改善工程项目、叶城县2024年伯西热克镇就业产业园附属配套项目、叶城县2024年伯西热克镇种植业基地配套建设项目、叶城县2024年伯西热克镇16村示范村乡村建设项目、叶城县2024年伯西热克镇林粮间作节水设施配套项目、叶城县2024年伯西热克镇19村示范村乡村建设项目。</w:t>
      </w:r>
    </w:p>
    <w:p w14:paraId="5FFA6B51">
      <w:pPr>
        <w:spacing w:line="640" w:lineRule="exact"/>
        <w:ind w:firstLine="640"/>
        <w:jc w:val="both"/>
        <w:outlineLvl w:val="2"/>
      </w:pPr>
      <w:r>
        <w:rPr>
          <w:rFonts w:ascii="黑体" w:hAnsi="黑体" w:eastAsia="黑体"/>
          <w:sz w:val="32"/>
        </w:rPr>
        <w:t>五、一般公共预算财政拨款支出决算情况说明</w:t>
      </w:r>
    </w:p>
    <w:p w14:paraId="3B488084">
      <w:pPr>
        <w:spacing w:line="640" w:lineRule="exact"/>
        <w:ind w:firstLine="640"/>
        <w:jc w:val="both"/>
        <w:outlineLvl w:val="3"/>
      </w:pPr>
      <w:r>
        <w:rPr>
          <w:rFonts w:ascii="楷体_GB2312" w:hAnsi="楷体_GB2312" w:eastAsia="楷体_GB2312"/>
          <w:b/>
          <w:sz w:val="32"/>
        </w:rPr>
        <w:t>（一）一般公共预算财政拨款支出决算总体情况</w:t>
      </w:r>
    </w:p>
    <w:p w14:paraId="2C6E548C">
      <w:pPr>
        <w:spacing w:line="580" w:lineRule="exact"/>
        <w:ind w:firstLine="640"/>
        <w:jc w:val="both"/>
      </w:pPr>
      <w:r>
        <w:rPr>
          <w:rFonts w:ascii="仿宋_GB2312" w:hAnsi="仿宋_GB2312" w:eastAsia="仿宋_GB2312"/>
          <w:b/>
          <w:sz w:val="32"/>
        </w:rPr>
        <w:t>2024年度一般公共预算财政拨款支出5,480.71万元，</w:t>
      </w:r>
      <w:r>
        <w:rPr>
          <w:rFonts w:ascii="仿宋_GB2312" w:hAnsi="仿宋_GB2312" w:eastAsia="仿宋_GB2312"/>
          <w:b w:val="0"/>
          <w:sz w:val="32"/>
        </w:rPr>
        <w:t>占本年支出合计的87.55%。</w:t>
      </w:r>
      <w:r>
        <w:rPr>
          <w:rFonts w:ascii="仿宋_GB2312" w:hAnsi="仿宋_GB2312" w:eastAsia="仿宋_GB2312"/>
          <w:b/>
          <w:sz w:val="32"/>
        </w:rPr>
        <w:t>与上年相比，</w:t>
      </w:r>
      <w:r>
        <w:rPr>
          <w:rFonts w:ascii="仿宋_GB2312" w:hAnsi="仿宋_GB2312" w:eastAsia="仿宋_GB2312"/>
          <w:b w:val="0"/>
          <w:sz w:val="32"/>
        </w:rPr>
        <w:t>减少1,955.14万元，下降26.29%，主要原因是：本年减少叶城县2024年伯西热克镇16村示范村乡村建设项目、减少伯西热克镇17村防渗渠建设。</w:t>
      </w:r>
      <w:r>
        <w:rPr>
          <w:rFonts w:ascii="仿宋_GB2312" w:hAnsi="仿宋_GB2312" w:eastAsia="仿宋_GB2312"/>
          <w:b/>
          <w:sz w:val="32"/>
        </w:rPr>
        <w:t>与年初预算相比,</w:t>
      </w:r>
      <w:r>
        <w:rPr>
          <w:rFonts w:ascii="仿宋_GB2312" w:hAnsi="仿宋_GB2312" w:eastAsia="仿宋_GB2312"/>
          <w:b w:val="0"/>
          <w:sz w:val="32"/>
        </w:rPr>
        <w:t>年初预算数2,905.76万元，决算数5,480.71万元，预决算差异率88.62%，主要原因是：年中追加人员工资、社保、公积金基数调增部分资金及本年追加2024年综合发展与环境改善工程项目、叶城县2024年伯西热克镇就业产业园附属配套项目、叶城县2024年伯西热克镇种植业基地配套建设项目、叶城县2024年伯西热克镇16村示范村乡村建设项目、叶城县2024年伯西热克镇林粮间作节水设施配套项目、叶城县2024年伯西热克镇19村示范村乡村建设项目。</w:t>
      </w:r>
    </w:p>
    <w:p w14:paraId="024ADE3C">
      <w:pPr>
        <w:spacing w:line="640" w:lineRule="exact"/>
        <w:ind w:firstLine="640"/>
        <w:jc w:val="both"/>
        <w:outlineLvl w:val="3"/>
      </w:pPr>
      <w:r>
        <w:rPr>
          <w:rFonts w:ascii="楷体_GB2312" w:hAnsi="楷体_GB2312" w:eastAsia="楷体_GB2312"/>
          <w:b/>
          <w:sz w:val="32"/>
        </w:rPr>
        <w:t>（二）一般公共预算财政拨款支出决算结构情况</w:t>
      </w:r>
    </w:p>
    <w:p w14:paraId="7CF16FC4">
      <w:pPr>
        <w:spacing w:line="580" w:lineRule="exact"/>
        <w:ind w:firstLine="640"/>
        <w:jc w:val="both"/>
      </w:pPr>
      <w:r>
        <w:rPr>
          <w:rFonts w:ascii="仿宋_GB2312" w:hAnsi="仿宋_GB2312" w:eastAsia="仿宋_GB2312"/>
          <w:b w:val="0"/>
          <w:sz w:val="32"/>
        </w:rPr>
        <w:t>1.一般公共服务支出(类)2,150.65万元,占39.24%。</w:t>
      </w:r>
    </w:p>
    <w:p w14:paraId="28FB9E71">
      <w:pPr>
        <w:spacing w:line="580" w:lineRule="exact"/>
        <w:ind w:firstLine="640"/>
        <w:jc w:val="both"/>
      </w:pPr>
      <w:r>
        <w:rPr>
          <w:rFonts w:ascii="仿宋_GB2312" w:hAnsi="仿宋_GB2312" w:eastAsia="仿宋_GB2312"/>
          <w:b w:val="0"/>
          <w:sz w:val="32"/>
        </w:rPr>
        <w:t>2.公共安全支出(类)6.00万元,占0.11%。</w:t>
      </w:r>
    </w:p>
    <w:p w14:paraId="6EE20A48">
      <w:pPr>
        <w:spacing w:line="580" w:lineRule="exact"/>
        <w:ind w:firstLine="640"/>
        <w:jc w:val="both"/>
      </w:pPr>
      <w:r>
        <w:rPr>
          <w:rFonts w:ascii="仿宋_GB2312" w:hAnsi="仿宋_GB2312" w:eastAsia="仿宋_GB2312"/>
          <w:b w:val="0"/>
          <w:sz w:val="32"/>
        </w:rPr>
        <w:t>3.文化旅游体育与传媒支出(类)27.37万元,占0.50%。</w:t>
      </w:r>
    </w:p>
    <w:p w14:paraId="55079929">
      <w:pPr>
        <w:spacing w:line="580" w:lineRule="exact"/>
        <w:ind w:firstLine="640"/>
        <w:jc w:val="both"/>
      </w:pPr>
      <w:r>
        <w:rPr>
          <w:rFonts w:ascii="仿宋_GB2312" w:hAnsi="仿宋_GB2312" w:eastAsia="仿宋_GB2312"/>
          <w:b w:val="0"/>
          <w:sz w:val="32"/>
        </w:rPr>
        <w:t>4.社会保障和就业支出(类)279.33万元,占5.10%。</w:t>
      </w:r>
    </w:p>
    <w:p w14:paraId="49298A65">
      <w:pPr>
        <w:spacing w:line="580" w:lineRule="exact"/>
        <w:ind w:firstLine="640"/>
        <w:jc w:val="both"/>
      </w:pPr>
      <w:r>
        <w:rPr>
          <w:rFonts w:ascii="仿宋_GB2312" w:hAnsi="仿宋_GB2312" w:eastAsia="仿宋_GB2312"/>
          <w:b w:val="0"/>
          <w:sz w:val="32"/>
        </w:rPr>
        <w:t>5.卫生健康支出(类)124.88万元,占2.28%。</w:t>
      </w:r>
    </w:p>
    <w:p w14:paraId="61BFECC3">
      <w:pPr>
        <w:spacing w:line="580" w:lineRule="exact"/>
        <w:ind w:firstLine="640"/>
        <w:jc w:val="both"/>
      </w:pPr>
      <w:r>
        <w:rPr>
          <w:rFonts w:ascii="仿宋_GB2312" w:hAnsi="仿宋_GB2312" w:eastAsia="仿宋_GB2312"/>
          <w:b w:val="0"/>
          <w:sz w:val="32"/>
        </w:rPr>
        <w:t>6.节能环保支出(类)1.85万元,占0.03%。</w:t>
      </w:r>
    </w:p>
    <w:p w14:paraId="30B1E303">
      <w:pPr>
        <w:spacing w:line="580" w:lineRule="exact"/>
        <w:ind w:firstLine="640"/>
        <w:jc w:val="both"/>
      </w:pPr>
      <w:r>
        <w:rPr>
          <w:rFonts w:ascii="仿宋_GB2312" w:hAnsi="仿宋_GB2312" w:eastAsia="仿宋_GB2312"/>
          <w:b w:val="0"/>
          <w:sz w:val="32"/>
        </w:rPr>
        <w:t>7.城乡社区支出(类)58.11万元,占1.06%。</w:t>
      </w:r>
    </w:p>
    <w:p w14:paraId="650AB69C">
      <w:pPr>
        <w:spacing w:line="580" w:lineRule="exact"/>
        <w:ind w:firstLine="640"/>
        <w:jc w:val="both"/>
      </w:pPr>
      <w:r>
        <w:rPr>
          <w:rFonts w:ascii="仿宋_GB2312" w:hAnsi="仿宋_GB2312" w:eastAsia="仿宋_GB2312"/>
          <w:b w:val="0"/>
          <w:sz w:val="32"/>
        </w:rPr>
        <w:t>8.农林水支出(类)2,643.02万元,占48.22%。</w:t>
      </w:r>
    </w:p>
    <w:p w14:paraId="1ABC7D99">
      <w:pPr>
        <w:spacing w:line="580" w:lineRule="exact"/>
        <w:ind w:firstLine="640"/>
        <w:jc w:val="both"/>
      </w:pPr>
      <w:r>
        <w:rPr>
          <w:rFonts w:ascii="仿宋_GB2312" w:hAnsi="仿宋_GB2312" w:eastAsia="仿宋_GB2312"/>
          <w:b w:val="0"/>
          <w:sz w:val="32"/>
        </w:rPr>
        <w:t>9.交通运输支出(类)0.12万元,占0.002%。</w:t>
      </w:r>
    </w:p>
    <w:p w14:paraId="55FEB07A">
      <w:pPr>
        <w:spacing w:line="580" w:lineRule="exact"/>
        <w:ind w:firstLine="640"/>
        <w:jc w:val="both"/>
      </w:pPr>
      <w:r>
        <w:rPr>
          <w:rFonts w:ascii="仿宋_GB2312" w:hAnsi="仿宋_GB2312" w:eastAsia="仿宋_GB2312"/>
          <w:b w:val="0"/>
          <w:sz w:val="32"/>
        </w:rPr>
        <w:t>10.住房保障支出(类)189.38万元,占3.46%。</w:t>
      </w:r>
    </w:p>
    <w:p w14:paraId="351B09E4">
      <w:pPr>
        <w:spacing w:line="640" w:lineRule="exact"/>
        <w:ind w:firstLine="640"/>
        <w:jc w:val="both"/>
        <w:outlineLvl w:val="3"/>
      </w:pPr>
      <w:r>
        <w:rPr>
          <w:rFonts w:ascii="楷体_GB2312" w:hAnsi="楷体_GB2312" w:eastAsia="楷体_GB2312"/>
          <w:b/>
          <w:sz w:val="32"/>
        </w:rPr>
        <w:t>（三）一般公共预算财政拨款支出决算具体情况</w:t>
      </w:r>
    </w:p>
    <w:p w14:paraId="7C7320C1">
      <w:pPr>
        <w:spacing w:line="580" w:lineRule="exact"/>
        <w:ind w:firstLine="640"/>
        <w:jc w:val="both"/>
      </w:pPr>
      <w:r>
        <w:rPr>
          <w:rFonts w:ascii="仿宋_GB2312" w:hAnsi="仿宋_GB2312" w:eastAsia="仿宋_GB2312"/>
          <w:b w:val="0"/>
          <w:sz w:val="32"/>
        </w:rPr>
        <w:t>1.一般公共服务支出(类)人大事务(款)代表工作(项):支出决算数为0.24万元，比上年决算减少4.76万元，下降95.20%,主要原因是：本年减少自治区人大代表活动经费。</w:t>
      </w:r>
    </w:p>
    <w:p w14:paraId="4F6B5CB0">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2.一般公共服务支出(类)人大事务(款)其他人大事务支出(项):支出决算数为0.00万元，比上年决算减少3.13万元，下降100.00%,主要原因是：本年减少自治区人大代表活动经费项目。</w:t>
      </w:r>
    </w:p>
    <w:p w14:paraId="6B0B4E7D">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3.一般公共服务支出(类)政府办公厅（室）及相关机构事务(款)行政运行(项):支出决算数为1,814.49万元，比上年决算减少24.87万元，下降1.35%,主要原因是：本年减少专项公用经费项目经费。</w:t>
      </w:r>
    </w:p>
    <w:p w14:paraId="161D1C64">
      <w:pPr>
        <w:spacing w:line="580" w:lineRule="exact"/>
        <w:ind w:firstLine="640"/>
        <w:jc w:val="both"/>
      </w:pPr>
      <w:r>
        <w:rPr>
          <w:rFonts w:ascii="仿宋_GB2312" w:hAnsi="仿宋_GB2312" w:eastAsia="仿宋_GB2312"/>
          <w:b w:val="0"/>
          <w:sz w:val="32"/>
        </w:rPr>
        <w:t>4.一般公共服务支出(类)政府办公厅（室）及相关机构事务(款)一般行政管理事务(项):支出决算数为58.68万元，比上年决算增加28.68万元，增长95.60%,主要原因是：本年度增加纪检经费。</w:t>
      </w:r>
    </w:p>
    <w:p w14:paraId="4FDE5591">
      <w:pPr>
        <w:spacing w:line="580" w:lineRule="exact"/>
        <w:ind w:firstLine="640"/>
        <w:jc w:val="both"/>
      </w:pPr>
      <w:r>
        <w:rPr>
          <w:rFonts w:ascii="仿宋_GB2312" w:hAnsi="仿宋_GB2312" w:eastAsia="仿宋_GB2312"/>
          <w:b w:val="0"/>
          <w:sz w:val="32"/>
        </w:rPr>
        <w:t>5.一般公共服务支出(类)纪检监察事务(款)其他纪检监察事务支出(项):支出决算数为2.00万元，比上年决算增加1.00万元，增长100.00%,主要原因是：本年度增加中央政法纪检监察转移支付资金。</w:t>
      </w:r>
    </w:p>
    <w:p w14:paraId="60219924">
      <w:pPr>
        <w:spacing w:line="580" w:lineRule="exact"/>
        <w:ind w:firstLine="640"/>
        <w:jc w:val="both"/>
      </w:pPr>
      <w:r>
        <w:rPr>
          <w:rFonts w:ascii="仿宋_GB2312" w:hAnsi="仿宋_GB2312" w:eastAsia="仿宋_GB2312"/>
          <w:b w:val="0"/>
          <w:sz w:val="32"/>
        </w:rPr>
        <w:t>6.一般公共服务支出(类)组织事务(款)其他组织事务支出(项):支出决算数为273.23万元，比上年决算减少44.36万元，下降13.97%,主要原因是：本年减少村级运转经费。</w:t>
      </w:r>
    </w:p>
    <w:p w14:paraId="416EDE09">
      <w:pPr>
        <w:spacing w:line="580" w:lineRule="exact"/>
        <w:ind w:firstLine="640"/>
        <w:jc w:val="both"/>
      </w:pPr>
      <w:r>
        <w:rPr>
          <w:rFonts w:ascii="仿宋_GB2312" w:hAnsi="仿宋_GB2312" w:eastAsia="仿宋_GB2312"/>
          <w:b w:val="0"/>
          <w:sz w:val="32"/>
        </w:rPr>
        <w:t>7.一般公共服务支出(类)统战事务(款)宗教事务(项):支出决算数为1.00万元，比上年决算增加1.00万元，增长100.00%,主要原因是：本年度增加伯西热克镇2024年管委会活动场所修缮经费。</w:t>
      </w:r>
    </w:p>
    <w:p w14:paraId="7701E207">
      <w:pPr>
        <w:spacing w:line="580" w:lineRule="exact"/>
        <w:ind w:firstLine="640"/>
        <w:jc w:val="both"/>
      </w:pPr>
      <w:r>
        <w:rPr>
          <w:rFonts w:ascii="仿宋_GB2312" w:hAnsi="仿宋_GB2312" w:eastAsia="仿宋_GB2312"/>
          <w:b w:val="0"/>
          <w:sz w:val="32"/>
        </w:rPr>
        <w:t>8.一般公共服务支出(类)统战事务(款)其他统战事务支出(项):支出决算数为1.00万元，比上年决算减少10.60万元，下降91.38%,主要原因是：本年减少2023年管委会工作经费。</w:t>
      </w:r>
    </w:p>
    <w:p w14:paraId="3AC19D3E">
      <w:pPr>
        <w:spacing w:line="580" w:lineRule="exact"/>
        <w:ind w:firstLine="640"/>
        <w:jc w:val="both"/>
      </w:pPr>
      <w:r>
        <w:rPr>
          <w:rFonts w:ascii="仿宋_GB2312" w:hAnsi="仿宋_GB2312" w:eastAsia="仿宋_GB2312"/>
          <w:b w:val="0"/>
          <w:sz w:val="32"/>
        </w:rPr>
        <w:t>9.公共安全支出(类)其他公共安全支出(款)其他公共安全支出(项):支出决算数为6.00万元，比上年决算减少4.00万元，下降40.00%,主要原因是：本年度减少奖励工作经费项目及转移支付资金。</w:t>
      </w:r>
    </w:p>
    <w:p w14:paraId="7BA17EB5">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10.文化旅游体育与传媒支出(类)文化和旅游(款)其他文化和旅游支出(项):支出决算数为0.50万元，比上年决算减少4.50万元，下降90.00%,主要原因是：本年减少2023年文化站免费开放补助资金。</w:t>
      </w:r>
    </w:p>
    <w:p w14:paraId="333C07A7">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26.87万元，比上年决算减少14.27万元，下降34.69%,主要原因是：本年减少中央补助地方公共文化服务体系建设补助资金。</w:t>
      </w:r>
    </w:p>
    <w:p w14:paraId="6E01BFAA">
      <w:pPr>
        <w:spacing w:line="580" w:lineRule="exact"/>
        <w:ind w:firstLine="640"/>
        <w:jc w:val="both"/>
      </w:pPr>
      <w:r>
        <w:rPr>
          <w:rFonts w:ascii="仿宋_GB2312" w:hAnsi="仿宋_GB2312" w:eastAsia="仿宋_GB2312"/>
          <w:b w:val="0"/>
          <w:sz w:val="32"/>
        </w:rPr>
        <w:t>12.社会保障和就业支出(类)民政管理事务(款)其他民政管理事务支出(项):支出决算数为5.00万元，比上年决算增加0.00万元，增长0.00%,主要原因是：自治区农村幸福大院补助资金与上年一致，无变化。</w:t>
      </w:r>
    </w:p>
    <w:p w14:paraId="430BABBB">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13.社会保障和就业支出(类)行政事业单位养老支出(款)行政单位离退休(项):支出决算数为33.72万元，比上年决算增加9.53万元，增长39.40%,主要原因是：本年新增退休人员，行政单位离退休经费增加。</w:t>
      </w:r>
    </w:p>
    <w:p w14:paraId="650BFCD4">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240.61万元，比上年决算增加72.35万元，增长43.00%,主要原因是：本年在职人员工资基数调增，养老缴费基数上涨，相应支出增加。</w:t>
      </w:r>
    </w:p>
    <w:p w14:paraId="6AD07F16">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0.00万元，比上年决算减少7.03万元，下降100.00%,主要原因是：本年未安排职业年金支出，新增退休人员的职业年金下年发放，导致经费较上年减少。</w:t>
      </w:r>
    </w:p>
    <w:p w14:paraId="1C8BDBA9">
      <w:pPr>
        <w:spacing w:line="580" w:lineRule="exact"/>
        <w:ind w:firstLine="640"/>
        <w:jc w:val="both"/>
      </w:pPr>
      <w:r>
        <w:rPr>
          <w:rFonts w:ascii="仿宋_GB2312" w:hAnsi="仿宋_GB2312" w:eastAsia="仿宋_GB2312"/>
          <w:b w:val="0"/>
          <w:sz w:val="32"/>
        </w:rPr>
        <w:t>16.社会保障和就业支出(类)抚恤(款)死亡抚恤(项):支出决算数为0.00万元，比上年决算减少26.28万元，下降100.00%,主要原因是：本年无死亡人员，无死亡抚恤金支出。</w:t>
      </w:r>
    </w:p>
    <w:p w14:paraId="2D5E37F7">
      <w:pPr>
        <w:spacing w:line="580" w:lineRule="exact"/>
        <w:ind w:firstLine="640"/>
        <w:jc w:val="both"/>
      </w:pPr>
      <w:r>
        <w:rPr>
          <w:rFonts w:ascii="仿宋_GB2312" w:hAnsi="仿宋_GB2312" w:eastAsia="仿宋_GB2312"/>
          <w:b w:val="0"/>
          <w:sz w:val="32"/>
        </w:rPr>
        <w:t>17.卫生健康支出(类)行政事业单位医疗(款)行政单位医疗(项):支出决算数为102.26万元，比上年决算增加30.42万元，增长42.34%,主要原因是：本年在职人员工资基数调增，医疗缴费基数上涨，行政单位医疗相应支出增加。</w:t>
      </w:r>
    </w:p>
    <w:p w14:paraId="1C09D8E4">
      <w:pPr>
        <w:spacing w:line="580" w:lineRule="exact"/>
        <w:ind w:firstLine="640"/>
        <w:jc w:val="both"/>
      </w:pPr>
      <w:r>
        <w:rPr>
          <w:rFonts w:ascii="仿宋_GB2312" w:hAnsi="仿宋_GB2312" w:eastAsia="仿宋_GB2312"/>
          <w:b w:val="0"/>
          <w:sz w:val="32"/>
        </w:rPr>
        <w:t>18.卫生健康支出(类)行政事业单位医疗(款)公务员医疗补助(项):支出决算数为22.62万元，比上年决算增加6.17万元，增长37.51%,主要原因是：本年在职人员工资基数调增，医疗缴费基数上涨，公务员医疗补助支出增加。</w:t>
      </w:r>
    </w:p>
    <w:p w14:paraId="499D0ED5">
      <w:pPr>
        <w:spacing w:line="580" w:lineRule="exact"/>
        <w:ind w:firstLine="640"/>
        <w:jc w:val="both"/>
      </w:pPr>
      <w:r>
        <w:rPr>
          <w:rFonts w:ascii="仿宋_GB2312" w:hAnsi="仿宋_GB2312" w:eastAsia="仿宋_GB2312"/>
          <w:b w:val="0"/>
          <w:sz w:val="32"/>
        </w:rPr>
        <w:t>19.节能环保支出(类)自然生态保护(款)自然保护地(项):支出决算数为1.85万元，比上年决算减少6.39万元，下降77.55%,主要原因是：本年减少伯西热克镇17村防渗渠建设。</w:t>
      </w:r>
    </w:p>
    <w:p w14:paraId="6E73A01B">
      <w:pPr>
        <w:spacing w:line="580" w:lineRule="exact"/>
        <w:ind w:firstLine="640"/>
        <w:jc w:val="both"/>
      </w:pPr>
      <w:r>
        <w:rPr>
          <w:rFonts w:ascii="仿宋_GB2312" w:hAnsi="仿宋_GB2312" w:eastAsia="仿宋_GB2312"/>
          <w:b w:val="0"/>
          <w:sz w:val="32"/>
        </w:rPr>
        <w:t>20.城乡社区支出(类)城乡社区公共设施(款)其他城乡社区公共设施支出(项):支出决算数为58.11万元，比上年决算增加58.11万元，增长100.00%,主要原因是：本年增加叶城县2023年综合发展与环境改善工程项目。</w:t>
      </w:r>
    </w:p>
    <w:p w14:paraId="00832CD7">
      <w:pPr>
        <w:spacing w:line="580" w:lineRule="exact"/>
        <w:ind w:firstLine="640"/>
        <w:jc w:val="both"/>
      </w:pPr>
      <w:r>
        <w:rPr>
          <w:rFonts w:ascii="仿宋_GB2312" w:hAnsi="仿宋_GB2312" w:eastAsia="仿宋_GB2312"/>
          <w:b w:val="0"/>
          <w:sz w:val="32"/>
        </w:rPr>
        <w:t>21.农林水支出(类)农业农村(款)行政运行(项):支出决算数为0.00万元，比上年决算减少63.11万元，下降100.00%,主要原因是：本年科目调整，津贴补贴上年单独列支，本年在一般公共服务支出(类)政府办公厅（室）及相关机构事务(款)行政运行(项)科目列支，经费减少。</w:t>
      </w:r>
    </w:p>
    <w:p w14:paraId="0E771A56">
      <w:pPr>
        <w:spacing w:line="580" w:lineRule="exact"/>
        <w:ind w:firstLine="640"/>
        <w:jc w:val="both"/>
      </w:pPr>
      <w:r>
        <w:rPr>
          <w:rFonts w:ascii="仿宋_GB2312" w:hAnsi="仿宋_GB2312" w:eastAsia="仿宋_GB2312"/>
          <w:b w:val="0"/>
          <w:sz w:val="32"/>
        </w:rPr>
        <w:t>22.农林水支出(类)巩固脱贫攻坚成果衔接乡村振兴(款)农村基础设施建设(项):支出决算数为24.52万元，比上年决算减少41.28万元，下降62.74%,主要原因是：本年减少佰西热克乡生活垃圾处理设施建设项目、核桃嫁接改优项目、2村建设项目、9村重点村示范村项目，肉羊养殖小区改造成牛奶养殖建设项目、葡萄园建设等项目。</w:t>
      </w:r>
    </w:p>
    <w:p w14:paraId="4CE0D360">
      <w:pPr>
        <w:spacing w:line="580" w:lineRule="exact"/>
        <w:ind w:firstLine="640"/>
        <w:jc w:val="both"/>
      </w:pPr>
      <w:r>
        <w:rPr>
          <w:rFonts w:ascii="仿宋_GB2312" w:hAnsi="仿宋_GB2312" w:eastAsia="仿宋_GB2312"/>
          <w:b w:val="0"/>
          <w:sz w:val="32"/>
        </w:rPr>
        <w:t>23.农林水支出(类)巩固脱贫攻坚成果衔接乡村振兴(款)生产发展(项):支出决算数为2,488.15万元，比上年决算减少1,749.47万元，下降41.28%,主要原因是：本年减少叶城县2024年伯西热克镇16村示范村乡村建设项目。</w:t>
      </w:r>
    </w:p>
    <w:p w14:paraId="49186A79">
      <w:pPr>
        <w:spacing w:line="580" w:lineRule="exact"/>
        <w:ind w:firstLine="640"/>
        <w:jc w:val="both"/>
      </w:pPr>
      <w:r>
        <w:rPr>
          <w:rFonts w:ascii="仿宋_GB2312" w:hAnsi="仿宋_GB2312" w:eastAsia="仿宋_GB2312"/>
          <w:b w:val="0"/>
          <w:sz w:val="32"/>
        </w:rPr>
        <w:t>24.农林水支出(类)农村综合改革(款)对村级公益事业建设的补助(项):支出决算数为125.00万元，比上年决算增加125.00万元，增长100.00%,主要原因是：本年增加伯西热克镇12村2024年中央综改农村公益事业财政奖补资金项目。</w:t>
      </w:r>
    </w:p>
    <w:p w14:paraId="254648A7">
      <w:pPr>
        <w:spacing w:line="580" w:lineRule="exact"/>
        <w:ind w:firstLine="640"/>
        <w:jc w:val="both"/>
      </w:pPr>
      <w:r>
        <w:rPr>
          <w:rFonts w:ascii="仿宋_GB2312" w:hAnsi="仿宋_GB2312" w:eastAsia="仿宋_GB2312"/>
          <w:b w:val="0"/>
          <w:sz w:val="32"/>
        </w:rPr>
        <w:t>25.农林水支出(类)其他农林水支出(款)其他农林水支出(项):支出决算数为5.35万元，比上年决算减少346.60万元，下降98.48%,主要原因是：本年减少伯西热克镇17村防渗渠建设</w:t>
      </w:r>
      <w:r>
        <w:rPr>
          <w:rFonts w:hint="eastAsia" w:ascii="仿宋_GB2312" w:hAnsi="仿宋_GB2312" w:eastAsia="仿宋_GB2312"/>
          <w:b w:val="0"/>
          <w:sz w:val="32"/>
          <w:lang w:val="en-US" w:eastAsia="zh-CN"/>
        </w:rPr>
        <w:t>资金</w:t>
      </w:r>
      <w:r>
        <w:rPr>
          <w:rFonts w:ascii="仿宋_GB2312" w:hAnsi="仿宋_GB2312" w:eastAsia="仿宋_GB2312"/>
          <w:b w:val="0"/>
          <w:sz w:val="32"/>
        </w:rPr>
        <w:t>。</w:t>
      </w:r>
    </w:p>
    <w:p w14:paraId="78A6CA69">
      <w:pPr>
        <w:spacing w:line="580" w:lineRule="exact"/>
        <w:ind w:firstLine="640"/>
        <w:jc w:val="both"/>
      </w:pPr>
      <w:r>
        <w:rPr>
          <w:rFonts w:ascii="仿宋_GB2312" w:hAnsi="仿宋_GB2312" w:eastAsia="仿宋_GB2312"/>
          <w:b w:val="0"/>
          <w:sz w:val="32"/>
        </w:rPr>
        <w:t>26.交通运输支出(类)邮政业支出(款)邮政普遍服务与特殊服务(项):支出决算数为0.12万元，比上年决算增加0.00万元，增长0.00%,主要原因是：本年农牧区投递员专项补贴项目与上年一致无差异。</w:t>
      </w:r>
    </w:p>
    <w:p w14:paraId="62DD53EE">
      <w:pPr>
        <w:spacing w:line="580" w:lineRule="exact"/>
        <w:ind w:firstLine="640"/>
        <w:jc w:val="both"/>
      </w:pPr>
      <w:r>
        <w:rPr>
          <w:rFonts w:ascii="仿宋_GB2312" w:hAnsi="仿宋_GB2312" w:eastAsia="仿宋_GB2312"/>
          <w:b w:val="0"/>
          <w:sz w:val="32"/>
        </w:rPr>
        <w:t>27.住房保障支出(类)住房改革支出(款)住房公积金(项):支出决算数为189.38万元，比上年决算增加63.23万元，增长50.12%,主要原因是：本年在职人员工资基数调增，公积金缴费基数上涨，相应支出增加。</w:t>
      </w:r>
    </w:p>
    <w:p w14:paraId="3E27F2A6">
      <w:pPr>
        <w:spacing w:line="640" w:lineRule="exact"/>
        <w:ind w:firstLine="640"/>
        <w:jc w:val="both"/>
        <w:outlineLvl w:val="2"/>
      </w:pPr>
      <w:r>
        <w:rPr>
          <w:rFonts w:ascii="黑体" w:hAnsi="黑体" w:eastAsia="黑体"/>
          <w:sz w:val="32"/>
        </w:rPr>
        <w:t>六、一般公共预算财政拨款基本支出决算情况说明</w:t>
      </w:r>
    </w:p>
    <w:p w14:paraId="0262126D">
      <w:pPr>
        <w:spacing w:line="580" w:lineRule="exact"/>
        <w:ind w:firstLine="640"/>
        <w:jc w:val="both"/>
      </w:pPr>
      <w:r>
        <w:rPr>
          <w:rFonts w:ascii="仿宋_GB2312" w:hAnsi="仿宋_GB2312" w:eastAsia="仿宋_GB2312"/>
          <w:b w:val="0"/>
          <w:sz w:val="32"/>
        </w:rPr>
        <w:t>2024年度一般公共预算财政拨款基本支出2,403.08万元，其中：</w:t>
      </w:r>
      <w:r>
        <w:rPr>
          <w:rFonts w:ascii="仿宋_GB2312" w:hAnsi="仿宋_GB2312" w:eastAsia="仿宋_GB2312"/>
          <w:b/>
          <w:sz w:val="32"/>
        </w:rPr>
        <w:t>人员经费2,366.78万元，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包括：基本工资、津贴补贴、奖金、绩效工资、机关事业单位基本养老保险缴费、职工基本医疗保险缴费、公务员医疗补助缴费、其他社会保障缴费、住房公积金、退休费、抚恤金、生活补助。</w:t>
      </w:r>
    </w:p>
    <w:p w14:paraId="35FC77DF">
      <w:pPr>
        <w:spacing w:line="580" w:lineRule="exact"/>
        <w:ind w:firstLine="640"/>
        <w:jc w:val="both"/>
      </w:pPr>
      <w:r>
        <w:rPr>
          <w:rFonts w:ascii="仿宋_GB2312" w:hAnsi="仿宋_GB2312" w:eastAsia="仿宋_GB2312"/>
          <w:b/>
          <w:sz w:val="32"/>
        </w:rPr>
        <w:t>公用经费36.30万元，</w:t>
      </w:r>
      <w:r>
        <w:rPr>
          <w:rFonts w:ascii="仿宋_GB2312" w:hAnsi="仿宋_GB2312" w:eastAsia="仿宋_GB2312"/>
          <w:b w:val="0"/>
          <w:sz w:val="32"/>
        </w:rPr>
        <w:t>包括：办公费、印刷费、咨询费、水费、邮电费、差旅费、劳务费、委托业务费、公务用车运行维护费。</w:t>
      </w:r>
    </w:p>
    <w:p w14:paraId="20BBC0EE">
      <w:pPr>
        <w:spacing w:line="640" w:lineRule="exact"/>
        <w:ind w:firstLine="640"/>
        <w:jc w:val="both"/>
        <w:outlineLvl w:val="2"/>
      </w:pPr>
      <w:r>
        <w:rPr>
          <w:rFonts w:ascii="黑体" w:hAnsi="黑体" w:eastAsia="黑体"/>
          <w:sz w:val="32"/>
        </w:rPr>
        <w:t>七、政府性基金预算财政拨款收入支出决算情况说明</w:t>
      </w:r>
    </w:p>
    <w:p w14:paraId="1DFC5629">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5983CFF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减少26.00万元，下降100.00%，主要原因是：本年减少叶城县伯西热克乡防渗渠建设项目。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年初预算数0.00万元，决算数0.00万元，预决算差异率0.00%，主要原因是：本单位无政府性基金预算财政拨款。</w:t>
      </w:r>
    </w:p>
    <w:p w14:paraId="620A2C02">
      <w:pPr>
        <w:spacing w:line="580" w:lineRule="exact"/>
        <w:ind w:firstLine="640"/>
        <w:jc w:val="both"/>
      </w:pPr>
      <w:r>
        <w:rPr>
          <w:rFonts w:ascii="仿宋_GB2312" w:hAnsi="仿宋_GB2312" w:eastAsia="仿宋_GB2312"/>
          <w:b w:val="0"/>
          <w:sz w:val="32"/>
        </w:rPr>
        <w:t>政府性基金预算财政拨款支出0.00万元。</w:t>
      </w:r>
    </w:p>
    <w:p w14:paraId="4B478C9B">
      <w:pPr>
        <w:spacing w:line="580" w:lineRule="exact"/>
        <w:ind w:firstLine="640"/>
        <w:jc w:val="both"/>
      </w:pPr>
      <w:r>
        <w:rPr>
          <w:rFonts w:ascii="仿宋_GB2312" w:hAnsi="仿宋_GB2312" w:eastAsia="仿宋_GB2312"/>
          <w:b w:val="0"/>
          <w:sz w:val="32"/>
        </w:rPr>
        <w:t>1.其他支出(类)彩票公益金安排的支出(款)用于巩固脱贫攻坚成果衔接乡村振兴的彩票公益金支出(项):支出决算数为0.00万元，比上年决算减少26.00万元，下降100.00%,主要原因是：本年减少叶城县伯西热克乡防渗渠建设项目。</w:t>
      </w:r>
    </w:p>
    <w:p w14:paraId="281976B5">
      <w:pPr>
        <w:spacing w:line="640" w:lineRule="exact"/>
        <w:ind w:firstLine="640"/>
        <w:jc w:val="both"/>
        <w:outlineLvl w:val="2"/>
      </w:pPr>
      <w:r>
        <w:rPr>
          <w:rFonts w:ascii="黑体" w:hAnsi="黑体" w:eastAsia="黑体"/>
          <w:sz w:val="32"/>
        </w:rPr>
        <w:t>八、国有资本经营预算财政拨款收入支出决算情况说明</w:t>
      </w:r>
    </w:p>
    <w:p w14:paraId="41802F8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B538841">
      <w:pPr>
        <w:spacing w:line="640" w:lineRule="exact"/>
        <w:ind w:firstLine="640"/>
        <w:jc w:val="both"/>
        <w:outlineLvl w:val="2"/>
      </w:pPr>
      <w:r>
        <w:rPr>
          <w:rFonts w:ascii="黑体" w:hAnsi="黑体" w:eastAsia="黑体"/>
          <w:sz w:val="32"/>
        </w:rPr>
        <w:t>九、财政拨款“三公”经费支出决算情况说明</w:t>
      </w:r>
    </w:p>
    <w:p w14:paraId="7DBDDB99">
      <w:pPr>
        <w:spacing w:line="580" w:lineRule="exact"/>
        <w:ind w:firstLine="640"/>
        <w:jc w:val="both"/>
      </w:pPr>
      <w:r>
        <w:rPr>
          <w:rFonts w:ascii="仿宋_GB2312" w:hAnsi="仿宋_GB2312" w:eastAsia="仿宋_GB2312"/>
          <w:b/>
          <w:sz w:val="32"/>
        </w:rPr>
        <w:t>2024年度财政拨款“三公”经费支出2.88万元，</w:t>
      </w:r>
      <w:r>
        <w:rPr>
          <w:rFonts w:ascii="仿宋_GB2312" w:hAnsi="仿宋_GB2312" w:eastAsia="仿宋_GB2312"/>
          <w:b w:val="0"/>
          <w:sz w:val="32"/>
        </w:rPr>
        <w:t>比上年减少1.37万元，下降32.24%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2.88万元，占100.00%，比上年减少1.37万元，下降32.24%，主要原因是：严格落实中央八项规定精神，厉行节约，减少公务用车运行维护费。公务接待费支出0.00万元，占0.00%，比上年增加0.00万元，增长0.00%，主要原因是：2023年与2024年均未安排公务接待费支出。</w:t>
      </w:r>
    </w:p>
    <w:p w14:paraId="236B79E5">
      <w:pPr>
        <w:spacing w:line="580" w:lineRule="exact"/>
        <w:ind w:firstLine="640"/>
        <w:jc w:val="both"/>
      </w:pPr>
      <w:r>
        <w:rPr>
          <w:rFonts w:ascii="仿宋_GB2312" w:hAnsi="仿宋_GB2312" w:eastAsia="仿宋_GB2312"/>
          <w:b/>
          <w:sz w:val="32"/>
        </w:rPr>
        <w:t>具体情况如下：</w:t>
      </w:r>
    </w:p>
    <w:p w14:paraId="6D7F89F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C61385E">
      <w:pPr>
        <w:spacing w:line="580" w:lineRule="exact"/>
        <w:ind w:firstLine="640"/>
        <w:jc w:val="both"/>
      </w:pPr>
      <w:r>
        <w:rPr>
          <w:rFonts w:ascii="仿宋_GB2312" w:hAnsi="仿宋_GB2312" w:eastAsia="仿宋_GB2312"/>
          <w:b w:val="0"/>
          <w:sz w:val="32"/>
        </w:rPr>
        <w:t>公务用车购置及运行维护费2.88万元，其中：公务用车购置费0.00万元，公务用车运行维护费2.88万元。公务用车运行维护费开支内容包括车辆燃油费、维修费、保险费。公务用车购置数0辆，公务用车保有量6辆。国有资产占用情况中固定资产车辆6辆，与公务用车保有量差异原因是：本单位固定资产车辆与公务用车保有量一致无差异。</w:t>
      </w:r>
    </w:p>
    <w:p w14:paraId="372C48E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88A916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2.88万元，决算数2.88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2.88万元，决算数2.88万元，预决算差异率0.00%，主要原因是：严格按照预算执行，预决算无差异。公务接待费全年预算数0.00万元，决算数0.00万元，预决算差异率0.00%，主要原因是：本单位无公务接待费。</w:t>
      </w:r>
    </w:p>
    <w:p w14:paraId="4D9506AD">
      <w:pPr>
        <w:spacing w:line="640" w:lineRule="exact"/>
        <w:ind w:firstLine="640"/>
        <w:jc w:val="both"/>
        <w:outlineLvl w:val="2"/>
      </w:pPr>
      <w:r>
        <w:rPr>
          <w:rFonts w:ascii="黑体" w:hAnsi="黑体" w:eastAsia="黑体"/>
          <w:sz w:val="32"/>
        </w:rPr>
        <w:t>十、其他重要事项的情况说明</w:t>
      </w:r>
    </w:p>
    <w:p w14:paraId="61216456">
      <w:pPr>
        <w:spacing w:line="640" w:lineRule="exact"/>
        <w:ind w:firstLine="640"/>
        <w:jc w:val="both"/>
        <w:outlineLvl w:val="3"/>
      </w:pPr>
      <w:r>
        <w:rPr>
          <w:rFonts w:ascii="楷体_GB2312" w:hAnsi="楷体_GB2312" w:eastAsia="楷体_GB2312"/>
          <w:b/>
          <w:sz w:val="32"/>
        </w:rPr>
        <w:t>（一）机关运行经费及公用经费支出情况</w:t>
      </w:r>
    </w:p>
    <w:p w14:paraId="3CA2618E">
      <w:pPr>
        <w:spacing w:line="580" w:lineRule="exact"/>
        <w:ind w:firstLine="640"/>
        <w:jc w:val="both"/>
      </w:pPr>
      <w:r>
        <w:rPr>
          <w:rFonts w:ascii="仿宋_GB2312" w:hAnsi="仿宋_GB2312" w:eastAsia="仿宋_GB2312"/>
          <w:b w:val="0"/>
          <w:sz w:val="32"/>
        </w:rPr>
        <w:t>2024年度叶城县伯西热克镇人民政府（行政单位和参照公务员法管理事业单位）机关运行经费支出36.30万元，比上年增加2.98万元，增长8.94%，主要原因是：本年更新、维护补充办公用品，导致机关运行经费较上年增加。</w:t>
      </w:r>
    </w:p>
    <w:p w14:paraId="203067EA">
      <w:pPr>
        <w:spacing w:line="640" w:lineRule="exact"/>
        <w:ind w:firstLine="640"/>
        <w:jc w:val="both"/>
        <w:outlineLvl w:val="3"/>
      </w:pPr>
      <w:r>
        <w:rPr>
          <w:rFonts w:ascii="楷体_GB2312" w:hAnsi="楷体_GB2312" w:eastAsia="楷体_GB2312"/>
          <w:b/>
          <w:sz w:val="32"/>
        </w:rPr>
        <w:t>（二）政府采购情况</w:t>
      </w:r>
    </w:p>
    <w:p w14:paraId="26594086">
      <w:pPr>
        <w:spacing w:line="580" w:lineRule="exact"/>
        <w:ind w:firstLine="640"/>
        <w:jc w:val="both"/>
      </w:pPr>
      <w:r>
        <w:rPr>
          <w:rFonts w:ascii="仿宋_GB2312" w:hAnsi="仿宋_GB2312" w:eastAsia="仿宋_GB2312"/>
          <w:b w:val="0"/>
          <w:sz w:val="32"/>
        </w:rPr>
        <w:t>2024年度政府采购支出总额764.82万元，其中：政府采购货物支出661.10万元、政府采购工程支出3.74万元、政府采购服务支出99.97万元。</w:t>
      </w:r>
    </w:p>
    <w:p w14:paraId="6803BE42">
      <w:pPr>
        <w:spacing w:line="580" w:lineRule="exact"/>
        <w:ind w:firstLine="640"/>
        <w:jc w:val="both"/>
      </w:pPr>
      <w:r>
        <w:rPr>
          <w:rFonts w:ascii="仿宋_GB2312" w:hAnsi="仿宋_GB2312" w:eastAsia="仿宋_GB2312"/>
          <w:b w:val="0"/>
          <w:sz w:val="32"/>
        </w:rPr>
        <w:t>授予中小企业合同金额759.11万元，占政府采购支出总额的99.25%，其中：授予小微企业合同金额754.63万元，占政府采购支出总额的98.67%。</w:t>
      </w:r>
    </w:p>
    <w:p w14:paraId="6E902604">
      <w:pPr>
        <w:spacing w:line="640" w:lineRule="exact"/>
        <w:ind w:firstLine="640"/>
        <w:jc w:val="both"/>
        <w:outlineLvl w:val="3"/>
      </w:pPr>
      <w:r>
        <w:rPr>
          <w:rFonts w:ascii="楷体_GB2312" w:hAnsi="楷体_GB2312" w:eastAsia="楷体_GB2312"/>
          <w:b/>
          <w:sz w:val="32"/>
        </w:rPr>
        <w:t>（三）国有资产占用情况说明</w:t>
      </w:r>
    </w:p>
    <w:p w14:paraId="10F2CB8D">
      <w:pPr>
        <w:spacing w:line="580" w:lineRule="exact"/>
        <w:ind w:firstLine="640"/>
        <w:jc w:val="both"/>
      </w:pPr>
      <w:r>
        <w:rPr>
          <w:rFonts w:ascii="仿宋_GB2312" w:hAnsi="仿宋_GB2312" w:eastAsia="仿宋_GB2312"/>
          <w:b w:val="0"/>
          <w:sz w:val="32"/>
        </w:rPr>
        <w:t>截至2024年12月31日，房屋34,036.09平方米，价值2,844.67万元。车辆6辆，价值80.31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29533982">
      <w:pPr>
        <w:spacing w:line="640" w:lineRule="exact"/>
        <w:ind w:firstLine="640"/>
        <w:jc w:val="both"/>
        <w:outlineLvl w:val="2"/>
      </w:pPr>
      <w:r>
        <w:rPr>
          <w:rFonts w:ascii="黑体" w:hAnsi="黑体" w:eastAsia="黑体"/>
          <w:sz w:val="32"/>
        </w:rPr>
        <w:t>十一、预算绩效的情况说明</w:t>
      </w:r>
    </w:p>
    <w:p w14:paraId="7BEDC4D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6,260.39万元，实际执行总额6,260.39万元；预算绩效评价项目5个，全年预算数697.30万元，全年执行数391.17万元。预算绩效管理取得的成效：一是健全管理制度，本单位为加强预算管理，规范财务行为已制定《叶城县伯西热克镇人民政府预算绩效管理工作实施办法》《叶城县伯西热克镇人民政府财务管理制度》等健全完整的各项管理制度，有效保障了</w:t>
      </w:r>
      <w:r>
        <w:rPr>
          <w:rFonts w:hint="eastAsia" w:ascii="仿宋_GB2312" w:hAnsi="仿宋_GB2312" w:eastAsia="仿宋_GB2312"/>
          <w:b w:val="0"/>
          <w:sz w:val="32"/>
          <w:lang w:eastAsia="zh-CN"/>
        </w:rPr>
        <w:t>本单位</w:t>
      </w:r>
      <w:r>
        <w:rPr>
          <w:rFonts w:ascii="仿宋_GB2312" w:hAnsi="仿宋_GB2312" w:eastAsia="仿宋_GB2312"/>
          <w:b w:val="0"/>
          <w:sz w:val="32"/>
        </w:rPr>
        <w:t>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保障资金使用合规和安全，部门预算资金使用符合国家法规和财务管理制度；预算资金拨付有完整的审批程序和手续，符合项目预算批复或合同规定的用途；不存在截留、挤占、挪用、虚列支出等情况，确保</w:t>
      </w:r>
      <w:r>
        <w:rPr>
          <w:rFonts w:hint="eastAsia" w:ascii="仿宋_GB2312" w:hAnsi="仿宋_GB2312" w:eastAsia="仿宋_GB2312"/>
          <w:b w:val="0"/>
          <w:sz w:val="32"/>
          <w:lang w:eastAsia="zh-CN"/>
        </w:rPr>
        <w:t>本单位</w:t>
      </w:r>
      <w:r>
        <w:rPr>
          <w:rFonts w:ascii="仿宋_GB2312" w:hAnsi="仿宋_GB2312" w:eastAsia="仿宋_GB2312"/>
          <w:b w:val="0"/>
          <w:sz w:val="32"/>
        </w:rPr>
        <w:t>预算资金规范运行。发现的问题及原因：一是因项目前期确定资金使用范围内人</w:t>
      </w:r>
      <w:r>
        <w:rPr>
          <w:rFonts w:hint="eastAsia" w:ascii="仿宋_GB2312" w:hAnsi="仿宋_GB2312" w:eastAsia="仿宋_GB2312"/>
          <w:b w:val="0"/>
          <w:sz w:val="32"/>
          <w:lang w:val="en-US" w:eastAsia="zh-CN"/>
        </w:rPr>
        <w:t>员</w:t>
      </w:r>
      <w:r>
        <w:rPr>
          <w:rFonts w:ascii="仿宋_GB2312" w:hAnsi="仿宋_GB2312" w:eastAsia="仿宋_GB2312"/>
          <w:b w:val="0"/>
          <w:sz w:val="32"/>
        </w:rPr>
        <w:t>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四是持续加强财务管理，加快资金支付力度。具体附整体支出绩效自评表，项目支出绩效自评表和评价报告。</w:t>
      </w:r>
    </w:p>
    <w:p w14:paraId="4AE4A30C">
      <w:r>
        <w:br w:type="page"/>
      </w:r>
    </w:p>
    <w:tbl>
      <w:tblPr>
        <w:tblStyle w:val="9"/>
        <w:tblW w:w="0" w:type="auto"/>
        <w:tblInd w:w="0" w:type="dxa"/>
        <w:tblLayout w:type="fixed"/>
        <w:tblCellMar>
          <w:top w:w="0" w:type="dxa"/>
          <w:left w:w="108" w:type="dxa"/>
          <w:bottom w:w="0" w:type="dxa"/>
          <w:right w:w="108" w:type="dxa"/>
        </w:tblCellMar>
      </w:tblPr>
      <w:tblGrid>
        <w:gridCol w:w="983"/>
        <w:gridCol w:w="983"/>
        <w:gridCol w:w="1240"/>
        <w:gridCol w:w="726"/>
        <w:gridCol w:w="983"/>
        <w:gridCol w:w="983"/>
        <w:gridCol w:w="983"/>
        <w:gridCol w:w="983"/>
        <w:gridCol w:w="983"/>
      </w:tblGrid>
      <w:tr w14:paraId="474EDD6B">
        <w:tblPrEx>
          <w:tblCellMar>
            <w:top w:w="0" w:type="dxa"/>
            <w:left w:w="108" w:type="dxa"/>
            <w:bottom w:w="0" w:type="dxa"/>
            <w:right w:w="108" w:type="dxa"/>
          </w:tblCellMar>
        </w:tblPrEx>
        <w:tc>
          <w:tcPr>
            <w:tcW w:w="8847" w:type="dxa"/>
            <w:gridSpan w:val="9"/>
            <w:vAlign w:val="center"/>
          </w:tcPr>
          <w:p w14:paraId="2170AF8E">
            <w:pPr>
              <w:jc w:val="center"/>
            </w:pPr>
            <w:r>
              <w:rPr>
                <w:rFonts w:ascii="宋体" w:hAnsi="宋体" w:eastAsia="宋体"/>
                <w:sz w:val="24"/>
              </w:rPr>
              <w:t>单位整体支出绩效自评表</w:t>
            </w:r>
          </w:p>
        </w:tc>
      </w:tr>
      <w:tr w14:paraId="28D0641B">
        <w:tblPrEx>
          <w:tblCellMar>
            <w:top w:w="0" w:type="dxa"/>
            <w:left w:w="108" w:type="dxa"/>
            <w:bottom w:w="0" w:type="dxa"/>
            <w:right w:w="108" w:type="dxa"/>
          </w:tblCellMar>
        </w:tblPrEx>
        <w:tc>
          <w:tcPr>
            <w:tcW w:w="8847" w:type="dxa"/>
            <w:gridSpan w:val="9"/>
            <w:vAlign w:val="center"/>
          </w:tcPr>
          <w:p w14:paraId="3372F457">
            <w:pPr>
              <w:jc w:val="center"/>
            </w:pPr>
            <w:r>
              <w:rPr>
                <w:rFonts w:ascii="宋体" w:hAnsi="宋体" w:eastAsia="宋体"/>
                <w:sz w:val="24"/>
              </w:rPr>
              <w:t>（2024年度）</w:t>
            </w:r>
          </w:p>
        </w:tc>
      </w:tr>
      <w:tr w14:paraId="15731B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AC21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DA7A7D">
            <w:pPr>
              <w:jc w:val="center"/>
            </w:pPr>
            <w:r>
              <w:rPr>
                <w:rFonts w:ascii="宋体" w:hAnsi="宋体" w:eastAsia="宋体"/>
                <w:sz w:val="16"/>
              </w:rPr>
              <w:t>叶城县伯西热克镇人民政府</w:t>
            </w:r>
          </w:p>
        </w:tc>
      </w:tr>
      <w:tr w14:paraId="47C5D4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FA81B">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C659D">
            <w:pPr>
              <w:jc w:val="center"/>
            </w:pPr>
            <w:r>
              <w:rPr>
                <w:rFonts w:ascii="宋体" w:hAnsi="宋体" w:eastAsia="宋体"/>
                <w:sz w:val="16"/>
              </w:rPr>
              <w:t>资金来源</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3F35C5D5">
            <w:pPr>
              <w:jc w:val="center"/>
            </w:pPr>
            <w:r>
              <w:rPr>
                <w:rFonts w:ascii="宋体" w:hAnsi="宋体" w:eastAsia="宋体"/>
                <w:sz w:val="16"/>
              </w:rPr>
              <w:t>年初预算数</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4FDD2C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DB02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BFA8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6B91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B5269">
            <w:pPr>
              <w:jc w:val="center"/>
            </w:pPr>
            <w:r>
              <w:rPr>
                <w:rFonts w:ascii="宋体" w:hAnsi="宋体" w:eastAsia="宋体"/>
                <w:sz w:val="16"/>
              </w:rPr>
              <w:t>得分</w:t>
            </w:r>
          </w:p>
        </w:tc>
      </w:tr>
      <w:tr w14:paraId="69C511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201F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5AB83">
            <w:pPr>
              <w:jc w:val="center"/>
            </w:pPr>
            <w:r>
              <w:rPr>
                <w:rFonts w:ascii="宋体" w:hAnsi="宋体" w:eastAsia="宋体"/>
                <w:sz w:val="16"/>
              </w:rPr>
              <w:t>年度总资金：</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3FA92947">
            <w:pPr>
              <w:jc w:val="center"/>
            </w:pPr>
            <w:r>
              <w:rPr>
                <w:rFonts w:ascii="宋体" w:hAnsi="宋体" w:eastAsia="宋体"/>
                <w:sz w:val="16"/>
              </w:rPr>
              <w:t>2,905.75</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2562801B">
            <w:pPr>
              <w:jc w:val="center"/>
            </w:pPr>
            <w:r>
              <w:rPr>
                <w:rFonts w:ascii="宋体" w:hAnsi="宋体" w:eastAsia="宋体"/>
                <w:sz w:val="16"/>
              </w:rPr>
              <w:t>6,260.39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DDAFE">
            <w:pPr>
              <w:jc w:val="center"/>
            </w:pPr>
            <w:r>
              <w:rPr>
                <w:rFonts w:ascii="宋体" w:hAnsi="宋体" w:eastAsia="宋体"/>
                <w:sz w:val="16"/>
              </w:rPr>
              <w:t>6,260.39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681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55787">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05932">
            <w:pPr>
              <w:jc w:val="center"/>
            </w:pPr>
            <w:r>
              <w:rPr>
                <w:rFonts w:ascii="宋体" w:hAnsi="宋体" w:eastAsia="宋体"/>
                <w:sz w:val="16"/>
              </w:rPr>
              <w:t>10</w:t>
            </w:r>
          </w:p>
        </w:tc>
      </w:tr>
      <w:tr w14:paraId="51865B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181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B3C9E">
            <w:pPr>
              <w:jc w:val="center"/>
            </w:pPr>
            <w:r>
              <w:rPr>
                <w:rFonts w:ascii="宋体" w:hAnsi="宋体" w:eastAsia="宋体"/>
                <w:sz w:val="16"/>
              </w:rPr>
              <w:t>上级资金：</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74CA87C4">
            <w:pPr>
              <w:jc w:val="center"/>
            </w:pPr>
            <w:r>
              <w:rPr>
                <w:rFonts w:ascii="宋体" w:hAnsi="宋体" w:eastAsia="宋体"/>
                <w:sz w:val="16"/>
              </w:rPr>
              <w:t>426.11</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7DDCBAF6">
            <w:pPr>
              <w:jc w:val="center"/>
            </w:pPr>
            <w:r>
              <w:rPr>
                <w:rFonts w:ascii="宋体" w:hAnsi="宋体" w:eastAsia="宋体"/>
                <w:sz w:val="16"/>
              </w:rPr>
              <w:t>3,077.63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AB208">
            <w:pPr>
              <w:jc w:val="center"/>
            </w:pPr>
            <w:r>
              <w:rPr>
                <w:rFonts w:ascii="宋体" w:hAnsi="宋体" w:eastAsia="宋体"/>
                <w:sz w:val="16"/>
              </w:rPr>
              <w:t>3,077.63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165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606F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3F05C">
            <w:pPr>
              <w:jc w:val="center"/>
            </w:pPr>
            <w:r>
              <w:rPr>
                <w:rFonts w:ascii="宋体" w:hAnsi="宋体" w:eastAsia="宋体"/>
                <w:sz w:val="16"/>
              </w:rPr>
              <w:t>—</w:t>
            </w:r>
          </w:p>
        </w:tc>
      </w:tr>
      <w:tr w14:paraId="7AA8FD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060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C5454">
            <w:pPr>
              <w:jc w:val="center"/>
            </w:pPr>
            <w:r>
              <w:rPr>
                <w:rFonts w:ascii="宋体" w:hAnsi="宋体" w:eastAsia="宋体"/>
                <w:sz w:val="16"/>
              </w:rPr>
              <w:t>本级资金：</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663ED90E">
            <w:pPr>
              <w:jc w:val="center"/>
            </w:pPr>
            <w:r>
              <w:rPr>
                <w:rFonts w:ascii="宋体" w:hAnsi="宋体" w:eastAsia="宋体"/>
                <w:sz w:val="16"/>
              </w:rPr>
              <w:t>2,479.64</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DB618AD">
            <w:pPr>
              <w:jc w:val="center"/>
            </w:pPr>
            <w:r>
              <w:rPr>
                <w:rFonts w:ascii="宋体" w:hAnsi="宋体" w:eastAsia="宋体"/>
                <w:sz w:val="16"/>
              </w:rPr>
              <w:t>2,403.08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F4C78">
            <w:pPr>
              <w:jc w:val="center"/>
            </w:pPr>
            <w:r>
              <w:rPr>
                <w:rFonts w:ascii="宋体" w:hAnsi="宋体" w:eastAsia="宋体"/>
                <w:sz w:val="16"/>
              </w:rPr>
              <w:t>2,403.08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44A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8FAA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440C5">
            <w:pPr>
              <w:jc w:val="center"/>
            </w:pPr>
            <w:r>
              <w:rPr>
                <w:rFonts w:ascii="宋体" w:hAnsi="宋体" w:eastAsia="宋体"/>
                <w:sz w:val="16"/>
              </w:rPr>
              <w:t>—</w:t>
            </w:r>
          </w:p>
        </w:tc>
      </w:tr>
      <w:tr w14:paraId="4264AF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2988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99801">
            <w:pPr>
              <w:jc w:val="center"/>
            </w:pPr>
            <w:r>
              <w:rPr>
                <w:rFonts w:ascii="宋体" w:hAnsi="宋体" w:eastAsia="宋体"/>
                <w:sz w:val="16"/>
              </w:rPr>
              <w:t>其他资金：</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067B1350">
            <w:pPr>
              <w:jc w:val="center"/>
            </w:pPr>
            <w:r>
              <w:rPr>
                <w:rFonts w:ascii="宋体" w:hAnsi="宋体" w:eastAsia="宋体"/>
                <w:sz w:val="16"/>
              </w:rPr>
              <w:t>0.00</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AFBFE29">
            <w:pPr>
              <w:jc w:val="center"/>
            </w:pPr>
            <w:r>
              <w:rPr>
                <w:rFonts w:ascii="宋体" w:hAnsi="宋体" w:eastAsia="宋体"/>
                <w:sz w:val="16"/>
              </w:rPr>
              <w:t>779.68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744F6">
            <w:pPr>
              <w:jc w:val="center"/>
            </w:pPr>
            <w:r>
              <w:rPr>
                <w:rFonts w:ascii="宋体" w:hAnsi="宋体" w:eastAsia="宋体"/>
                <w:sz w:val="16"/>
              </w:rPr>
              <w:t>779.68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2BC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CA58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53466">
            <w:pPr>
              <w:jc w:val="center"/>
            </w:pPr>
            <w:r>
              <w:rPr>
                <w:rFonts w:ascii="宋体" w:hAnsi="宋体" w:eastAsia="宋体"/>
                <w:sz w:val="16"/>
              </w:rPr>
              <w:t>—</w:t>
            </w:r>
          </w:p>
        </w:tc>
      </w:tr>
      <w:tr w14:paraId="2538DC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85D1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77C0D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91AF95">
            <w:pPr>
              <w:jc w:val="center"/>
            </w:pPr>
            <w:r>
              <w:rPr>
                <w:rFonts w:ascii="宋体" w:hAnsi="宋体" w:eastAsia="宋体"/>
                <w:sz w:val="16"/>
              </w:rPr>
              <w:t>实际完成情况</w:t>
            </w:r>
          </w:p>
        </w:tc>
      </w:tr>
      <w:tr w14:paraId="1306E0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28D6E"/>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6A635E">
            <w:pPr>
              <w:jc w:val="both"/>
            </w:pPr>
            <w:r>
              <w:rPr>
                <w:rFonts w:ascii="宋体" w:hAnsi="宋体" w:eastAsia="宋体"/>
                <w:sz w:val="16"/>
              </w:rPr>
              <w:t>新疆维吾尔自治区喀什地区叶城县伯西热克乡人民政府负责全乡党政行政管理事务。以贯彻落实党的二十大精神，</w:t>
            </w:r>
            <w:r>
              <w:rPr>
                <w:rFonts w:hint="eastAsia" w:ascii="宋体" w:hAnsi="宋体"/>
                <w:sz w:val="16"/>
                <w:lang w:eastAsia="zh-CN"/>
              </w:rPr>
              <w:t>以习近平总书记重要讲话精神</w:t>
            </w:r>
            <w:r>
              <w:rPr>
                <w:rFonts w:ascii="宋体" w:hAnsi="宋体" w:eastAsia="宋体"/>
                <w:sz w:val="16"/>
              </w:rPr>
              <w:t>为指导，坚决贯彻执行党中央、国务院、自治区、地区及县委、县人民政府的有关方面政策指示，把党的各项优惠政策落实到实处，负责全乡经济社会发展、社会事务管理、安全和谐、基层组织建设等全面工作。以全面建设社会主义新农村为根本出发点，不断深化美丽乡、村建设为总目标，不断铸牢全乡经济社会发展基础，为全乡各族群众提供社会服务。</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DBA214">
            <w:pPr>
              <w:jc w:val="both"/>
            </w:pPr>
            <w:r>
              <w:rPr>
                <w:rFonts w:hint="eastAsia" w:ascii="宋体" w:hAnsi="宋体"/>
                <w:sz w:val="16"/>
                <w:lang w:eastAsia="zh-CN"/>
              </w:rPr>
              <w:t>截至</w:t>
            </w:r>
            <w:r>
              <w:rPr>
                <w:rFonts w:ascii="宋体" w:hAnsi="宋体" w:eastAsia="宋体"/>
                <w:sz w:val="16"/>
              </w:rPr>
              <w:t>2024年12月31日，已完成新疆维吾尔自治区喀什地区叶城县伯西热克乡人民政府负责全乡党政行政管理事务。以贯彻落实党的二十大精神，</w:t>
            </w:r>
            <w:r>
              <w:rPr>
                <w:rFonts w:hint="eastAsia" w:ascii="宋体" w:hAnsi="宋体"/>
                <w:sz w:val="16"/>
                <w:lang w:eastAsia="zh-CN"/>
              </w:rPr>
              <w:t>以习近平总书记重要讲话精神</w:t>
            </w:r>
            <w:r>
              <w:rPr>
                <w:rFonts w:ascii="宋体" w:hAnsi="宋体" w:eastAsia="宋体"/>
                <w:sz w:val="16"/>
              </w:rPr>
              <w:t>为指导，坚决贯彻执行党中央、国务院、自治区、地区及县委、县人民政府的有关方面政策指示，把党的各项优惠政策落实到实处，收集化解困难诉求340件，农村</w:t>
            </w:r>
            <w:bookmarkStart w:id="0" w:name="_GoBack"/>
            <w:r>
              <w:rPr>
                <w:rFonts w:ascii="宋体" w:hAnsi="宋体" w:eastAsia="宋体"/>
                <w:sz w:val="16"/>
              </w:rPr>
              <w:t>劳动力转移</w:t>
            </w:r>
            <w:bookmarkEnd w:id="0"/>
            <w:r>
              <w:rPr>
                <w:rFonts w:ascii="宋体" w:hAnsi="宋体" w:eastAsia="宋体"/>
                <w:sz w:val="16"/>
              </w:rPr>
              <w:t>就业人数2350人次，负责全乡经济社会发展、社会事务管理、安全和谐、基层组织建设等全面工作。以全面建设社会主义新农村为根本出发点，不断深化美丽乡、村建设为总目标，不断铸牢全乡经济社会发展基础，打造自治区示范村1个，为全乡各族群众提供社会服务。</w:t>
            </w:r>
          </w:p>
        </w:tc>
      </w:tr>
      <w:tr w14:paraId="2DD7FE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05BF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A48C2">
            <w:pPr>
              <w:jc w:val="center"/>
            </w:pPr>
            <w:r>
              <w:rPr>
                <w:rFonts w:ascii="宋体" w:hAnsi="宋体" w:eastAsia="宋体"/>
                <w:sz w:val="16"/>
              </w:rPr>
              <w:t>二级指标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782524BD">
            <w:pPr>
              <w:jc w:val="center"/>
            </w:pPr>
            <w:r>
              <w:rPr>
                <w:rFonts w:ascii="宋体" w:hAnsi="宋体" w:eastAsia="宋体"/>
                <w:sz w:val="16"/>
              </w:rPr>
              <w:t>三级指标</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3D1245E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024F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4363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8A0F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696B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CB09A">
            <w:pPr>
              <w:jc w:val="center"/>
            </w:pPr>
            <w:r>
              <w:rPr>
                <w:rFonts w:ascii="宋体" w:hAnsi="宋体" w:eastAsia="宋体"/>
                <w:sz w:val="16"/>
              </w:rPr>
              <w:t>得分</w:t>
            </w:r>
          </w:p>
        </w:tc>
      </w:tr>
      <w:tr w14:paraId="2EC51B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9941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8F55F">
            <w:pPr>
              <w:jc w:val="center"/>
            </w:pPr>
            <w:r>
              <w:rPr>
                <w:rFonts w:ascii="宋体" w:hAnsi="宋体" w:eastAsia="宋体"/>
                <w:sz w:val="16"/>
              </w:rPr>
              <w:t>数量指标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07BED986">
            <w:pPr>
              <w:jc w:val="center"/>
            </w:pPr>
            <w:r>
              <w:rPr>
                <w:rFonts w:ascii="宋体" w:hAnsi="宋体" w:eastAsia="宋体"/>
                <w:sz w:val="16"/>
              </w:rPr>
              <w:t>保障农村幸福大院运转数量</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79FC93B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43E69">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0EB2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EF14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999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58248">
            <w:pPr>
              <w:jc w:val="center"/>
            </w:pPr>
            <w:r>
              <w:rPr>
                <w:rFonts w:ascii="宋体" w:hAnsi="宋体" w:eastAsia="宋体"/>
                <w:sz w:val="16"/>
              </w:rPr>
              <w:t>18</w:t>
            </w:r>
          </w:p>
        </w:tc>
      </w:tr>
      <w:tr w14:paraId="121E08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9938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78E36"/>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5ACB301E">
            <w:pPr>
              <w:jc w:val="center"/>
            </w:pPr>
            <w:r>
              <w:rPr>
                <w:rFonts w:ascii="宋体" w:hAnsi="宋体" w:eastAsia="宋体"/>
                <w:sz w:val="16"/>
              </w:rPr>
              <w:t>收集化解困难诉求数量</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06755043">
            <w:pPr>
              <w:jc w:val="center"/>
            </w:pPr>
            <w:r>
              <w:rPr>
                <w:rFonts w:ascii="宋体" w:hAnsi="宋体" w:eastAsia="宋体"/>
                <w:sz w:val="16"/>
              </w:rPr>
              <w:t>=340件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ACF4D">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08E3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3216B">
            <w:pPr>
              <w:jc w:val="center"/>
            </w:pPr>
            <w:r>
              <w:rPr>
                <w:rFonts w:ascii="宋体" w:hAnsi="宋体" w:eastAsia="宋体"/>
                <w:sz w:val="16"/>
              </w:rPr>
              <w:t>=340件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55C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E6635">
            <w:pPr>
              <w:jc w:val="center"/>
            </w:pPr>
            <w:r>
              <w:rPr>
                <w:rFonts w:ascii="宋体" w:hAnsi="宋体" w:eastAsia="宋体"/>
                <w:sz w:val="16"/>
              </w:rPr>
              <w:t>18</w:t>
            </w:r>
          </w:p>
        </w:tc>
      </w:tr>
      <w:tr w14:paraId="600A2B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647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9EBD3A"/>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23771B4C">
            <w:pPr>
              <w:jc w:val="center"/>
            </w:pPr>
            <w:r>
              <w:rPr>
                <w:rFonts w:ascii="宋体" w:hAnsi="宋体" w:eastAsia="宋体"/>
                <w:sz w:val="16"/>
              </w:rPr>
              <w:t>重点惠民工程项目数</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14A35BE3">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99423">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6018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565F5">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E55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9297D">
            <w:pPr>
              <w:jc w:val="center"/>
            </w:pPr>
            <w:r>
              <w:rPr>
                <w:rFonts w:ascii="宋体" w:hAnsi="宋体" w:eastAsia="宋体"/>
                <w:sz w:val="16"/>
              </w:rPr>
              <w:t>18</w:t>
            </w:r>
          </w:p>
        </w:tc>
      </w:tr>
      <w:tr w14:paraId="70137A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047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461660"/>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3AAE34C3">
            <w:pPr>
              <w:jc w:val="center"/>
            </w:pPr>
            <w:r>
              <w:rPr>
                <w:rFonts w:ascii="宋体" w:hAnsi="宋体" w:eastAsia="宋体"/>
                <w:sz w:val="16"/>
              </w:rPr>
              <w:t>农村劳动力转移就业人数</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1726F20">
            <w:pPr>
              <w:jc w:val="center"/>
            </w:pPr>
            <w:r>
              <w:rPr>
                <w:rFonts w:ascii="宋体" w:hAnsi="宋体" w:eastAsia="宋体"/>
                <w:sz w:val="16"/>
              </w:rPr>
              <w:t>&gt;=2350人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1212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A87C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8EDF8">
            <w:pPr>
              <w:jc w:val="center"/>
            </w:pPr>
            <w:r>
              <w:rPr>
                <w:rFonts w:ascii="宋体" w:hAnsi="宋体" w:eastAsia="宋体"/>
                <w:sz w:val="16"/>
              </w:rPr>
              <w:t>=2350人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434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D29B9">
            <w:pPr>
              <w:jc w:val="center"/>
            </w:pPr>
            <w:r>
              <w:rPr>
                <w:rFonts w:ascii="宋体" w:hAnsi="宋体" w:eastAsia="宋体"/>
                <w:sz w:val="16"/>
              </w:rPr>
              <w:t>18</w:t>
            </w:r>
          </w:p>
        </w:tc>
      </w:tr>
      <w:tr w14:paraId="07C57C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E01A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9FBD5"/>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57C30FBA">
            <w:pPr>
              <w:jc w:val="center"/>
            </w:pPr>
            <w:r>
              <w:rPr>
                <w:rFonts w:ascii="宋体" w:hAnsi="宋体" w:eastAsia="宋体"/>
                <w:sz w:val="16"/>
              </w:rPr>
              <w:t>打造自治区示范村数量</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5F9E456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E66F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04F7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1401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C8C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B2300">
            <w:pPr>
              <w:jc w:val="center"/>
            </w:pPr>
            <w:r>
              <w:rPr>
                <w:rFonts w:ascii="宋体" w:hAnsi="宋体" w:eastAsia="宋体"/>
                <w:sz w:val="16"/>
              </w:rPr>
              <w:t>18</w:t>
            </w:r>
          </w:p>
        </w:tc>
      </w:tr>
    </w:tbl>
    <w:p w14:paraId="3DA08271">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31"/>
        <w:gridCol w:w="856"/>
        <w:gridCol w:w="616"/>
        <w:gridCol w:w="616"/>
        <w:gridCol w:w="621"/>
        <w:gridCol w:w="616"/>
        <w:gridCol w:w="616"/>
        <w:gridCol w:w="776"/>
        <w:gridCol w:w="628"/>
        <w:gridCol w:w="599"/>
        <w:gridCol w:w="627"/>
      </w:tblGrid>
      <w:tr w14:paraId="40772EE1">
        <w:tblPrEx>
          <w:tblCellMar>
            <w:top w:w="0" w:type="dxa"/>
            <w:left w:w="108" w:type="dxa"/>
            <w:bottom w:w="0" w:type="dxa"/>
            <w:right w:w="108" w:type="dxa"/>
          </w:tblCellMar>
        </w:tblPrEx>
        <w:tc>
          <w:tcPr>
            <w:tcW w:w="8848" w:type="dxa"/>
            <w:gridSpan w:val="14"/>
            <w:vAlign w:val="center"/>
          </w:tcPr>
          <w:p w14:paraId="6A95E521">
            <w:pPr>
              <w:jc w:val="center"/>
            </w:pPr>
            <w:r>
              <w:rPr>
                <w:rFonts w:ascii="宋体" w:hAnsi="宋体" w:eastAsia="宋体"/>
                <w:sz w:val="24"/>
              </w:rPr>
              <w:t>项目支出绩效自评表</w:t>
            </w:r>
          </w:p>
        </w:tc>
      </w:tr>
      <w:tr w14:paraId="618C75F6">
        <w:tblPrEx>
          <w:tblCellMar>
            <w:top w:w="0" w:type="dxa"/>
            <w:left w:w="108" w:type="dxa"/>
            <w:bottom w:w="0" w:type="dxa"/>
            <w:right w:w="108" w:type="dxa"/>
          </w:tblCellMar>
        </w:tblPrEx>
        <w:tc>
          <w:tcPr>
            <w:tcW w:w="8848" w:type="dxa"/>
            <w:gridSpan w:val="14"/>
            <w:vAlign w:val="center"/>
          </w:tcPr>
          <w:p w14:paraId="22A30A20">
            <w:pPr>
              <w:jc w:val="center"/>
            </w:pPr>
            <w:r>
              <w:rPr>
                <w:rFonts w:ascii="宋体" w:hAnsi="宋体" w:eastAsia="宋体"/>
                <w:sz w:val="24"/>
              </w:rPr>
              <w:t>(2024年度)</w:t>
            </w:r>
          </w:p>
        </w:tc>
      </w:tr>
      <w:tr w14:paraId="355241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E8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1A404A">
            <w:pPr>
              <w:jc w:val="center"/>
            </w:pPr>
            <w:r>
              <w:rPr>
                <w:rFonts w:ascii="宋体" w:hAnsi="宋体" w:eastAsia="宋体"/>
                <w:sz w:val="16"/>
              </w:rPr>
              <w:t>上海援疆项目</w:t>
            </w:r>
            <w:r>
              <w:rPr>
                <w:rFonts w:hint="eastAsia" w:ascii="宋体" w:hAnsi="宋体"/>
                <w:sz w:val="16"/>
                <w:lang w:eastAsia="zh-CN"/>
              </w:rPr>
              <w:t>－</w:t>
            </w:r>
            <w:r>
              <w:rPr>
                <w:rFonts w:ascii="宋体" w:hAnsi="宋体" w:eastAsia="宋体"/>
                <w:sz w:val="16"/>
              </w:rPr>
              <w:t>叶城县乡村振兴建设</w:t>
            </w:r>
            <w:r>
              <w:rPr>
                <w:rFonts w:hint="eastAsia" w:ascii="宋体" w:hAnsi="宋体"/>
                <w:sz w:val="16"/>
                <w:lang w:eastAsia="zh-CN"/>
              </w:rPr>
              <w:t>－</w:t>
            </w:r>
            <w:r>
              <w:rPr>
                <w:rFonts w:ascii="宋体" w:hAnsi="宋体" w:eastAsia="宋体"/>
                <w:sz w:val="16"/>
              </w:rPr>
              <w:t>伯西热克镇市民体育活动中心建设项目</w:t>
            </w:r>
          </w:p>
        </w:tc>
      </w:tr>
      <w:tr w14:paraId="1A812E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54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F8B4FF">
            <w:pPr>
              <w:jc w:val="center"/>
            </w:pPr>
            <w:r>
              <w:rPr>
                <w:rFonts w:ascii="宋体" w:hAnsi="宋体" w:eastAsia="宋体"/>
                <w:sz w:val="16"/>
              </w:rPr>
              <w:t>叶城县伯西热克镇人民政府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C8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9F886B">
            <w:pPr>
              <w:jc w:val="center"/>
            </w:pPr>
            <w:r>
              <w:rPr>
                <w:rFonts w:ascii="宋体" w:hAnsi="宋体" w:eastAsia="宋体"/>
                <w:sz w:val="16"/>
              </w:rPr>
              <w:t>叶城县伯西热克镇人民政府</w:t>
            </w:r>
          </w:p>
        </w:tc>
      </w:tr>
      <w:tr w14:paraId="0D2430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A56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62B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643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152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7C0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1FDB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2E1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5C99">
            <w:pPr>
              <w:jc w:val="center"/>
            </w:pPr>
            <w:r>
              <w:rPr>
                <w:rFonts w:ascii="宋体" w:hAnsi="宋体" w:eastAsia="宋体"/>
                <w:sz w:val="16"/>
              </w:rPr>
              <w:t>得分</w:t>
            </w:r>
          </w:p>
        </w:tc>
      </w:tr>
      <w:tr w14:paraId="147AD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022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EE1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F562C">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787EC">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D9B3E">
            <w:pPr>
              <w:jc w:val="center"/>
            </w:pPr>
            <w:r>
              <w:rPr>
                <w:rFonts w:ascii="宋体" w:hAnsi="宋体" w:eastAsia="宋体"/>
                <w:sz w:val="16"/>
              </w:rPr>
              <w:t>223.53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34E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0C645">
            <w:pPr>
              <w:jc w:val="center"/>
            </w:pPr>
            <w:r>
              <w:rPr>
                <w:rFonts w:ascii="宋体" w:hAnsi="宋体" w:eastAsia="宋体"/>
                <w:sz w:val="16"/>
              </w:rPr>
              <w:t>44.7%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E3A7">
            <w:pPr>
              <w:jc w:val="center"/>
            </w:pPr>
            <w:r>
              <w:rPr>
                <w:rFonts w:ascii="宋体" w:hAnsi="宋体" w:eastAsia="宋体"/>
                <w:sz w:val="16"/>
              </w:rPr>
              <w:t>0.00分</w:t>
            </w:r>
          </w:p>
        </w:tc>
      </w:tr>
      <w:tr w14:paraId="0509D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3C3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A61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251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42C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F60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825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D5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5DE9">
            <w:pPr>
              <w:jc w:val="center"/>
            </w:pPr>
            <w:r>
              <w:rPr>
                <w:rFonts w:ascii="宋体" w:hAnsi="宋体" w:eastAsia="宋体"/>
                <w:sz w:val="16"/>
              </w:rPr>
              <w:t>—</w:t>
            </w:r>
          </w:p>
        </w:tc>
      </w:tr>
      <w:tr w14:paraId="1A8FE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725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B30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CF79C">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6C044">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5B8BC">
            <w:pPr>
              <w:jc w:val="center"/>
            </w:pPr>
            <w:r>
              <w:rPr>
                <w:rFonts w:ascii="宋体" w:hAnsi="宋体" w:eastAsia="宋体"/>
                <w:sz w:val="16"/>
              </w:rPr>
              <w:t>223.53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A98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0AE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2CEA">
            <w:pPr>
              <w:jc w:val="center"/>
            </w:pPr>
            <w:r>
              <w:rPr>
                <w:rFonts w:ascii="宋体" w:hAnsi="宋体" w:eastAsia="宋体"/>
                <w:sz w:val="16"/>
              </w:rPr>
              <w:t>—</w:t>
            </w:r>
          </w:p>
        </w:tc>
      </w:tr>
      <w:tr w14:paraId="1DC58D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322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A508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3EEA02">
            <w:pPr>
              <w:jc w:val="center"/>
            </w:pPr>
            <w:r>
              <w:rPr>
                <w:rFonts w:ascii="宋体" w:hAnsi="宋体" w:eastAsia="宋体"/>
                <w:sz w:val="16"/>
              </w:rPr>
              <w:t>实际完成情况</w:t>
            </w:r>
          </w:p>
        </w:tc>
      </w:tr>
      <w:tr w14:paraId="3231F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39C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3F0868">
            <w:pPr>
              <w:jc w:val="both"/>
            </w:pPr>
            <w:r>
              <w:rPr>
                <w:rFonts w:ascii="宋体" w:hAnsi="宋体" w:eastAsia="宋体"/>
                <w:sz w:val="16"/>
              </w:rPr>
              <w:t>该项目总投资500万元，主要用于新建一处镇级市民体育活动中心，总建筑面积1628平方米，包括篮球馆、羽毛球、乒乓球活动场所及周边绿化配套等，主体工程；实施室外混凝土道路及地面约3300平方米；配套设施。项目的实施丰富我镇及周边人民业余生活，从而间接</w:t>
            </w:r>
            <w:r>
              <w:rPr>
                <w:rFonts w:hint="eastAsia" w:ascii="宋体" w:hAnsi="宋体"/>
                <w:sz w:val="16"/>
                <w:lang w:eastAsia="zh-CN"/>
              </w:rPr>
              <w:t>地</w:t>
            </w:r>
            <w:r>
              <w:rPr>
                <w:rFonts w:ascii="宋体" w:hAnsi="宋体" w:eastAsia="宋体"/>
                <w:sz w:val="16"/>
              </w:rPr>
              <w:t>促进社会平稳健康发展，有效提高居民身体素质。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EA736B">
            <w:pPr>
              <w:jc w:val="both"/>
            </w:pPr>
            <w:r>
              <w:rPr>
                <w:rFonts w:ascii="宋体" w:hAnsi="宋体" w:eastAsia="宋体"/>
                <w:sz w:val="16"/>
              </w:rPr>
              <w:t>实际完成目标：项目预算资金500万元，到位资金500万元，实际支出223.53万元，项目实施后新建了一处镇级市民体育活动中心，主体已完成，剩余的预计2025年4月完成。</w:t>
            </w:r>
          </w:p>
        </w:tc>
      </w:tr>
      <w:tr w14:paraId="03F46A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66C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51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D3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BE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44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D3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7B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08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C2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86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002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A9D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DD229">
            <w:pPr>
              <w:jc w:val="center"/>
            </w:pPr>
            <w:r>
              <w:rPr>
                <w:rFonts w:ascii="宋体" w:hAnsi="宋体" w:eastAsia="宋体"/>
                <w:sz w:val="16"/>
              </w:rPr>
              <w:t>偏差原因分析及改进措施</w:t>
            </w:r>
          </w:p>
        </w:tc>
      </w:tr>
      <w:tr w14:paraId="57B5CF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B8A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D33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147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8C0D">
            <w:pPr>
              <w:jc w:val="center"/>
            </w:pPr>
            <w:r>
              <w:rPr>
                <w:rFonts w:ascii="宋体" w:hAnsi="宋体" w:eastAsia="宋体"/>
                <w:sz w:val="16"/>
              </w:rPr>
              <w:t>新建镇级市民体育活动中心面积（平方米）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39DC">
            <w:pPr>
              <w:jc w:val="center"/>
            </w:pPr>
            <w:r>
              <w:rPr>
                <w:rFonts w:ascii="宋体" w:hAnsi="宋体" w:eastAsia="宋体"/>
                <w:sz w:val="16"/>
              </w:rPr>
              <w:t>=1628平方米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8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46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50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E8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1A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72EE">
            <w:pPr>
              <w:jc w:val="center"/>
            </w:pPr>
            <w:r>
              <w:rPr>
                <w:rFonts w:ascii="宋体" w:hAnsi="宋体" w:eastAsia="宋体"/>
                <w:sz w:val="16"/>
              </w:rPr>
              <w:t>=1628平方米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0BF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559E5">
            <w:pPr>
              <w:jc w:val="center"/>
            </w:pPr>
          </w:p>
        </w:tc>
      </w:tr>
      <w:tr w14:paraId="7F4B1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0D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01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1DE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F4D5">
            <w:pPr>
              <w:jc w:val="center"/>
            </w:pPr>
            <w:r>
              <w:rPr>
                <w:rFonts w:ascii="宋体" w:hAnsi="宋体" w:eastAsia="宋体"/>
                <w:sz w:val="16"/>
              </w:rPr>
              <w:t>改造室外混凝土道路及地面面积（平方米）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62C4">
            <w:pPr>
              <w:jc w:val="center"/>
            </w:pPr>
            <w:r>
              <w:rPr>
                <w:rFonts w:ascii="宋体" w:hAnsi="宋体" w:eastAsia="宋体"/>
                <w:sz w:val="16"/>
              </w:rPr>
              <w:t>=3300平方米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0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99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67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14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8B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B8E6">
            <w:pPr>
              <w:jc w:val="center"/>
            </w:pPr>
            <w:r>
              <w:rPr>
                <w:rFonts w:ascii="宋体" w:hAnsi="宋体" w:eastAsia="宋体"/>
                <w:sz w:val="16"/>
              </w:rPr>
              <w:t>=3300平方米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746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49F8D">
            <w:pPr>
              <w:jc w:val="center"/>
            </w:pPr>
          </w:p>
        </w:tc>
      </w:tr>
      <w:tr w14:paraId="56FC9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0A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FDF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D2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39C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C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A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20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F1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01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AC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2B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845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26A91">
            <w:pPr>
              <w:jc w:val="center"/>
            </w:pPr>
            <w:r>
              <w:rPr>
                <w:rFonts w:ascii="宋体" w:hAnsi="宋体" w:eastAsia="宋体"/>
                <w:sz w:val="16"/>
              </w:rPr>
              <w:t>偏差原因：项目主体已完工，还未验收。整改措施：完工之后进行验收。</w:t>
            </w:r>
          </w:p>
        </w:tc>
      </w:tr>
      <w:tr w14:paraId="30179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6D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133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997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7D68">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5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1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68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B3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1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36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709F">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ADE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159E5">
            <w:pPr>
              <w:jc w:val="center"/>
            </w:pPr>
            <w:r>
              <w:rPr>
                <w:rFonts w:ascii="宋体" w:hAnsi="宋体" w:eastAsia="宋体"/>
                <w:sz w:val="16"/>
              </w:rPr>
              <w:t>偏差原因：项目主体已完工，冬季施工有影响。整改措施：2025年4月20日之前完工</w:t>
            </w:r>
          </w:p>
        </w:tc>
      </w:tr>
      <w:tr w14:paraId="1FB49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A8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D9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70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EB1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B5D8">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F3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49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91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8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C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DFDA">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D10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D19AA">
            <w:pPr>
              <w:jc w:val="center"/>
            </w:pPr>
            <w:r>
              <w:rPr>
                <w:rFonts w:ascii="宋体" w:hAnsi="宋体" w:eastAsia="宋体"/>
                <w:sz w:val="16"/>
              </w:rPr>
              <w:t>偏差原因：项目未能按时节点完工，导致偏差。整改措施：加快施工进度。</w:t>
            </w:r>
          </w:p>
        </w:tc>
      </w:tr>
      <w:tr w14:paraId="6CB2E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0D7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B09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266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27C3">
            <w:pPr>
              <w:jc w:val="center"/>
            </w:pPr>
            <w:r>
              <w:rPr>
                <w:rFonts w:ascii="宋体" w:hAnsi="宋体" w:eastAsia="宋体"/>
                <w:sz w:val="16"/>
              </w:rPr>
              <w:t>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516C">
            <w:pPr>
              <w:jc w:val="center"/>
            </w:pPr>
            <w:r>
              <w:rPr>
                <w:rFonts w:ascii="宋体" w:hAnsi="宋体" w:eastAsia="宋体"/>
                <w:sz w:val="16"/>
              </w:rPr>
              <w:t>&lt;=454.77万元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5D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B1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42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0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BE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E944">
            <w:pPr>
              <w:jc w:val="center"/>
            </w:pPr>
            <w:r>
              <w:rPr>
                <w:rFonts w:ascii="宋体" w:hAnsi="宋体" w:eastAsia="宋体"/>
                <w:sz w:val="16"/>
              </w:rPr>
              <w:t>=211.53万元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B0E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60E66">
            <w:pPr>
              <w:jc w:val="center"/>
            </w:pPr>
            <w:r>
              <w:rPr>
                <w:rFonts w:ascii="宋体" w:hAnsi="宋体" w:eastAsia="宋体"/>
                <w:sz w:val="16"/>
              </w:rPr>
              <w:t>偏差原因：按照项目实施进度申请资金。整改措施：按照项目实施进度资金申请拨付。</w:t>
            </w:r>
          </w:p>
        </w:tc>
      </w:tr>
      <w:tr w14:paraId="0408E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71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D78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F6A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7985">
            <w:pPr>
              <w:jc w:val="center"/>
            </w:pPr>
            <w:r>
              <w:rPr>
                <w:rFonts w:ascii="宋体" w:hAnsi="宋体" w:eastAsia="宋体"/>
                <w:sz w:val="16"/>
              </w:rPr>
              <w:t>工程建设其他费用（万元）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6371">
            <w:pPr>
              <w:jc w:val="center"/>
            </w:pPr>
            <w:r>
              <w:rPr>
                <w:rFonts w:ascii="宋体" w:hAnsi="宋体" w:eastAsia="宋体"/>
                <w:sz w:val="16"/>
              </w:rPr>
              <w:t>&lt;=45.23万元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35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86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BE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15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F4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9096">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DFD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F6036">
            <w:pPr>
              <w:jc w:val="center"/>
            </w:pPr>
            <w:r>
              <w:rPr>
                <w:rFonts w:ascii="宋体" w:hAnsi="宋体" w:eastAsia="宋体"/>
                <w:sz w:val="16"/>
              </w:rPr>
              <w:t>偏差原因：按照项目实施进度申请资金。整改措施：按照进度加快支付进度。</w:t>
            </w:r>
          </w:p>
        </w:tc>
      </w:tr>
      <w:tr w14:paraId="183C6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400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2A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37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55FD">
            <w:pPr>
              <w:jc w:val="center"/>
            </w:pPr>
            <w:r>
              <w:rPr>
                <w:rFonts w:ascii="宋体" w:hAnsi="宋体" w:eastAsia="宋体"/>
                <w:sz w:val="16"/>
              </w:rPr>
              <w:t>有效提高居民身体素质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E91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F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55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63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16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85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AF3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784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AE71">
            <w:pPr>
              <w:jc w:val="center"/>
            </w:pPr>
          </w:p>
        </w:tc>
      </w:tr>
      <w:tr w14:paraId="2A630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444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B0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26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0945">
            <w:pPr>
              <w:jc w:val="center"/>
            </w:pPr>
            <w:r>
              <w:rPr>
                <w:rFonts w:ascii="宋体" w:hAnsi="宋体" w:eastAsia="宋体"/>
                <w:sz w:val="16"/>
              </w:rPr>
              <w:t>受益乡镇居民满意度（%）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20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2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37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12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41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BC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47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F1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91402">
            <w:pPr>
              <w:jc w:val="center"/>
            </w:pPr>
          </w:p>
        </w:tc>
      </w:tr>
      <w:tr w14:paraId="4F30092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B38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3C0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705E1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CCB8">
            <w:pPr>
              <w:jc w:val="center"/>
            </w:pPr>
            <w:r>
              <w:rPr>
                <w:rFonts w:ascii="宋体" w:hAnsi="宋体" w:eastAsia="宋体"/>
                <w:sz w:val="16"/>
              </w:rPr>
              <w:t>48分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3CA99B6"/>
        </w:tc>
      </w:tr>
    </w:tbl>
    <w:p w14:paraId="3C6D0C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3BD06CD">
        <w:tblPrEx>
          <w:tblCellMar>
            <w:top w:w="0" w:type="dxa"/>
            <w:left w:w="108" w:type="dxa"/>
            <w:bottom w:w="0" w:type="dxa"/>
            <w:right w:w="108" w:type="dxa"/>
          </w:tblCellMar>
        </w:tblPrEx>
        <w:tc>
          <w:tcPr>
            <w:tcW w:w="8848" w:type="dxa"/>
            <w:gridSpan w:val="14"/>
            <w:vAlign w:val="center"/>
          </w:tcPr>
          <w:p w14:paraId="3C220E05">
            <w:pPr>
              <w:jc w:val="center"/>
            </w:pPr>
            <w:r>
              <w:rPr>
                <w:rFonts w:ascii="宋体" w:hAnsi="宋体" w:eastAsia="宋体"/>
                <w:sz w:val="24"/>
              </w:rPr>
              <w:t>项目支出绩效自评表</w:t>
            </w:r>
          </w:p>
        </w:tc>
      </w:tr>
      <w:tr w14:paraId="048718BD">
        <w:tblPrEx>
          <w:tblCellMar>
            <w:top w:w="0" w:type="dxa"/>
            <w:left w:w="108" w:type="dxa"/>
            <w:bottom w:w="0" w:type="dxa"/>
            <w:right w:w="108" w:type="dxa"/>
          </w:tblCellMar>
        </w:tblPrEx>
        <w:tc>
          <w:tcPr>
            <w:tcW w:w="8848" w:type="dxa"/>
            <w:gridSpan w:val="14"/>
            <w:vAlign w:val="center"/>
          </w:tcPr>
          <w:p w14:paraId="05BA3EA1">
            <w:pPr>
              <w:jc w:val="center"/>
            </w:pPr>
            <w:r>
              <w:rPr>
                <w:rFonts w:ascii="宋体" w:hAnsi="宋体" w:eastAsia="宋体"/>
                <w:sz w:val="24"/>
              </w:rPr>
              <w:t>(2024年度)</w:t>
            </w:r>
          </w:p>
        </w:tc>
      </w:tr>
      <w:tr w14:paraId="728145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2D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DE194F">
            <w:pPr>
              <w:jc w:val="center"/>
            </w:pPr>
            <w:r>
              <w:rPr>
                <w:rFonts w:ascii="宋体" w:hAnsi="宋体" w:eastAsia="宋体"/>
                <w:sz w:val="16"/>
              </w:rPr>
              <w:t>上海援疆项目</w:t>
            </w:r>
            <w:r>
              <w:rPr>
                <w:rFonts w:hint="eastAsia" w:ascii="宋体" w:hAnsi="宋体"/>
                <w:sz w:val="16"/>
                <w:lang w:eastAsia="zh-CN"/>
              </w:rPr>
              <w:t>－</w:t>
            </w:r>
            <w:r>
              <w:rPr>
                <w:rFonts w:ascii="宋体" w:hAnsi="宋体" w:eastAsia="宋体"/>
                <w:sz w:val="16"/>
              </w:rPr>
              <w:t>叶城县文化润疆—石榴花节活动项目</w:t>
            </w:r>
          </w:p>
        </w:tc>
      </w:tr>
      <w:tr w14:paraId="6DFD48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A3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ED4EB">
            <w:pPr>
              <w:jc w:val="center"/>
            </w:pPr>
            <w:r>
              <w:rPr>
                <w:rFonts w:ascii="宋体" w:hAnsi="宋体" w:eastAsia="宋体"/>
                <w:sz w:val="16"/>
              </w:rPr>
              <w:t>叶城县伯西热克镇人民政府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DE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751917">
            <w:pPr>
              <w:jc w:val="center"/>
            </w:pPr>
            <w:r>
              <w:rPr>
                <w:rFonts w:ascii="宋体" w:hAnsi="宋体" w:eastAsia="宋体"/>
                <w:sz w:val="16"/>
              </w:rPr>
              <w:t>叶城县伯西热克镇人民政府</w:t>
            </w:r>
          </w:p>
        </w:tc>
      </w:tr>
      <w:tr w14:paraId="2456A5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9A2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A1B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AC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E1E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8F5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0EB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12E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4D26">
            <w:pPr>
              <w:jc w:val="center"/>
            </w:pPr>
            <w:r>
              <w:rPr>
                <w:rFonts w:ascii="宋体" w:hAnsi="宋体" w:eastAsia="宋体"/>
                <w:sz w:val="16"/>
              </w:rPr>
              <w:t>得分</w:t>
            </w:r>
          </w:p>
        </w:tc>
      </w:tr>
      <w:tr w14:paraId="6B881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8EE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5F5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406E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E75E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A1B9C">
            <w:pPr>
              <w:jc w:val="center"/>
            </w:pPr>
            <w:r>
              <w:rPr>
                <w:rFonts w:ascii="宋体" w:hAnsi="宋体" w:eastAsia="宋体"/>
                <w:sz w:val="16"/>
              </w:rPr>
              <w:t>15.96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58F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32EA2">
            <w:pPr>
              <w:jc w:val="center"/>
            </w:pPr>
            <w:r>
              <w:rPr>
                <w:rFonts w:ascii="宋体" w:hAnsi="宋体" w:eastAsia="宋体"/>
                <w:sz w:val="16"/>
              </w:rPr>
              <w:t>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330A">
            <w:pPr>
              <w:jc w:val="center"/>
            </w:pPr>
            <w:r>
              <w:rPr>
                <w:rFonts w:ascii="宋体" w:hAnsi="宋体" w:eastAsia="宋体"/>
                <w:sz w:val="16"/>
              </w:rPr>
              <w:t>4.95分</w:t>
            </w:r>
          </w:p>
        </w:tc>
      </w:tr>
      <w:tr w14:paraId="72A29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35B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65F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5E3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886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4EF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CA5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403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07D1">
            <w:pPr>
              <w:jc w:val="center"/>
            </w:pPr>
            <w:r>
              <w:rPr>
                <w:rFonts w:ascii="宋体" w:hAnsi="宋体" w:eastAsia="宋体"/>
                <w:sz w:val="16"/>
              </w:rPr>
              <w:t>—</w:t>
            </w:r>
          </w:p>
        </w:tc>
      </w:tr>
      <w:tr w14:paraId="1EDE2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0A5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83B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2169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401D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43FF8">
            <w:pPr>
              <w:jc w:val="center"/>
            </w:pPr>
            <w:r>
              <w:rPr>
                <w:rFonts w:ascii="宋体" w:hAnsi="宋体" w:eastAsia="宋体"/>
                <w:sz w:val="16"/>
              </w:rPr>
              <w:t>15.96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EC9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FC0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C530">
            <w:pPr>
              <w:jc w:val="center"/>
            </w:pPr>
            <w:r>
              <w:rPr>
                <w:rFonts w:ascii="宋体" w:hAnsi="宋体" w:eastAsia="宋体"/>
                <w:sz w:val="16"/>
              </w:rPr>
              <w:t>—</w:t>
            </w:r>
          </w:p>
        </w:tc>
      </w:tr>
      <w:tr w14:paraId="7D9AD7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455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CAA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6E16CD">
            <w:pPr>
              <w:jc w:val="center"/>
            </w:pPr>
            <w:r>
              <w:rPr>
                <w:rFonts w:ascii="宋体" w:hAnsi="宋体" w:eastAsia="宋体"/>
                <w:sz w:val="16"/>
              </w:rPr>
              <w:t>实际完成情况</w:t>
            </w:r>
          </w:p>
        </w:tc>
      </w:tr>
      <w:tr w14:paraId="4FC96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466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A8BEF">
            <w:pPr>
              <w:jc w:val="both"/>
            </w:pPr>
            <w:r>
              <w:rPr>
                <w:rFonts w:ascii="宋体" w:hAnsi="宋体" w:eastAsia="宋体"/>
                <w:sz w:val="16"/>
              </w:rPr>
              <w:t>项目总投资20万元，为深入贯彻文化润疆战略，提高叶城石榴知名度促进农民增收产业发展，通过聘请第三方实施活动策划、氛围营造、活动前后预热（摄影、美食大赛）开展活动（京剧、舞蹈、独奏）及自媒体发布等形式打响叶城石榴品牌。提高农民生活幸福感带动当地特色产业的发展，活跃当地的经济市场，促进资源的合理利用，带动当地旅游市场的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5B1E38">
            <w:pPr>
              <w:jc w:val="both"/>
            </w:pPr>
            <w:r>
              <w:rPr>
                <w:rFonts w:hint="eastAsia" w:ascii="宋体" w:hAnsi="宋体"/>
                <w:sz w:val="16"/>
                <w:lang w:eastAsia="zh-CN"/>
              </w:rPr>
              <w:t>截至2024</w:t>
            </w:r>
            <w:r>
              <w:rPr>
                <w:rFonts w:ascii="宋体" w:hAnsi="宋体" w:eastAsia="宋体"/>
                <w:sz w:val="16"/>
              </w:rPr>
              <w:t>年12月31日，项目预算资金20万元，到位资金20万元，实际支出15.96万元，项目实施通过聘请第三方实施活动策划，氛围营造，进行美食大赛，开展各种文艺活动，提高农民生活幸福感带动当地特</w:t>
            </w:r>
            <w:r>
              <w:rPr>
                <w:rFonts w:hint="eastAsia" w:ascii="宋体" w:hAnsi="宋体"/>
                <w:sz w:val="16"/>
                <w:lang w:eastAsia="zh-CN"/>
              </w:rPr>
              <w:t>色产</w:t>
            </w:r>
            <w:r>
              <w:rPr>
                <w:rFonts w:ascii="宋体" w:hAnsi="宋体" w:eastAsia="宋体"/>
                <w:sz w:val="16"/>
              </w:rPr>
              <w:t>业的发展，活跃当地的经济市场。</w:t>
            </w:r>
          </w:p>
        </w:tc>
      </w:tr>
      <w:tr w14:paraId="762CC4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1551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3E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C6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55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B19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87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28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E96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61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53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49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D8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B22F9">
            <w:pPr>
              <w:jc w:val="center"/>
            </w:pPr>
            <w:r>
              <w:rPr>
                <w:rFonts w:ascii="宋体" w:hAnsi="宋体" w:eastAsia="宋体"/>
                <w:sz w:val="16"/>
              </w:rPr>
              <w:t>偏差原因分析及改进措施</w:t>
            </w:r>
          </w:p>
        </w:tc>
      </w:tr>
      <w:tr w14:paraId="78D3C3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6DB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E9C0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13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ECC3">
            <w:pPr>
              <w:jc w:val="center"/>
            </w:pPr>
            <w:r>
              <w:rPr>
                <w:rFonts w:ascii="宋体" w:hAnsi="宋体" w:eastAsia="宋体"/>
                <w:sz w:val="16"/>
              </w:rPr>
              <w:t>开展活动演出天数（天）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1DB1">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7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38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6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BB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FD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9417">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9E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060F4">
            <w:pPr>
              <w:jc w:val="center"/>
            </w:pPr>
          </w:p>
        </w:tc>
      </w:tr>
      <w:tr w14:paraId="24E24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561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41D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EC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6D43">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C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D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65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C7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9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E5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B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B9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0EF73">
            <w:pPr>
              <w:jc w:val="center"/>
            </w:pPr>
          </w:p>
        </w:tc>
      </w:tr>
      <w:tr w14:paraId="03A67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82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E52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BC3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DBD0">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25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CB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E2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D8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83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E57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EB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95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1BFF9">
            <w:pPr>
              <w:jc w:val="center"/>
            </w:pPr>
          </w:p>
        </w:tc>
      </w:tr>
      <w:tr w14:paraId="325A6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A1D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C1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8F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E87E">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FFA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3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D1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C6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7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EB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8249">
            <w:pPr>
              <w:jc w:val="center"/>
            </w:pPr>
            <w:r>
              <w:rPr>
                <w:rFonts w:ascii="宋体" w:hAnsi="宋体" w:eastAsia="宋体"/>
                <w:sz w:val="16"/>
              </w:rPr>
              <w:t>2024年7月12日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B0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BAA15">
            <w:pPr>
              <w:jc w:val="center"/>
            </w:pPr>
          </w:p>
        </w:tc>
      </w:tr>
      <w:tr w14:paraId="0F34D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6A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EC4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83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C13B">
            <w:pPr>
              <w:jc w:val="center"/>
            </w:pPr>
            <w:r>
              <w:rPr>
                <w:rFonts w:ascii="宋体" w:hAnsi="宋体" w:eastAsia="宋体"/>
                <w:sz w:val="16"/>
              </w:rPr>
              <w:t>活动演出成本（万元/天）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0D76">
            <w:pPr>
              <w:jc w:val="center"/>
            </w:pPr>
            <w:r>
              <w:rPr>
                <w:rFonts w:ascii="宋体" w:hAnsi="宋体" w:eastAsia="宋体"/>
                <w:sz w:val="16"/>
              </w:rPr>
              <w:t>&lt;=1.33万元/天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E2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A7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C6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8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3C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B2C3">
            <w:pPr>
              <w:jc w:val="center"/>
            </w:pPr>
            <w:r>
              <w:rPr>
                <w:rFonts w:ascii="宋体" w:hAnsi="宋体" w:eastAsia="宋体"/>
                <w:sz w:val="16"/>
              </w:rPr>
              <w:t>=15.96万元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C37E">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6DF2F">
            <w:pPr>
              <w:jc w:val="center"/>
            </w:pPr>
            <w:r>
              <w:rPr>
                <w:rFonts w:ascii="宋体" w:hAnsi="宋体" w:eastAsia="宋体"/>
                <w:sz w:val="16"/>
              </w:rPr>
              <w:t>偏差原因：项目已实施完毕，等审计</w:t>
            </w:r>
            <w:r>
              <w:rPr>
                <w:rFonts w:hint="eastAsia" w:ascii="宋体" w:hAnsi="宋体"/>
                <w:sz w:val="16"/>
                <w:lang w:eastAsia="zh-CN"/>
              </w:rPr>
              <w:t>完成</w:t>
            </w:r>
            <w:r>
              <w:rPr>
                <w:rFonts w:ascii="宋体" w:hAnsi="宋体" w:eastAsia="宋体"/>
                <w:sz w:val="16"/>
              </w:rPr>
              <w:t>再拨付。整改措施：审计结束之后申请资金拨付。</w:t>
            </w:r>
          </w:p>
        </w:tc>
      </w:tr>
      <w:tr w14:paraId="3387C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433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96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1C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0955">
            <w:pPr>
              <w:jc w:val="center"/>
            </w:pPr>
            <w:r>
              <w:rPr>
                <w:rFonts w:ascii="宋体" w:hAnsi="宋体" w:eastAsia="宋体"/>
                <w:sz w:val="16"/>
              </w:rPr>
              <w:t>提高农民生活幸福感带动当地特色产业的发展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0DF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84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20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BE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FB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C1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74F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EC9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4DD3E">
            <w:pPr>
              <w:jc w:val="center"/>
            </w:pPr>
          </w:p>
        </w:tc>
      </w:tr>
      <w:tr w14:paraId="3813E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F63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2E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1A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018C">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AE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20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99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CE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D5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A6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A7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88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5792A">
            <w:pPr>
              <w:jc w:val="center"/>
            </w:pPr>
          </w:p>
        </w:tc>
      </w:tr>
      <w:tr w14:paraId="0BC3860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85DA2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3B0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F39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A600">
            <w:pPr>
              <w:jc w:val="center"/>
            </w:pPr>
            <w:r>
              <w:rPr>
                <w:rFonts w:ascii="宋体" w:hAnsi="宋体" w:eastAsia="宋体"/>
                <w:sz w:val="16"/>
              </w:rPr>
              <w:t>84.45分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C48AF0"/>
        </w:tc>
      </w:tr>
    </w:tbl>
    <w:p w14:paraId="5008719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FA57265">
        <w:tblPrEx>
          <w:tblCellMar>
            <w:top w:w="0" w:type="dxa"/>
            <w:left w:w="108" w:type="dxa"/>
            <w:bottom w:w="0" w:type="dxa"/>
            <w:right w:w="108" w:type="dxa"/>
          </w:tblCellMar>
        </w:tblPrEx>
        <w:tc>
          <w:tcPr>
            <w:tcW w:w="8848" w:type="dxa"/>
            <w:gridSpan w:val="14"/>
            <w:vAlign w:val="center"/>
          </w:tcPr>
          <w:p w14:paraId="7F4A05C6">
            <w:pPr>
              <w:jc w:val="center"/>
            </w:pPr>
            <w:r>
              <w:rPr>
                <w:rFonts w:ascii="宋体" w:hAnsi="宋体" w:eastAsia="宋体"/>
                <w:sz w:val="24"/>
              </w:rPr>
              <w:t>项目支出绩效自评表</w:t>
            </w:r>
          </w:p>
        </w:tc>
      </w:tr>
      <w:tr w14:paraId="0200D09E">
        <w:tblPrEx>
          <w:tblCellMar>
            <w:top w:w="0" w:type="dxa"/>
            <w:left w:w="108" w:type="dxa"/>
            <w:bottom w:w="0" w:type="dxa"/>
            <w:right w:w="108" w:type="dxa"/>
          </w:tblCellMar>
        </w:tblPrEx>
        <w:tc>
          <w:tcPr>
            <w:tcW w:w="8848" w:type="dxa"/>
            <w:gridSpan w:val="14"/>
            <w:vAlign w:val="center"/>
          </w:tcPr>
          <w:p w14:paraId="6FD227B5">
            <w:pPr>
              <w:jc w:val="center"/>
            </w:pPr>
            <w:r>
              <w:rPr>
                <w:rFonts w:ascii="宋体" w:hAnsi="宋体" w:eastAsia="宋体"/>
                <w:sz w:val="24"/>
              </w:rPr>
              <w:t>(2024年度)</w:t>
            </w:r>
          </w:p>
        </w:tc>
      </w:tr>
      <w:tr w14:paraId="64BEFF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DD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BAE4A2">
            <w:pPr>
              <w:jc w:val="center"/>
            </w:pPr>
            <w:r>
              <w:rPr>
                <w:rFonts w:ascii="宋体" w:hAnsi="宋体" w:eastAsia="宋体"/>
                <w:sz w:val="16"/>
              </w:rPr>
              <w:t>上海援疆项目</w:t>
            </w:r>
            <w:r>
              <w:rPr>
                <w:rFonts w:hint="eastAsia" w:ascii="宋体" w:hAnsi="宋体"/>
                <w:sz w:val="16"/>
                <w:lang w:eastAsia="zh-CN"/>
              </w:rPr>
              <w:t>－</w:t>
            </w:r>
            <w:r>
              <w:rPr>
                <w:rFonts w:ascii="宋体" w:hAnsi="宋体" w:eastAsia="宋体"/>
                <w:sz w:val="16"/>
              </w:rPr>
              <w:t>叶城县林果业发展</w:t>
            </w:r>
            <w:r>
              <w:rPr>
                <w:rFonts w:hint="eastAsia" w:ascii="宋体" w:hAnsi="宋体"/>
                <w:sz w:val="16"/>
                <w:lang w:eastAsia="zh-CN"/>
              </w:rPr>
              <w:t>－</w:t>
            </w:r>
            <w:r>
              <w:rPr>
                <w:rFonts w:ascii="宋体" w:hAnsi="宋体" w:eastAsia="宋体"/>
                <w:sz w:val="16"/>
              </w:rPr>
              <w:t>伯西热克镇石榴认证项目</w:t>
            </w:r>
          </w:p>
        </w:tc>
      </w:tr>
      <w:tr w14:paraId="655E4D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7E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D36ED0">
            <w:pPr>
              <w:jc w:val="center"/>
            </w:pPr>
            <w:r>
              <w:rPr>
                <w:rFonts w:ascii="宋体" w:hAnsi="宋体" w:eastAsia="宋体"/>
                <w:sz w:val="16"/>
              </w:rPr>
              <w:t>叶城县伯西热克镇人民政府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85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E7DB29">
            <w:pPr>
              <w:jc w:val="center"/>
            </w:pPr>
            <w:r>
              <w:rPr>
                <w:rFonts w:ascii="宋体" w:hAnsi="宋体" w:eastAsia="宋体"/>
                <w:sz w:val="16"/>
              </w:rPr>
              <w:t>叶城县伯西热克镇人民政府</w:t>
            </w:r>
          </w:p>
        </w:tc>
      </w:tr>
      <w:tr w14:paraId="208B0A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0D0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528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9FB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F5D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C84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809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F04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ACF7">
            <w:pPr>
              <w:jc w:val="center"/>
            </w:pPr>
            <w:r>
              <w:rPr>
                <w:rFonts w:ascii="宋体" w:hAnsi="宋体" w:eastAsia="宋体"/>
                <w:sz w:val="16"/>
              </w:rPr>
              <w:t>得分</w:t>
            </w:r>
          </w:p>
        </w:tc>
      </w:tr>
      <w:tr w14:paraId="66907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77E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70B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42D9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9CBA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5BAEC">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8E4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76BBC">
            <w:pPr>
              <w:jc w:val="center"/>
            </w:pPr>
            <w:r>
              <w:rPr>
                <w:rFonts w:ascii="宋体" w:hAnsi="宋体" w:eastAsia="宋体"/>
                <w:sz w:val="16"/>
              </w:rPr>
              <w:t>80.0%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A216">
            <w:pPr>
              <w:jc w:val="center"/>
            </w:pPr>
            <w:r>
              <w:rPr>
                <w:rFonts w:ascii="宋体" w:hAnsi="宋体" w:eastAsia="宋体"/>
                <w:sz w:val="16"/>
              </w:rPr>
              <w:t>5.00分</w:t>
            </w:r>
          </w:p>
        </w:tc>
      </w:tr>
      <w:tr w14:paraId="7B1E1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087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F6B2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CBA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F58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0AD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D41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AE6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FFCD">
            <w:pPr>
              <w:jc w:val="center"/>
            </w:pPr>
            <w:r>
              <w:rPr>
                <w:rFonts w:ascii="宋体" w:hAnsi="宋体" w:eastAsia="宋体"/>
                <w:sz w:val="16"/>
              </w:rPr>
              <w:t>—</w:t>
            </w:r>
          </w:p>
        </w:tc>
      </w:tr>
      <w:tr w14:paraId="78DAF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16F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1E8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D272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D57D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2FCD5">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11D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93E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E9A7">
            <w:pPr>
              <w:jc w:val="center"/>
            </w:pPr>
            <w:r>
              <w:rPr>
                <w:rFonts w:ascii="宋体" w:hAnsi="宋体" w:eastAsia="宋体"/>
                <w:sz w:val="16"/>
              </w:rPr>
              <w:t>—</w:t>
            </w:r>
          </w:p>
        </w:tc>
      </w:tr>
      <w:tr w14:paraId="520B1F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8681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9614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458F57">
            <w:pPr>
              <w:jc w:val="center"/>
            </w:pPr>
            <w:r>
              <w:rPr>
                <w:rFonts w:ascii="宋体" w:hAnsi="宋体" w:eastAsia="宋体"/>
                <w:sz w:val="16"/>
              </w:rPr>
              <w:t>实际完成情况</w:t>
            </w:r>
          </w:p>
        </w:tc>
      </w:tr>
      <w:tr w14:paraId="60FF8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988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4CC768">
            <w:pPr>
              <w:jc w:val="both"/>
            </w:pPr>
            <w:r>
              <w:rPr>
                <w:rFonts w:ascii="宋体" w:hAnsi="宋体" w:eastAsia="宋体"/>
                <w:sz w:val="16"/>
              </w:rPr>
              <w:t>该项目预算资金100万元，主要用于对伯西热克镇薄皮石榴申请国家地理标志农产品认证，农产品气候认证，提高石榴产品附加值，挖掘石榴文化，提高全镇农民收入。项目的实施有效提高农民生活幸福感带动当地特色产业的发展，活跃当地的经济市场，促进资源的合理利用，带动当地产业和旅游市场的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D49988">
            <w:pPr>
              <w:jc w:val="both"/>
            </w:pPr>
            <w:r>
              <w:rPr>
                <w:rFonts w:hint="eastAsia" w:ascii="宋体" w:hAnsi="宋体"/>
                <w:sz w:val="16"/>
                <w:lang w:eastAsia="zh-CN"/>
              </w:rPr>
              <w:t>截至2024</w:t>
            </w:r>
            <w:r>
              <w:rPr>
                <w:rFonts w:ascii="宋体" w:hAnsi="宋体" w:eastAsia="宋体"/>
                <w:sz w:val="16"/>
              </w:rPr>
              <w:t>年12月31日，项目预算安排资金100万元，到位资金100万元，实际支出80万元，项目实施于伯西热克镇薄皮石榴申请国家地理标志农产品认证，农产品气候认证，提高石榴产品附加值，挖掘石榴文化。项目的实施有效提高农民生活幸福感带动当地特色产业的发展，活跃当地的经济市场。</w:t>
            </w:r>
          </w:p>
        </w:tc>
      </w:tr>
      <w:tr w14:paraId="5FC69D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35DD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EB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BE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39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C16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71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E4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55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0A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BF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FFE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49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43941">
            <w:pPr>
              <w:jc w:val="center"/>
            </w:pPr>
            <w:r>
              <w:rPr>
                <w:rFonts w:ascii="宋体" w:hAnsi="宋体" w:eastAsia="宋体"/>
                <w:sz w:val="16"/>
              </w:rPr>
              <w:t>偏差原因分析及改进措施</w:t>
            </w:r>
          </w:p>
        </w:tc>
      </w:tr>
      <w:tr w14:paraId="1A0C5F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6DD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559D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1D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281C">
            <w:pPr>
              <w:jc w:val="center"/>
            </w:pPr>
            <w:r>
              <w:rPr>
                <w:rFonts w:ascii="宋体" w:hAnsi="宋体" w:eastAsia="宋体"/>
                <w:sz w:val="16"/>
              </w:rPr>
              <w:t>农产品气候品质服务认证乡镇数量（个）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A4D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5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61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80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02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24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9E5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A1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1989A">
            <w:pPr>
              <w:jc w:val="center"/>
            </w:pPr>
          </w:p>
        </w:tc>
      </w:tr>
      <w:tr w14:paraId="5368F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539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AE1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38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66A7">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0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37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95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F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F2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79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37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243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4C8C7">
            <w:pPr>
              <w:jc w:val="center"/>
            </w:pPr>
            <w:r>
              <w:rPr>
                <w:rFonts w:ascii="宋体" w:hAnsi="宋体" w:eastAsia="宋体"/>
                <w:sz w:val="16"/>
              </w:rPr>
              <w:t>偏差原因：项目未完工，未验收。整改措施：项目完工之后进行验收。</w:t>
            </w:r>
          </w:p>
        </w:tc>
      </w:tr>
      <w:tr w14:paraId="11070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404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38B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156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817F">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7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3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38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44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B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2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3711">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109D">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5828E">
            <w:pPr>
              <w:jc w:val="center"/>
            </w:pPr>
            <w:r>
              <w:rPr>
                <w:rFonts w:ascii="宋体" w:hAnsi="宋体" w:eastAsia="宋体"/>
                <w:sz w:val="16"/>
              </w:rPr>
              <w:t>偏差原因：因还在办理国家地理标志，未能按时完工。整改措施：预计2025年4月20日完工。</w:t>
            </w:r>
          </w:p>
        </w:tc>
      </w:tr>
      <w:tr w14:paraId="33BA0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64C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0C5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1F2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8369">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84F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4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E5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65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38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BC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A442">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4FE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C7ACA">
            <w:pPr>
              <w:jc w:val="center"/>
            </w:pPr>
            <w:r>
              <w:rPr>
                <w:rFonts w:ascii="宋体" w:hAnsi="宋体" w:eastAsia="宋体"/>
                <w:sz w:val="16"/>
              </w:rPr>
              <w:t>偏差原因：因还在办理国家地理标志，未能按时完工。整改措施：预计2025年4月20日完工。</w:t>
            </w:r>
          </w:p>
        </w:tc>
      </w:tr>
      <w:tr w14:paraId="5DD243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B4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68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44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ED30">
            <w:pPr>
              <w:jc w:val="center"/>
            </w:pPr>
            <w:r>
              <w:rPr>
                <w:rFonts w:ascii="宋体" w:hAnsi="宋体" w:eastAsia="宋体"/>
                <w:sz w:val="16"/>
              </w:rPr>
              <w:t>农产品气候品质服务认证成本（万元）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0550">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4A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8F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C2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06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76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4FC7">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41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3F062">
            <w:pPr>
              <w:jc w:val="center"/>
            </w:pPr>
            <w:r>
              <w:rPr>
                <w:rFonts w:ascii="宋体" w:hAnsi="宋体" w:eastAsia="宋体"/>
                <w:sz w:val="16"/>
              </w:rPr>
              <w:t>偏差原因：国家地理标志等国家知识产权局批复。整改措施：尽快办理，加快项目实施进度。</w:t>
            </w:r>
          </w:p>
        </w:tc>
      </w:tr>
      <w:tr w14:paraId="7AF75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687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FE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07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1710">
            <w:pPr>
              <w:jc w:val="center"/>
            </w:pPr>
            <w:r>
              <w:rPr>
                <w:rFonts w:ascii="宋体" w:hAnsi="宋体" w:eastAsia="宋体"/>
                <w:sz w:val="16"/>
              </w:rPr>
              <w:t>提高农民生活幸福感带动当地特色产业的发展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575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65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4D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42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D4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3E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C50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D0E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B6973">
            <w:pPr>
              <w:jc w:val="center"/>
            </w:pPr>
          </w:p>
        </w:tc>
      </w:tr>
      <w:tr w14:paraId="1CC93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22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D4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FD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5888">
            <w:pPr>
              <w:jc w:val="center"/>
            </w:pPr>
            <w:r>
              <w:rPr>
                <w:rFonts w:ascii="宋体" w:hAnsi="宋体" w:eastAsia="宋体"/>
                <w:sz w:val="16"/>
              </w:rPr>
              <w:t>受益乡镇居民满意度（%）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31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D0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5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5D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246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4C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C9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81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98552">
            <w:pPr>
              <w:jc w:val="center"/>
            </w:pPr>
          </w:p>
        </w:tc>
      </w:tr>
      <w:tr w14:paraId="327D799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828A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2DB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451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AAE2">
            <w:pPr>
              <w:jc w:val="center"/>
            </w:pPr>
            <w:r>
              <w:rPr>
                <w:rFonts w:ascii="宋体" w:hAnsi="宋体" w:eastAsia="宋体"/>
                <w:sz w:val="16"/>
              </w:rPr>
              <w:t>57.5分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B2CC992"/>
        </w:tc>
      </w:tr>
    </w:tbl>
    <w:p w14:paraId="0E9048F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07A9244">
        <w:tblPrEx>
          <w:tblCellMar>
            <w:top w:w="0" w:type="dxa"/>
            <w:left w:w="108" w:type="dxa"/>
            <w:bottom w:w="0" w:type="dxa"/>
            <w:right w:w="108" w:type="dxa"/>
          </w:tblCellMar>
        </w:tblPrEx>
        <w:tc>
          <w:tcPr>
            <w:tcW w:w="8848" w:type="dxa"/>
            <w:gridSpan w:val="14"/>
            <w:vAlign w:val="center"/>
          </w:tcPr>
          <w:p w14:paraId="04C3D737">
            <w:pPr>
              <w:jc w:val="center"/>
            </w:pPr>
            <w:r>
              <w:rPr>
                <w:rFonts w:ascii="宋体" w:hAnsi="宋体" w:eastAsia="宋体"/>
                <w:sz w:val="24"/>
              </w:rPr>
              <w:t>项目支出绩效自评表</w:t>
            </w:r>
          </w:p>
        </w:tc>
      </w:tr>
      <w:tr w14:paraId="30D8C671">
        <w:tblPrEx>
          <w:tblCellMar>
            <w:top w:w="0" w:type="dxa"/>
            <w:left w:w="108" w:type="dxa"/>
            <w:bottom w:w="0" w:type="dxa"/>
            <w:right w:w="108" w:type="dxa"/>
          </w:tblCellMar>
        </w:tblPrEx>
        <w:tc>
          <w:tcPr>
            <w:tcW w:w="8848" w:type="dxa"/>
            <w:gridSpan w:val="14"/>
            <w:vAlign w:val="center"/>
          </w:tcPr>
          <w:p w14:paraId="5A04C2D4">
            <w:pPr>
              <w:jc w:val="center"/>
            </w:pPr>
            <w:r>
              <w:rPr>
                <w:rFonts w:ascii="宋体" w:hAnsi="宋体" w:eastAsia="宋体"/>
                <w:sz w:val="24"/>
              </w:rPr>
              <w:t>(2024年度)</w:t>
            </w:r>
          </w:p>
        </w:tc>
      </w:tr>
      <w:tr w14:paraId="48C648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92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1705F1">
            <w:pPr>
              <w:jc w:val="center"/>
            </w:pPr>
            <w:r>
              <w:rPr>
                <w:rFonts w:ascii="宋体" w:hAnsi="宋体" w:eastAsia="宋体"/>
                <w:sz w:val="16"/>
              </w:rPr>
              <w:t>叶城县伯西热克镇2024年县级专项公用经费项目</w:t>
            </w:r>
          </w:p>
        </w:tc>
      </w:tr>
      <w:tr w14:paraId="29F311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9B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037284">
            <w:pPr>
              <w:jc w:val="center"/>
            </w:pPr>
            <w:r>
              <w:rPr>
                <w:rFonts w:ascii="宋体" w:hAnsi="宋体" w:eastAsia="宋体"/>
                <w:sz w:val="16"/>
              </w:rPr>
              <w:t>叶城县伯西热克镇人民政府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30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4ACFEE">
            <w:pPr>
              <w:jc w:val="center"/>
            </w:pPr>
            <w:r>
              <w:rPr>
                <w:rFonts w:ascii="宋体" w:hAnsi="宋体" w:eastAsia="宋体"/>
                <w:sz w:val="16"/>
              </w:rPr>
              <w:t>叶城县伯西热克镇人民政府</w:t>
            </w:r>
          </w:p>
        </w:tc>
      </w:tr>
      <w:tr w14:paraId="070B64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0FD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03D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155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FB6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2EF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C86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D4B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7BC6">
            <w:pPr>
              <w:jc w:val="center"/>
            </w:pPr>
            <w:r>
              <w:rPr>
                <w:rFonts w:ascii="宋体" w:hAnsi="宋体" w:eastAsia="宋体"/>
                <w:sz w:val="16"/>
              </w:rPr>
              <w:t>得分</w:t>
            </w:r>
          </w:p>
        </w:tc>
      </w:tr>
      <w:tr w14:paraId="7ED30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5D0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925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0E3B8">
            <w:pPr>
              <w:jc w:val="center"/>
            </w:pPr>
            <w:r>
              <w:rPr>
                <w:rFonts w:ascii="宋体" w:hAnsi="宋体" w:eastAsia="宋体"/>
                <w:sz w:val="16"/>
              </w:rPr>
              <w:t>64.30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7D4A9">
            <w:pPr>
              <w:jc w:val="center"/>
            </w:pPr>
            <w:r>
              <w:rPr>
                <w:rFonts w:ascii="宋体" w:hAnsi="宋体" w:eastAsia="宋体"/>
                <w:sz w:val="16"/>
              </w:rPr>
              <w:t>64.30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24375">
            <w:pPr>
              <w:jc w:val="center"/>
            </w:pPr>
            <w:r>
              <w:rPr>
                <w:rFonts w:ascii="宋体" w:hAnsi="宋体" w:eastAsia="宋体"/>
                <w:sz w:val="16"/>
              </w:rPr>
              <w:t>58.68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328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5116F">
            <w:pPr>
              <w:jc w:val="center"/>
            </w:pPr>
            <w:r>
              <w:rPr>
                <w:rFonts w:ascii="宋体" w:hAnsi="宋体" w:eastAsia="宋体"/>
                <w:sz w:val="16"/>
              </w:rPr>
              <w:t>91.3%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027D4">
            <w:pPr>
              <w:jc w:val="center"/>
            </w:pPr>
            <w:r>
              <w:rPr>
                <w:rFonts w:ascii="宋体" w:hAnsi="宋体" w:eastAsia="宋体"/>
                <w:sz w:val="16"/>
              </w:rPr>
              <w:t>7.82分</w:t>
            </w:r>
          </w:p>
        </w:tc>
      </w:tr>
      <w:tr w14:paraId="3D0E8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677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460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796D9">
            <w:pPr>
              <w:jc w:val="center"/>
            </w:pPr>
            <w:r>
              <w:rPr>
                <w:rFonts w:ascii="宋体" w:hAnsi="宋体" w:eastAsia="宋体"/>
                <w:sz w:val="16"/>
              </w:rPr>
              <w:t>64.30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56653">
            <w:pPr>
              <w:jc w:val="center"/>
            </w:pPr>
            <w:r>
              <w:rPr>
                <w:rFonts w:ascii="宋体" w:hAnsi="宋体" w:eastAsia="宋体"/>
                <w:sz w:val="16"/>
              </w:rPr>
              <w:t>64.30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69E9D">
            <w:pPr>
              <w:jc w:val="center"/>
            </w:pPr>
            <w:r>
              <w:rPr>
                <w:rFonts w:ascii="宋体" w:hAnsi="宋体" w:eastAsia="宋体"/>
                <w:sz w:val="16"/>
              </w:rPr>
              <w:t>58.68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0F5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AB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4DEC">
            <w:pPr>
              <w:jc w:val="center"/>
            </w:pPr>
            <w:r>
              <w:rPr>
                <w:rFonts w:ascii="宋体" w:hAnsi="宋体" w:eastAsia="宋体"/>
                <w:sz w:val="16"/>
              </w:rPr>
              <w:t>—</w:t>
            </w:r>
          </w:p>
        </w:tc>
      </w:tr>
      <w:tr w14:paraId="631F6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66A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E17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C2E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52B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87C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AA7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FE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D36D">
            <w:pPr>
              <w:jc w:val="center"/>
            </w:pPr>
            <w:r>
              <w:rPr>
                <w:rFonts w:ascii="宋体" w:hAnsi="宋体" w:eastAsia="宋体"/>
                <w:sz w:val="16"/>
              </w:rPr>
              <w:t>—</w:t>
            </w:r>
          </w:p>
        </w:tc>
      </w:tr>
      <w:tr w14:paraId="5EEA50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25EE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CC96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B66B50">
            <w:pPr>
              <w:jc w:val="center"/>
            </w:pPr>
            <w:r>
              <w:rPr>
                <w:rFonts w:ascii="宋体" w:hAnsi="宋体" w:eastAsia="宋体"/>
                <w:sz w:val="16"/>
              </w:rPr>
              <w:t>实际完成情况</w:t>
            </w:r>
          </w:p>
        </w:tc>
      </w:tr>
      <w:tr w14:paraId="565A3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3EF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B0DDC3">
            <w:pPr>
              <w:jc w:val="both"/>
            </w:pPr>
            <w:r>
              <w:rPr>
                <w:rFonts w:ascii="宋体" w:hAnsi="宋体" w:eastAsia="宋体"/>
                <w:sz w:val="16"/>
              </w:rPr>
              <w:t>该项目预算资金64.3万元，主要用于镇机关日常办公用品采购、镇机关大楼水电和根据实际情况支付镇本级往期各类费用，项目的实施有效保障单位工作正常运转。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186072">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预算资金64.30万元，到位资金64.30万元，已支付58.68万元，主要用于镇机关日常办公用品采购、镇机关大楼水电和根据实际情况支付镇本级往期各类费用，项目的实施有效保障单位工作正常运转。</w:t>
            </w:r>
          </w:p>
        </w:tc>
      </w:tr>
      <w:tr w14:paraId="162D86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2A6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4D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EF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70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B1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20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1B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52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9DD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9A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476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AB7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D5398">
            <w:pPr>
              <w:jc w:val="center"/>
            </w:pPr>
            <w:r>
              <w:rPr>
                <w:rFonts w:ascii="宋体" w:hAnsi="宋体" w:eastAsia="宋体"/>
                <w:sz w:val="16"/>
              </w:rPr>
              <w:t>偏差原因分析及改进措施</w:t>
            </w:r>
          </w:p>
        </w:tc>
      </w:tr>
      <w:tr w14:paraId="2E3770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A9A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B2A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EA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77D9">
            <w:pPr>
              <w:jc w:val="center"/>
            </w:pPr>
            <w:r>
              <w:rPr>
                <w:rFonts w:ascii="宋体" w:hAnsi="宋体" w:eastAsia="宋体"/>
                <w:sz w:val="16"/>
              </w:rPr>
              <w:t>保障单位数量（个）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E281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E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25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EE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E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9C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50B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0B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E02FA">
            <w:pPr>
              <w:jc w:val="center"/>
            </w:pPr>
          </w:p>
        </w:tc>
      </w:tr>
      <w:tr w14:paraId="5C0E8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99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09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D2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BBB2">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6F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F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ED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6D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5C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35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C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C0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3E76E">
            <w:pPr>
              <w:jc w:val="center"/>
            </w:pPr>
          </w:p>
        </w:tc>
      </w:tr>
      <w:tr w14:paraId="04767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8FA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9B5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51D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70EE">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80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39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74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91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B4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E3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92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3D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4CDAA">
            <w:pPr>
              <w:jc w:val="center"/>
            </w:pPr>
          </w:p>
        </w:tc>
      </w:tr>
      <w:tr w14:paraId="4E8F2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A5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64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2EB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AF0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37B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9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30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E8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43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5C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7F8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83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F3A30">
            <w:pPr>
              <w:jc w:val="center"/>
            </w:pPr>
          </w:p>
        </w:tc>
      </w:tr>
      <w:tr w14:paraId="678CC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FE0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696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8FD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53C4">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E8B7">
            <w:pPr>
              <w:jc w:val="center"/>
            </w:pPr>
            <w:r>
              <w:rPr>
                <w:rFonts w:ascii="宋体" w:hAnsi="宋体" w:eastAsia="宋体"/>
                <w:sz w:val="16"/>
              </w:rPr>
              <w:t>&lt;=41.3万元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8A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8F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C6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51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3F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9546">
            <w:pPr>
              <w:jc w:val="center"/>
            </w:pPr>
            <w:r>
              <w:rPr>
                <w:rFonts w:ascii="宋体" w:hAnsi="宋体" w:eastAsia="宋体"/>
                <w:sz w:val="16"/>
              </w:rPr>
              <w:t>=41.3万元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6C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EE627">
            <w:pPr>
              <w:jc w:val="center"/>
            </w:pPr>
          </w:p>
        </w:tc>
      </w:tr>
      <w:tr w14:paraId="5A8A6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68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1E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A59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28DB">
            <w:pPr>
              <w:jc w:val="center"/>
            </w:pPr>
            <w:r>
              <w:rPr>
                <w:rFonts w:ascii="宋体" w:hAnsi="宋体" w:eastAsia="宋体"/>
                <w:sz w:val="16"/>
              </w:rPr>
              <w:t>支付电费（万元）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5938">
            <w:pPr>
              <w:jc w:val="center"/>
            </w:pPr>
            <w:r>
              <w:rPr>
                <w:rFonts w:ascii="宋体" w:hAnsi="宋体" w:eastAsia="宋体"/>
                <w:sz w:val="16"/>
              </w:rPr>
              <w:t>&lt;=23万元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DD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69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48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72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2A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FB5A">
            <w:pPr>
              <w:jc w:val="center"/>
            </w:pPr>
            <w:r>
              <w:rPr>
                <w:rFonts w:ascii="宋体" w:hAnsi="宋体" w:eastAsia="宋体"/>
                <w:sz w:val="16"/>
              </w:rPr>
              <w:t>=17.38万元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2162">
            <w:pPr>
              <w:jc w:val="center"/>
            </w:pPr>
            <w:r>
              <w:rPr>
                <w:rFonts w:ascii="宋体" w:hAnsi="宋体" w:eastAsia="宋体"/>
                <w:sz w:val="16"/>
              </w:rPr>
              <w:t>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B748F">
            <w:pPr>
              <w:jc w:val="center"/>
            </w:pPr>
            <w:r>
              <w:rPr>
                <w:rFonts w:ascii="宋体" w:hAnsi="宋体" w:eastAsia="宋体"/>
                <w:sz w:val="16"/>
              </w:rPr>
              <w:t>偏差原因：</w:t>
            </w:r>
            <w:r>
              <w:rPr>
                <w:rFonts w:hint="eastAsia" w:ascii="宋体" w:hAnsi="宋体"/>
                <w:sz w:val="16"/>
                <w:lang w:eastAsia="zh-CN"/>
              </w:rPr>
              <w:t>本着</w:t>
            </w:r>
            <w:r>
              <w:rPr>
                <w:rFonts w:ascii="宋体" w:hAnsi="宋体" w:eastAsia="宋体"/>
                <w:sz w:val="16"/>
              </w:rPr>
              <w:t>节约资金的原则，有效使用资金，取得更好的效果。整改措施：做好年初预算。</w:t>
            </w:r>
          </w:p>
        </w:tc>
      </w:tr>
      <w:tr w14:paraId="634082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B83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6B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A1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5180">
            <w:pPr>
              <w:jc w:val="center"/>
            </w:pPr>
            <w:r>
              <w:rPr>
                <w:rFonts w:ascii="宋体" w:hAnsi="宋体" w:eastAsia="宋体"/>
                <w:sz w:val="16"/>
              </w:rPr>
              <w:t>保障镇机关办公运转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ADC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61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A8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51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FF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F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DC6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81C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B539B">
            <w:pPr>
              <w:jc w:val="center"/>
            </w:pPr>
          </w:p>
        </w:tc>
      </w:tr>
      <w:tr w14:paraId="28EB1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46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57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93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815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59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D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41A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F2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83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F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FD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58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9BBE2">
            <w:pPr>
              <w:jc w:val="center"/>
            </w:pPr>
          </w:p>
        </w:tc>
      </w:tr>
      <w:tr w14:paraId="1047F30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E129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626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ABA1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D840">
            <w:pPr>
              <w:jc w:val="center"/>
            </w:pPr>
            <w:r>
              <w:rPr>
                <w:rFonts w:ascii="宋体" w:hAnsi="宋体" w:eastAsia="宋体"/>
                <w:sz w:val="16"/>
              </w:rPr>
              <w:t>91.71分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181D65"/>
        </w:tc>
      </w:tr>
    </w:tbl>
    <w:p w14:paraId="37E9839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4B0519E">
        <w:tblPrEx>
          <w:tblCellMar>
            <w:top w:w="0" w:type="dxa"/>
            <w:left w:w="108" w:type="dxa"/>
            <w:bottom w:w="0" w:type="dxa"/>
            <w:right w:w="108" w:type="dxa"/>
          </w:tblCellMar>
        </w:tblPrEx>
        <w:tc>
          <w:tcPr>
            <w:tcW w:w="8848" w:type="dxa"/>
            <w:gridSpan w:val="14"/>
            <w:vAlign w:val="center"/>
          </w:tcPr>
          <w:p w14:paraId="7AE4D7C9">
            <w:pPr>
              <w:jc w:val="center"/>
            </w:pPr>
            <w:r>
              <w:rPr>
                <w:rFonts w:ascii="宋体" w:hAnsi="宋体" w:eastAsia="宋体"/>
                <w:sz w:val="24"/>
              </w:rPr>
              <w:t>项目支出绩效自评表</w:t>
            </w:r>
          </w:p>
        </w:tc>
      </w:tr>
      <w:tr w14:paraId="23C0286B">
        <w:tblPrEx>
          <w:tblCellMar>
            <w:top w:w="0" w:type="dxa"/>
            <w:left w:w="108" w:type="dxa"/>
            <w:bottom w:w="0" w:type="dxa"/>
            <w:right w:w="108" w:type="dxa"/>
          </w:tblCellMar>
        </w:tblPrEx>
        <w:tc>
          <w:tcPr>
            <w:tcW w:w="8848" w:type="dxa"/>
            <w:gridSpan w:val="14"/>
            <w:vAlign w:val="center"/>
          </w:tcPr>
          <w:p w14:paraId="61E6542B">
            <w:pPr>
              <w:jc w:val="center"/>
            </w:pPr>
            <w:r>
              <w:rPr>
                <w:rFonts w:ascii="宋体" w:hAnsi="宋体" w:eastAsia="宋体"/>
                <w:sz w:val="24"/>
              </w:rPr>
              <w:t>(2024年度)</w:t>
            </w:r>
          </w:p>
        </w:tc>
      </w:tr>
      <w:tr w14:paraId="70F88A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C2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A7FFEA">
            <w:pPr>
              <w:jc w:val="center"/>
            </w:pPr>
            <w:r>
              <w:rPr>
                <w:rFonts w:ascii="宋体" w:hAnsi="宋体" w:eastAsia="宋体"/>
                <w:sz w:val="16"/>
              </w:rPr>
              <w:t>叶城县疾病防治工作经费（整改）项目</w:t>
            </w:r>
          </w:p>
        </w:tc>
      </w:tr>
      <w:tr w14:paraId="6C23A0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65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CE799">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58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0E68C0">
            <w:pPr>
              <w:jc w:val="center"/>
            </w:pPr>
            <w:r>
              <w:rPr>
                <w:rFonts w:ascii="宋体" w:hAnsi="宋体" w:eastAsia="宋体"/>
                <w:sz w:val="16"/>
              </w:rPr>
              <w:t>叶城县伯西热克镇人民政府</w:t>
            </w:r>
          </w:p>
        </w:tc>
      </w:tr>
      <w:tr w14:paraId="7CC78F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0907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5AC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BA5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317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F1A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E6F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E14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45E9">
            <w:pPr>
              <w:jc w:val="center"/>
            </w:pPr>
            <w:r>
              <w:rPr>
                <w:rFonts w:ascii="宋体" w:hAnsi="宋体" w:eastAsia="宋体"/>
                <w:sz w:val="16"/>
              </w:rPr>
              <w:t>得分</w:t>
            </w:r>
          </w:p>
        </w:tc>
      </w:tr>
      <w:tr w14:paraId="5CAB1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647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6E2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667BA">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FEC22">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E1940">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D8E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D865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DC14">
            <w:pPr>
              <w:jc w:val="center"/>
            </w:pPr>
            <w:r>
              <w:rPr>
                <w:rFonts w:ascii="宋体" w:hAnsi="宋体" w:eastAsia="宋体"/>
                <w:sz w:val="16"/>
              </w:rPr>
              <w:t>10.00分</w:t>
            </w:r>
          </w:p>
        </w:tc>
      </w:tr>
      <w:tr w14:paraId="1691B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4F4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A5B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0C1F4">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C5632">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226D0">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161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64E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8E76">
            <w:pPr>
              <w:jc w:val="center"/>
            </w:pPr>
            <w:r>
              <w:rPr>
                <w:rFonts w:ascii="宋体" w:hAnsi="宋体" w:eastAsia="宋体"/>
                <w:sz w:val="16"/>
              </w:rPr>
              <w:t>—</w:t>
            </w:r>
          </w:p>
        </w:tc>
      </w:tr>
      <w:tr w14:paraId="649D6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FEB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FB9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D8D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44B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D4E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A2F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E88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D3F7A">
            <w:pPr>
              <w:jc w:val="center"/>
            </w:pPr>
            <w:r>
              <w:rPr>
                <w:rFonts w:ascii="宋体" w:hAnsi="宋体" w:eastAsia="宋体"/>
                <w:sz w:val="16"/>
              </w:rPr>
              <w:t>—</w:t>
            </w:r>
          </w:p>
        </w:tc>
      </w:tr>
      <w:tr w14:paraId="6BE38D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CF2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120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9B813D">
            <w:pPr>
              <w:jc w:val="center"/>
            </w:pPr>
            <w:r>
              <w:rPr>
                <w:rFonts w:ascii="宋体" w:hAnsi="宋体" w:eastAsia="宋体"/>
                <w:sz w:val="16"/>
              </w:rPr>
              <w:t>实际完成情况</w:t>
            </w:r>
          </w:p>
        </w:tc>
      </w:tr>
      <w:tr w14:paraId="61233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6AF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32CFE7">
            <w:pPr>
              <w:jc w:val="both"/>
            </w:pPr>
            <w:r>
              <w:rPr>
                <w:rFonts w:ascii="宋体" w:hAnsi="宋体" w:eastAsia="宋体"/>
                <w:sz w:val="16"/>
              </w:rPr>
              <w:t>项目资金13万元，用于支付</w:t>
            </w:r>
            <w:r>
              <w:rPr>
                <w:rFonts w:hint="eastAsia" w:ascii="宋体" w:hAnsi="宋体"/>
                <w:sz w:val="16"/>
                <w:lang w:eastAsia="zh-CN"/>
              </w:rPr>
              <w:t>YQ</w:t>
            </w:r>
            <w:r>
              <w:rPr>
                <w:rFonts w:ascii="宋体" w:hAnsi="宋体" w:eastAsia="宋体"/>
                <w:sz w:val="16"/>
              </w:rPr>
              <w:t>防控采购物资尾款，按时支付项目尾款，保证相关公司合法权益，建立健全财务运行机制，进一步规范地方政府举债融资行为。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D3508C">
            <w:pPr>
              <w:jc w:val="both"/>
            </w:pPr>
            <w:r>
              <w:rPr>
                <w:rFonts w:hint="eastAsia" w:ascii="宋体" w:hAnsi="宋体"/>
                <w:sz w:val="16"/>
                <w:lang w:eastAsia="zh-CN"/>
              </w:rPr>
              <w:t>截至2024</w:t>
            </w:r>
            <w:r>
              <w:rPr>
                <w:rFonts w:ascii="宋体" w:hAnsi="宋体" w:eastAsia="宋体"/>
                <w:sz w:val="16"/>
              </w:rPr>
              <w:t>年8月31日，该项目预算资金13万元，到位资金13万元，已支付13万元，资金支付率100%，用于支付</w:t>
            </w:r>
            <w:r>
              <w:rPr>
                <w:rFonts w:hint="eastAsia" w:ascii="宋体" w:hAnsi="宋体"/>
                <w:sz w:val="16"/>
                <w:lang w:eastAsia="zh-CN"/>
              </w:rPr>
              <w:t>YQ</w:t>
            </w:r>
            <w:r>
              <w:rPr>
                <w:rFonts w:ascii="宋体" w:hAnsi="宋体" w:eastAsia="宋体"/>
                <w:sz w:val="16"/>
              </w:rPr>
              <w:t>防控采购物资尾款，按时支付项目尾款，保证相关公司合法权益，建立健全财务运行机制，进一步规范地方政府举债融资行为。</w:t>
            </w:r>
          </w:p>
        </w:tc>
      </w:tr>
      <w:tr w14:paraId="265038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378B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3C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1B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22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9FC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92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52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25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BEA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AD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53D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21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C5898">
            <w:pPr>
              <w:jc w:val="center"/>
            </w:pPr>
            <w:r>
              <w:rPr>
                <w:rFonts w:ascii="宋体" w:hAnsi="宋体" w:eastAsia="宋体"/>
                <w:sz w:val="16"/>
              </w:rPr>
              <w:t>偏差原因分析及改进措施</w:t>
            </w:r>
          </w:p>
        </w:tc>
      </w:tr>
      <w:tr w14:paraId="1EA922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8F3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095D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006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D944">
            <w:pPr>
              <w:jc w:val="center"/>
            </w:pPr>
            <w:r>
              <w:rPr>
                <w:rFonts w:ascii="宋体" w:hAnsi="宋体" w:eastAsia="宋体"/>
                <w:sz w:val="16"/>
              </w:rPr>
              <w:t>覆盖乡镇（个）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DC1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65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D5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64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7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19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572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5B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7667C">
            <w:pPr>
              <w:jc w:val="center"/>
            </w:pPr>
          </w:p>
        </w:tc>
      </w:tr>
      <w:tr w14:paraId="4C351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93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81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F9C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70BE">
            <w:pPr>
              <w:jc w:val="center"/>
            </w:pPr>
            <w:r>
              <w:rPr>
                <w:rFonts w:ascii="宋体" w:hAnsi="宋体" w:eastAsia="宋体"/>
                <w:sz w:val="16"/>
              </w:rPr>
              <w:t>支付尾款项目个数（个）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300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5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4E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A6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39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CB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0BF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98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6D814">
            <w:pPr>
              <w:jc w:val="center"/>
            </w:pPr>
          </w:p>
        </w:tc>
      </w:tr>
      <w:tr w14:paraId="761997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7F7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758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C0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E746">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37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6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89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28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5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77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6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D7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DAC06">
            <w:pPr>
              <w:jc w:val="center"/>
            </w:pPr>
          </w:p>
        </w:tc>
      </w:tr>
      <w:tr w14:paraId="71FB4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78C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A7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B2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193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6DD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40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AE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5A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45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B1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CB6B">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5E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82406">
            <w:pPr>
              <w:jc w:val="center"/>
            </w:pPr>
          </w:p>
        </w:tc>
      </w:tr>
      <w:tr w14:paraId="2A6FC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E3F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1AB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45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78D4">
            <w:pPr>
              <w:jc w:val="center"/>
            </w:pPr>
            <w:r>
              <w:rPr>
                <w:rFonts w:ascii="宋体" w:hAnsi="宋体" w:eastAsia="宋体"/>
                <w:sz w:val="16"/>
              </w:rPr>
              <w:t>项目经费总额（万元）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A334">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5E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03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DC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5F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A7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1921">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0D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5BA8C">
            <w:pPr>
              <w:jc w:val="center"/>
            </w:pPr>
          </w:p>
        </w:tc>
      </w:tr>
      <w:tr w14:paraId="288A1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C4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80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FC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058B">
            <w:pPr>
              <w:jc w:val="center"/>
            </w:pPr>
            <w:r>
              <w:rPr>
                <w:rFonts w:ascii="宋体" w:hAnsi="宋体" w:eastAsia="宋体"/>
                <w:sz w:val="16"/>
              </w:rPr>
              <w:t>建立健全财务运行机制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FFBF">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3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D6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C4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EF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10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2EA7">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55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2F431">
            <w:pPr>
              <w:jc w:val="center"/>
            </w:pPr>
          </w:p>
        </w:tc>
      </w:tr>
      <w:tr w14:paraId="6F8C5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E5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39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A8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2C65F">
            <w:pPr>
              <w:jc w:val="center"/>
            </w:pPr>
            <w:r>
              <w:rPr>
                <w:rFonts w:ascii="宋体" w:hAnsi="宋体" w:eastAsia="宋体"/>
                <w:sz w:val="16"/>
              </w:rPr>
              <w:t>受益公司满意度（%）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26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E6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5D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E8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66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13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6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E8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8029D">
            <w:pPr>
              <w:jc w:val="center"/>
            </w:pPr>
            <w:r>
              <w:rPr>
                <w:rFonts w:ascii="宋体" w:hAnsi="宋体" w:eastAsia="宋体"/>
                <w:sz w:val="16"/>
              </w:rPr>
              <w:t>偏差原因：受益公司对该项目的实施总体是满意的；改进措施：做好年初预算分析。</w:t>
            </w:r>
          </w:p>
        </w:tc>
      </w:tr>
      <w:tr w14:paraId="75CC6E0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D8AE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FAE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F1676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419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D799D2E"/>
        </w:tc>
      </w:tr>
    </w:tbl>
    <w:p w14:paraId="359484CC">
      <w:r>
        <w:br w:type="page"/>
      </w:r>
    </w:p>
    <w:p w14:paraId="11939A33">
      <w:pPr>
        <w:spacing w:line="640" w:lineRule="exact"/>
        <w:ind w:firstLine="640"/>
        <w:jc w:val="both"/>
        <w:outlineLvl w:val="2"/>
      </w:pPr>
      <w:r>
        <w:rPr>
          <w:rFonts w:ascii="黑体" w:hAnsi="黑体" w:eastAsia="黑体"/>
          <w:sz w:val="32"/>
        </w:rPr>
        <w:t>十二、其他需说明的事项</w:t>
      </w:r>
    </w:p>
    <w:p w14:paraId="3C6807DD">
      <w:pPr>
        <w:spacing w:line="580" w:lineRule="exact"/>
        <w:ind w:firstLine="640"/>
        <w:jc w:val="both"/>
      </w:pPr>
      <w:r>
        <w:rPr>
          <w:rFonts w:ascii="仿宋_GB2312" w:hAnsi="仿宋_GB2312" w:eastAsia="仿宋_GB2312"/>
          <w:b w:val="0"/>
          <w:sz w:val="32"/>
        </w:rPr>
        <w:t>本单位无其他需说明的事项。</w:t>
      </w:r>
    </w:p>
    <w:p w14:paraId="52A459E4">
      <w:r>
        <w:br w:type="page"/>
      </w:r>
    </w:p>
    <w:p w14:paraId="6567040F">
      <w:pPr>
        <w:spacing w:line="240" w:lineRule="auto"/>
        <w:jc w:val="center"/>
        <w:outlineLvl w:val="1"/>
      </w:pPr>
      <w:r>
        <w:rPr>
          <w:rFonts w:ascii="黑体" w:hAnsi="黑体" w:eastAsia="黑体"/>
          <w:sz w:val="32"/>
        </w:rPr>
        <w:t>第三部分 专业名词解释</w:t>
      </w:r>
    </w:p>
    <w:p w14:paraId="6CCEEB8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7811C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7045ED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1003A5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5FC75A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0573CB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D4EFF7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2BAB14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10D37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F96F78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76E039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9BE067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FAF168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76480D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482BD2">
      <w:r>
        <w:br w:type="page"/>
      </w:r>
    </w:p>
    <w:p w14:paraId="797C586A">
      <w:pPr>
        <w:spacing w:line="240" w:lineRule="auto"/>
        <w:jc w:val="center"/>
        <w:outlineLvl w:val="1"/>
      </w:pPr>
      <w:r>
        <w:rPr>
          <w:rFonts w:ascii="黑体" w:hAnsi="黑体" w:eastAsia="黑体"/>
          <w:sz w:val="32"/>
        </w:rPr>
        <w:t>第四部分 部门决算报表（见附表）</w:t>
      </w:r>
    </w:p>
    <w:p w14:paraId="07B06D56">
      <w:pPr>
        <w:spacing w:line="240" w:lineRule="auto"/>
        <w:ind w:firstLine="640"/>
        <w:jc w:val="both"/>
      </w:pPr>
      <w:r>
        <w:rPr>
          <w:rFonts w:ascii="仿宋_GB2312" w:hAnsi="仿宋_GB2312" w:eastAsia="仿宋_GB2312"/>
          <w:b w:val="0"/>
          <w:sz w:val="32"/>
        </w:rPr>
        <w:t>一、《收入支出决算总表》</w:t>
      </w:r>
    </w:p>
    <w:p w14:paraId="26EA0B23">
      <w:pPr>
        <w:spacing w:line="240" w:lineRule="auto"/>
        <w:ind w:firstLine="640"/>
        <w:jc w:val="both"/>
      </w:pPr>
      <w:r>
        <w:rPr>
          <w:rFonts w:ascii="仿宋_GB2312" w:hAnsi="仿宋_GB2312" w:eastAsia="仿宋_GB2312"/>
          <w:b w:val="0"/>
          <w:sz w:val="32"/>
        </w:rPr>
        <w:t>二、《收入决算表》</w:t>
      </w:r>
    </w:p>
    <w:p w14:paraId="2A7B9B6A">
      <w:pPr>
        <w:spacing w:line="240" w:lineRule="auto"/>
        <w:ind w:firstLine="640"/>
        <w:jc w:val="both"/>
      </w:pPr>
      <w:r>
        <w:rPr>
          <w:rFonts w:ascii="仿宋_GB2312" w:hAnsi="仿宋_GB2312" w:eastAsia="仿宋_GB2312"/>
          <w:b w:val="0"/>
          <w:sz w:val="32"/>
        </w:rPr>
        <w:t>三、《支出决算表》</w:t>
      </w:r>
    </w:p>
    <w:p w14:paraId="0CE122F3">
      <w:pPr>
        <w:spacing w:line="240" w:lineRule="auto"/>
        <w:ind w:firstLine="640"/>
        <w:jc w:val="both"/>
      </w:pPr>
      <w:r>
        <w:rPr>
          <w:rFonts w:ascii="仿宋_GB2312" w:hAnsi="仿宋_GB2312" w:eastAsia="仿宋_GB2312"/>
          <w:b w:val="0"/>
          <w:sz w:val="32"/>
        </w:rPr>
        <w:t>四、《财政拨款收入支出决算总表》</w:t>
      </w:r>
    </w:p>
    <w:p w14:paraId="318D6AD7">
      <w:pPr>
        <w:spacing w:line="240" w:lineRule="auto"/>
        <w:ind w:firstLine="640"/>
        <w:jc w:val="both"/>
      </w:pPr>
      <w:r>
        <w:rPr>
          <w:rFonts w:ascii="仿宋_GB2312" w:hAnsi="仿宋_GB2312" w:eastAsia="仿宋_GB2312"/>
          <w:b w:val="0"/>
          <w:sz w:val="32"/>
        </w:rPr>
        <w:t>五、《一般公共预算财政拨款支出决算表》</w:t>
      </w:r>
    </w:p>
    <w:p w14:paraId="5EA13C81">
      <w:pPr>
        <w:spacing w:line="240" w:lineRule="auto"/>
        <w:ind w:firstLine="640"/>
        <w:jc w:val="both"/>
      </w:pPr>
      <w:r>
        <w:rPr>
          <w:rFonts w:ascii="仿宋_GB2312" w:hAnsi="仿宋_GB2312" w:eastAsia="仿宋_GB2312"/>
          <w:b w:val="0"/>
          <w:sz w:val="32"/>
        </w:rPr>
        <w:t>六、《一般公共预算财政拨款基本支出决算表》</w:t>
      </w:r>
    </w:p>
    <w:p w14:paraId="33BF3092">
      <w:pPr>
        <w:spacing w:line="240" w:lineRule="auto"/>
        <w:ind w:firstLine="640"/>
        <w:jc w:val="both"/>
      </w:pPr>
      <w:r>
        <w:rPr>
          <w:rFonts w:ascii="仿宋_GB2312" w:hAnsi="仿宋_GB2312" w:eastAsia="仿宋_GB2312"/>
          <w:b w:val="0"/>
          <w:sz w:val="32"/>
        </w:rPr>
        <w:t>七、《政府性基金预算财政拨款收入支出决算表》</w:t>
      </w:r>
    </w:p>
    <w:p w14:paraId="7CD4E1DE">
      <w:pPr>
        <w:spacing w:line="240" w:lineRule="auto"/>
        <w:ind w:firstLine="640"/>
        <w:jc w:val="both"/>
      </w:pPr>
      <w:r>
        <w:rPr>
          <w:rFonts w:ascii="仿宋_GB2312" w:hAnsi="仿宋_GB2312" w:eastAsia="仿宋_GB2312"/>
          <w:b w:val="0"/>
          <w:sz w:val="32"/>
        </w:rPr>
        <w:t>八、《国有资本经营预算财政拨款收入支出决算表》</w:t>
      </w:r>
    </w:p>
    <w:p w14:paraId="5D04D91B">
      <w:pPr>
        <w:spacing w:line="240" w:lineRule="auto"/>
        <w:ind w:firstLine="640"/>
        <w:jc w:val="both"/>
      </w:pPr>
      <w:r>
        <w:rPr>
          <w:rFonts w:ascii="仿宋_GB2312" w:hAnsi="仿宋_GB2312" w:eastAsia="仿宋_GB2312"/>
          <w:b w:val="0"/>
          <w:sz w:val="32"/>
        </w:rPr>
        <w:t>九、《财政拨款“三公”经费支出决算表》</w:t>
      </w:r>
    </w:p>
    <w:p w14:paraId="1A3DE8CD">
      <w:pPr>
        <w:spacing w:line="240" w:lineRule="auto"/>
        <w:ind w:firstLine="640"/>
        <w:jc w:val="both"/>
      </w:pPr>
    </w:p>
    <w:p w14:paraId="4596647F">
      <w:pPr>
        <w:spacing w:line="240" w:lineRule="auto"/>
        <w:ind w:firstLine="640"/>
        <w:jc w:val="both"/>
      </w:pPr>
    </w:p>
    <w:p w14:paraId="68565EB6">
      <w:pPr>
        <w:spacing w:line="240" w:lineRule="auto"/>
        <w:ind w:firstLine="640"/>
        <w:jc w:val="both"/>
      </w:pPr>
    </w:p>
    <w:p w14:paraId="78EA553E">
      <w:pPr>
        <w:spacing w:line="240" w:lineRule="auto"/>
        <w:ind w:firstLine="640"/>
        <w:jc w:val="both"/>
      </w:pPr>
    </w:p>
    <w:p w14:paraId="7D5A0B2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83336F4-5EE0-4079-A91D-3869A0AE77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BF080D1-8146-47B0-8757-40DB1A21C407}"/>
  </w:font>
  <w:font w:name="仿宋_GB2312">
    <w:panose1 w:val="02010609030101010101"/>
    <w:charset w:val="86"/>
    <w:family w:val="modern"/>
    <w:pitch w:val="default"/>
    <w:sig w:usb0="00000001" w:usb1="080E0000" w:usb2="00000000" w:usb3="00000000" w:csb0="00040000" w:csb1="00000000"/>
    <w:embedRegular r:id="rId3" w:fontKey="{0BD7B2F8-BD23-473B-A631-9C0D70652869}"/>
  </w:font>
  <w:font w:name="楷体_GB2312">
    <w:panose1 w:val="02010609030101010101"/>
    <w:charset w:val="86"/>
    <w:family w:val="auto"/>
    <w:pitch w:val="default"/>
    <w:sig w:usb0="00000001" w:usb1="080E0000" w:usb2="00000000" w:usb3="00000000" w:csb0="00040000" w:csb1="00000000"/>
    <w:embedRegular r:id="rId4" w:fontKey="{09FC4156-5913-4509-9B25-62258B12224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4E547E"/>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2A2231"/>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2061</Words>
  <Characters>2518</Characters>
  <Lines>0</Lines>
  <Paragraphs>0</Paragraphs>
  <TotalTime>15</TotalTime>
  <ScaleCrop>false</ScaleCrop>
  <LinksUpToDate>false</LinksUpToDate>
  <CharactersWithSpaces>2526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2025-09-29T11:19:10Z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