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3E1B1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叶城县依力克其乡人民政府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2B488F">
      <w:r>
        <w:br w:type="page"/>
      </w:r>
    </w:p>
    <w:p w14:paraId="5CFA29B9">
      <w:pPr>
        <w:spacing w:line="640" w:lineRule="exact"/>
        <w:jc w:val="center"/>
        <w:outlineLvl w:val="1"/>
      </w:pPr>
      <w:r>
        <w:rPr>
          <w:rFonts w:ascii="黑体" w:hAnsi="黑体" w:eastAsia="黑体"/>
          <w:sz w:val="32"/>
        </w:rPr>
        <w:t>第一部分 单位概况</w:t>
      </w:r>
    </w:p>
    <w:p w14:paraId="0724F10B">
      <w:pPr>
        <w:spacing w:line="640" w:lineRule="exact"/>
        <w:ind w:firstLine="640"/>
        <w:jc w:val="both"/>
        <w:outlineLvl w:val="2"/>
      </w:pPr>
      <w:r>
        <w:rPr>
          <w:rFonts w:ascii="黑体" w:hAnsi="黑体" w:eastAsia="黑体"/>
          <w:sz w:val="32"/>
        </w:rPr>
        <w:t>一、主要职能</w:t>
      </w:r>
    </w:p>
    <w:p w14:paraId="7B0CE1D6">
      <w:pPr>
        <w:spacing w:line="580" w:lineRule="exact"/>
        <w:ind w:firstLine="640"/>
        <w:jc w:val="both"/>
      </w:pPr>
      <w:r>
        <w:rPr>
          <w:rFonts w:ascii="仿宋_GB2312" w:hAnsi="仿宋_GB2312" w:eastAsia="仿宋_GB2312"/>
          <w:sz w:val="32"/>
        </w:rPr>
        <w:t>一是负责全乡党政行政管理事务。以贯彻落实党的二十大，以科学发展观为指导，坚决贯彻执行党中央、国务院、自治区、地区及县委、县人民政府的有关方面政策指示，把党的各项优惠政策落实到实处。</w:t>
      </w:r>
    </w:p>
    <w:p w14:paraId="25986A6D">
      <w:pPr>
        <w:spacing w:line="580" w:lineRule="exact"/>
        <w:ind w:firstLine="640"/>
        <w:jc w:val="both"/>
      </w:pPr>
      <w:r>
        <w:rPr>
          <w:rFonts w:ascii="仿宋_GB2312" w:hAnsi="仿宋_GB2312" w:eastAsia="仿宋_GB2312"/>
          <w:sz w:val="32"/>
        </w:rPr>
        <w:t>二是负责全乡经济社会发展、社会事务管理、社会安全、基层组织建设等全面工作。以全面建设社会主义新农村为根本出发点，不断深化美丽乡村建设为总目标，不断铸牢全乡经济社会发展基础，为全乡人民群众提供社会服务。</w:t>
      </w:r>
    </w:p>
    <w:p w14:paraId="3B7541BB">
      <w:pPr>
        <w:spacing w:line="640" w:lineRule="exact"/>
        <w:ind w:firstLine="640"/>
        <w:jc w:val="both"/>
        <w:outlineLvl w:val="2"/>
      </w:pPr>
      <w:r>
        <w:rPr>
          <w:rFonts w:ascii="黑体" w:hAnsi="黑体" w:eastAsia="黑体"/>
          <w:sz w:val="32"/>
        </w:rPr>
        <w:t>二、机构设置及人员情况</w:t>
      </w:r>
    </w:p>
    <w:p w14:paraId="58185A1C">
      <w:pPr>
        <w:spacing w:line="580" w:lineRule="exact"/>
        <w:ind w:firstLine="640"/>
        <w:jc w:val="both"/>
      </w:pPr>
      <w:r>
        <w:rPr>
          <w:rFonts w:ascii="仿宋_GB2312" w:hAnsi="仿宋_GB2312" w:eastAsia="仿宋_GB2312"/>
          <w:sz w:val="32"/>
        </w:rPr>
        <w:t>叶城县依力克其乡人民政府2024年度，实有人数105人，其中：在职人员93人，减少7人；离休人员0人，增加0人；退休人员12人,增加0人。</w:t>
      </w:r>
    </w:p>
    <w:p w14:paraId="4DCB864B">
      <w:pPr>
        <w:spacing w:line="580" w:lineRule="exact"/>
        <w:ind w:firstLine="640"/>
        <w:jc w:val="both"/>
      </w:pPr>
      <w:r>
        <w:rPr>
          <w:rFonts w:ascii="仿宋_GB2312" w:hAnsi="仿宋_GB2312" w:eastAsia="仿宋_GB2312"/>
          <w:sz w:val="32"/>
        </w:rPr>
        <w:t>叶城县依力克其乡人民政府无下属预算单位，下设5个科室，分别是：党政综合办公室、党建工作办公室、经济发展和财政办公室、综合行政执法办公室、社会事务办公室。</w:t>
      </w:r>
    </w:p>
    <w:p w14:paraId="1556D005">
      <w:r>
        <w:br w:type="page"/>
      </w:r>
    </w:p>
    <w:p w14:paraId="70DBDC00">
      <w:pPr>
        <w:spacing w:line="240" w:lineRule="auto"/>
        <w:jc w:val="center"/>
        <w:outlineLvl w:val="1"/>
      </w:pPr>
      <w:r>
        <w:rPr>
          <w:rFonts w:ascii="黑体" w:hAnsi="黑体" w:eastAsia="黑体"/>
          <w:sz w:val="32"/>
        </w:rPr>
        <w:t>第二部分 部门决算情况说明</w:t>
      </w:r>
    </w:p>
    <w:p w14:paraId="172FC74A">
      <w:pPr>
        <w:spacing w:line="640" w:lineRule="exact"/>
        <w:ind w:firstLine="640"/>
        <w:jc w:val="both"/>
        <w:outlineLvl w:val="2"/>
      </w:pPr>
      <w:r>
        <w:rPr>
          <w:rFonts w:ascii="黑体" w:hAnsi="黑体" w:eastAsia="黑体"/>
          <w:sz w:val="32"/>
        </w:rPr>
        <w:t>一、收入支出决算总体情况说明</w:t>
      </w:r>
    </w:p>
    <w:p w14:paraId="5E6D821D">
      <w:pPr>
        <w:spacing w:line="580" w:lineRule="exact"/>
        <w:ind w:firstLine="640"/>
        <w:jc w:val="both"/>
      </w:pPr>
      <w:r>
        <w:rPr>
          <w:rFonts w:ascii="仿宋_GB2312" w:hAnsi="仿宋_GB2312" w:eastAsia="仿宋_GB2312"/>
          <w:b/>
          <w:sz w:val="32"/>
        </w:rPr>
        <w:t>2024年度收入总计4,122.40万元，</w:t>
      </w:r>
      <w:r>
        <w:rPr>
          <w:rFonts w:ascii="仿宋_GB2312" w:hAnsi="仿宋_GB2312" w:eastAsia="仿宋_GB2312"/>
          <w:b w:val="0"/>
          <w:sz w:val="32"/>
        </w:rPr>
        <w:t>其中：本年收入合计4,122.40万元，使用非财政拨款结余（含专用结余）0.00万元，年初结转和结余0.00万元。</w:t>
      </w:r>
    </w:p>
    <w:p w14:paraId="3E84C5E1">
      <w:pPr>
        <w:spacing w:line="580" w:lineRule="exact"/>
        <w:ind w:firstLine="640"/>
        <w:jc w:val="both"/>
      </w:pPr>
      <w:r>
        <w:rPr>
          <w:rFonts w:ascii="仿宋_GB2312" w:hAnsi="仿宋_GB2312" w:eastAsia="仿宋_GB2312"/>
          <w:b/>
          <w:sz w:val="32"/>
        </w:rPr>
        <w:t>2024年度支出总计4,122.40万元，</w:t>
      </w:r>
      <w:r>
        <w:rPr>
          <w:rFonts w:ascii="仿宋_GB2312" w:hAnsi="仿宋_GB2312" w:eastAsia="仿宋_GB2312"/>
          <w:b w:val="0"/>
          <w:sz w:val="32"/>
        </w:rPr>
        <w:t>其中：本年支出合计4,122.40万元，结余分配0.00万元，年末结转和结余0.00万元。</w:t>
      </w:r>
    </w:p>
    <w:p w14:paraId="72257A84">
      <w:pPr>
        <w:spacing w:line="580" w:lineRule="exact"/>
        <w:ind w:firstLine="640"/>
        <w:jc w:val="both"/>
      </w:pPr>
      <w:r>
        <w:rPr>
          <w:rFonts w:ascii="仿宋_GB2312" w:hAnsi="仿宋_GB2312" w:eastAsia="仿宋_GB2312"/>
          <w:b w:val="0"/>
          <w:sz w:val="32"/>
        </w:rPr>
        <w:t>收入支出总体与上年相比，减少751.95万元，下降15.43%，主要原因是：本年度减少叶城县依力克其乡防渗渠建设、叶城县依力克其乡示范村乡村建设项目、叶城县依力克其乡特色产业发展配套基础设施建设中央财政以工代赈项目。</w:t>
      </w:r>
    </w:p>
    <w:p w14:paraId="38965293">
      <w:pPr>
        <w:spacing w:line="640" w:lineRule="exact"/>
        <w:ind w:firstLine="640"/>
        <w:jc w:val="both"/>
        <w:outlineLvl w:val="2"/>
      </w:pPr>
      <w:r>
        <w:rPr>
          <w:rFonts w:ascii="黑体" w:hAnsi="黑体" w:eastAsia="黑体"/>
          <w:sz w:val="32"/>
        </w:rPr>
        <w:t>二、收入决算情况说明</w:t>
      </w:r>
    </w:p>
    <w:p w14:paraId="1AC742BA">
      <w:pPr>
        <w:spacing w:line="580" w:lineRule="exact"/>
        <w:ind w:firstLine="640"/>
        <w:jc w:val="both"/>
      </w:pPr>
      <w:r>
        <w:rPr>
          <w:rFonts w:ascii="仿宋_GB2312" w:hAnsi="仿宋_GB2312" w:eastAsia="仿宋_GB2312"/>
          <w:b/>
          <w:sz w:val="32"/>
        </w:rPr>
        <w:t>本年收入4,122.40万元，</w:t>
      </w:r>
      <w:r>
        <w:rPr>
          <w:rFonts w:ascii="仿宋_GB2312" w:hAnsi="仿宋_GB2312" w:eastAsia="仿宋_GB2312"/>
          <w:b w:val="0"/>
          <w:sz w:val="32"/>
        </w:rPr>
        <w:t>其中：财政拨款收入4,117.33万元，占99.88%；上级补助收入0.00万元，占0.00%；事业收入0.00万元，占0.00%；经营收入0.00万元，占0.00%；附属单位上缴收入0.00万元，占0.00%；其他收入5.07万元，占0.12%。</w:t>
      </w:r>
    </w:p>
    <w:p w14:paraId="3FE6ADFE">
      <w:pPr>
        <w:spacing w:line="640" w:lineRule="exact"/>
        <w:ind w:firstLine="640"/>
        <w:jc w:val="both"/>
        <w:outlineLvl w:val="2"/>
      </w:pPr>
      <w:r>
        <w:rPr>
          <w:rFonts w:ascii="黑体" w:hAnsi="黑体" w:eastAsia="黑体"/>
          <w:sz w:val="32"/>
        </w:rPr>
        <w:t>三、支出决算情况说明</w:t>
      </w:r>
    </w:p>
    <w:p w14:paraId="0C38F867">
      <w:pPr>
        <w:spacing w:line="580" w:lineRule="exact"/>
        <w:ind w:firstLine="640"/>
        <w:jc w:val="both"/>
      </w:pPr>
      <w:r>
        <w:rPr>
          <w:rFonts w:ascii="仿宋_GB2312" w:hAnsi="仿宋_GB2312" w:eastAsia="仿宋_GB2312"/>
          <w:b/>
          <w:sz w:val="32"/>
        </w:rPr>
        <w:t>本年支出4,122.40万元，</w:t>
      </w:r>
      <w:r>
        <w:rPr>
          <w:rFonts w:ascii="仿宋_GB2312" w:hAnsi="仿宋_GB2312" w:eastAsia="仿宋_GB2312"/>
          <w:b w:val="0"/>
          <w:sz w:val="32"/>
        </w:rPr>
        <w:t>其中：基本支出1,975.42万元，占47.92%；项目支出2,146.99万元，占52.08%；上缴上级支出0.00万元，占0.00%；经营支出0.00万元，占0.00%；对附属单位补助支出0.00万元，占0.00%。</w:t>
      </w:r>
    </w:p>
    <w:p w14:paraId="15AA6491">
      <w:pPr>
        <w:spacing w:line="640" w:lineRule="exact"/>
        <w:ind w:firstLine="640"/>
        <w:jc w:val="both"/>
        <w:outlineLvl w:val="2"/>
      </w:pPr>
      <w:r>
        <w:rPr>
          <w:rFonts w:ascii="黑体" w:hAnsi="黑体" w:eastAsia="黑体"/>
          <w:sz w:val="32"/>
        </w:rPr>
        <w:t>四、财政拨款收入支出决算总体情况说明</w:t>
      </w:r>
    </w:p>
    <w:p w14:paraId="2EC2B3AA">
      <w:pPr>
        <w:spacing w:line="580" w:lineRule="exact"/>
        <w:ind w:firstLine="640"/>
        <w:jc w:val="both"/>
      </w:pPr>
      <w:r>
        <w:rPr>
          <w:rFonts w:ascii="仿宋_GB2312" w:hAnsi="仿宋_GB2312" w:eastAsia="仿宋_GB2312"/>
          <w:b/>
          <w:sz w:val="32"/>
        </w:rPr>
        <w:t>2024年度财政拨款收入总计4,117.33万元，</w:t>
      </w:r>
      <w:r>
        <w:rPr>
          <w:rFonts w:ascii="仿宋_GB2312" w:hAnsi="仿宋_GB2312" w:eastAsia="仿宋_GB2312"/>
          <w:b w:val="0"/>
          <w:sz w:val="32"/>
        </w:rPr>
        <w:t>其中：年初财政拨款结转和结余0.00万元，本年财政拨款收入4,117.33万元。</w:t>
      </w:r>
      <w:r>
        <w:rPr>
          <w:rFonts w:ascii="仿宋_GB2312" w:hAnsi="仿宋_GB2312" w:eastAsia="仿宋_GB2312"/>
          <w:b/>
          <w:sz w:val="32"/>
        </w:rPr>
        <w:t>财政拨款支出总计4,117.33万元，</w:t>
      </w:r>
      <w:r>
        <w:rPr>
          <w:rFonts w:ascii="仿宋_GB2312" w:hAnsi="仿宋_GB2312" w:eastAsia="仿宋_GB2312"/>
          <w:b w:val="0"/>
          <w:sz w:val="32"/>
        </w:rPr>
        <w:t>其中：年末财政拨款结转和结余0.00万元，本年财政拨款支出4,117.33万元。</w:t>
      </w:r>
    </w:p>
    <w:p w14:paraId="35ACEEF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减少757.02万元，下降15.53%，主要原因是：本年度减少叶城县依力克其乡防渗渠建设、叶城县依力克其乡示范村乡村建设项目、叶城县依力克其乡特色产业发展配套基础设施建设中央财政以工代赈项目。</w:t>
      </w:r>
      <w:r>
        <w:rPr>
          <w:rFonts w:ascii="仿宋_GB2312" w:hAnsi="仿宋_GB2312" w:eastAsia="仿宋_GB2312"/>
          <w:b/>
          <w:sz w:val="32"/>
        </w:rPr>
        <w:t>与年初预算相比，</w:t>
      </w:r>
      <w:r>
        <w:rPr>
          <w:rFonts w:ascii="仿宋_GB2312" w:hAnsi="仿宋_GB2312" w:eastAsia="仿宋_GB2312"/>
          <w:b w:val="0"/>
          <w:sz w:val="32"/>
        </w:rPr>
        <w:t>年初预算数2,298.07万元，决算数4,117.33万元，预决算差异率79.16%，主要原因是：年中追加2024年自治区农村幸福大院运转补助资金项目、叶城县依力克其乡村组道路建设2024年中央财政以工代赈项目、叶城县依力克其乡种植业基地配套建设项目、叶城县2024年依力克其乡16村示范村乡村建设项目、2024年为民办实事项目、2024年乡镇信息奖励经费项目、叶城县2024年依力克其乡林粮间作节水设施配套项目、2024年林果业整形修剪补助项目、2024年村级运转经费项目，导致预决算存在差异。</w:t>
      </w:r>
    </w:p>
    <w:p w14:paraId="374DE2FE">
      <w:pPr>
        <w:spacing w:line="640" w:lineRule="exact"/>
        <w:ind w:firstLine="640"/>
        <w:jc w:val="both"/>
        <w:outlineLvl w:val="2"/>
      </w:pPr>
      <w:r>
        <w:rPr>
          <w:rFonts w:ascii="黑体" w:hAnsi="黑体" w:eastAsia="黑体"/>
          <w:sz w:val="32"/>
        </w:rPr>
        <w:t>五、一般公共预算财政拨款支出决算情况说明</w:t>
      </w:r>
    </w:p>
    <w:p w14:paraId="6D385687">
      <w:pPr>
        <w:spacing w:line="640" w:lineRule="exact"/>
        <w:ind w:firstLine="640"/>
        <w:jc w:val="both"/>
        <w:outlineLvl w:val="3"/>
      </w:pPr>
      <w:r>
        <w:rPr>
          <w:rFonts w:ascii="楷体_GB2312" w:hAnsi="楷体_GB2312" w:eastAsia="楷体_GB2312"/>
          <w:b/>
          <w:sz w:val="32"/>
        </w:rPr>
        <w:t>（一）一般公共预算财政拨款支出决算总体情况</w:t>
      </w:r>
    </w:p>
    <w:p w14:paraId="4CF43D5E">
      <w:pPr>
        <w:spacing w:line="580" w:lineRule="exact"/>
        <w:ind w:firstLine="640"/>
        <w:jc w:val="both"/>
      </w:pPr>
      <w:r>
        <w:rPr>
          <w:rFonts w:ascii="仿宋_GB2312" w:hAnsi="仿宋_GB2312" w:eastAsia="仿宋_GB2312"/>
          <w:b/>
          <w:sz w:val="32"/>
        </w:rPr>
        <w:t>2024年度一般公共预算财政拨款支出4,117.33万元，</w:t>
      </w:r>
      <w:r>
        <w:rPr>
          <w:rFonts w:ascii="仿宋_GB2312" w:hAnsi="仿宋_GB2312" w:eastAsia="仿宋_GB2312"/>
          <w:b w:val="0"/>
          <w:sz w:val="32"/>
        </w:rPr>
        <w:t>占本年支出合计的99.88%。</w:t>
      </w:r>
      <w:r>
        <w:rPr>
          <w:rFonts w:ascii="仿宋_GB2312" w:hAnsi="仿宋_GB2312" w:eastAsia="仿宋_GB2312"/>
          <w:b/>
          <w:sz w:val="32"/>
        </w:rPr>
        <w:t>与上年相比，</w:t>
      </w:r>
      <w:r>
        <w:rPr>
          <w:rFonts w:ascii="仿宋_GB2312" w:hAnsi="仿宋_GB2312" w:eastAsia="仿宋_GB2312"/>
          <w:b w:val="0"/>
          <w:sz w:val="32"/>
        </w:rPr>
        <w:t>减少757.02万元，下降15.53%，主要原因是：本年度减少叶城县依力克其乡防渗渠建设、叶城县依力克其乡示范村乡村建设项目、叶城县依力克其乡特色产业发展配套基础设施建设中央财政以工代赈项目。</w:t>
      </w:r>
      <w:r>
        <w:rPr>
          <w:rFonts w:ascii="仿宋_GB2312" w:hAnsi="仿宋_GB2312" w:eastAsia="仿宋_GB2312"/>
          <w:b/>
          <w:sz w:val="32"/>
        </w:rPr>
        <w:t>与年初预算相比,</w:t>
      </w:r>
      <w:r>
        <w:rPr>
          <w:rFonts w:ascii="仿宋_GB2312" w:hAnsi="仿宋_GB2312" w:eastAsia="仿宋_GB2312"/>
          <w:b w:val="0"/>
          <w:sz w:val="32"/>
        </w:rPr>
        <w:t>年初预算数2,298.07万元，决算数4,117.33万元，预决算差异率79.16%，主要原因是：年中追加2024年自治区农村幸福大院运转补助资金项目、叶城县依力克其乡村组道路建设2024年中央财政以工代赈项目、叶城县依力克其乡种植业基地配套建设项目、叶城县2024年依力克其乡16村示范村乡村建设项目、2024年为民办实事项目、2024年乡镇信息奖励经费项目、叶城县2024年依力克其乡林粮间作节水设施配套项目、2024年林果业整形修剪补助项目、2024年村级运转经费项目，导致预决算差异。</w:t>
      </w:r>
    </w:p>
    <w:p w14:paraId="66E78F3E">
      <w:pPr>
        <w:spacing w:line="640" w:lineRule="exact"/>
        <w:ind w:firstLine="640"/>
        <w:jc w:val="both"/>
        <w:outlineLvl w:val="3"/>
      </w:pPr>
      <w:r>
        <w:rPr>
          <w:rFonts w:ascii="楷体_GB2312" w:hAnsi="楷体_GB2312" w:eastAsia="楷体_GB2312"/>
          <w:b/>
          <w:sz w:val="32"/>
        </w:rPr>
        <w:t>（二）一般公共预算财政拨款支出决算结构情况</w:t>
      </w:r>
    </w:p>
    <w:p w14:paraId="2BCE16B4">
      <w:pPr>
        <w:spacing w:line="580" w:lineRule="exact"/>
        <w:ind w:firstLine="640"/>
        <w:jc w:val="both"/>
      </w:pPr>
      <w:r>
        <w:rPr>
          <w:rFonts w:ascii="仿宋_GB2312" w:hAnsi="仿宋_GB2312" w:eastAsia="仿宋_GB2312"/>
          <w:b w:val="0"/>
          <w:sz w:val="32"/>
        </w:rPr>
        <w:t>1.一般公共服务支出(类)1,695.64万元,占41.18%。</w:t>
      </w:r>
    </w:p>
    <w:p w14:paraId="1093B436">
      <w:pPr>
        <w:spacing w:line="580" w:lineRule="exact"/>
        <w:ind w:firstLine="640"/>
        <w:jc w:val="both"/>
      </w:pPr>
      <w:r>
        <w:rPr>
          <w:rFonts w:ascii="仿宋_GB2312" w:hAnsi="仿宋_GB2312" w:eastAsia="仿宋_GB2312"/>
          <w:b w:val="0"/>
          <w:sz w:val="32"/>
        </w:rPr>
        <w:t>2.公共安全支出(类)3.07万元,占0.07%。</w:t>
      </w:r>
    </w:p>
    <w:p w14:paraId="0790A8C0">
      <w:pPr>
        <w:spacing w:line="580" w:lineRule="exact"/>
        <w:ind w:firstLine="640"/>
        <w:jc w:val="both"/>
      </w:pPr>
      <w:r>
        <w:rPr>
          <w:rFonts w:ascii="仿宋_GB2312" w:hAnsi="仿宋_GB2312" w:eastAsia="仿宋_GB2312"/>
          <w:b w:val="0"/>
          <w:sz w:val="32"/>
        </w:rPr>
        <w:t>3.文化旅游体育与传媒支出(类)9.82万元,占0.24%。</w:t>
      </w:r>
    </w:p>
    <w:p w14:paraId="1F41793D">
      <w:pPr>
        <w:spacing w:line="580" w:lineRule="exact"/>
        <w:ind w:firstLine="640"/>
        <w:jc w:val="both"/>
      </w:pPr>
      <w:r>
        <w:rPr>
          <w:rFonts w:ascii="仿宋_GB2312" w:hAnsi="仿宋_GB2312" w:eastAsia="仿宋_GB2312"/>
          <w:b w:val="0"/>
          <w:sz w:val="32"/>
        </w:rPr>
        <w:t>4.社会保障和就业支出(类)217.88万元,占5.29%。</w:t>
      </w:r>
    </w:p>
    <w:p w14:paraId="40335C8D">
      <w:pPr>
        <w:spacing w:line="580" w:lineRule="exact"/>
        <w:ind w:firstLine="640"/>
        <w:jc w:val="both"/>
      </w:pPr>
      <w:r>
        <w:rPr>
          <w:rFonts w:ascii="仿宋_GB2312" w:hAnsi="仿宋_GB2312" w:eastAsia="仿宋_GB2312"/>
          <w:b w:val="0"/>
          <w:sz w:val="32"/>
        </w:rPr>
        <w:t>5.卫生健康支出(类)103.81万元,占2.52%。</w:t>
      </w:r>
    </w:p>
    <w:p w14:paraId="7CA27C10">
      <w:pPr>
        <w:spacing w:line="580" w:lineRule="exact"/>
        <w:ind w:firstLine="640"/>
        <w:jc w:val="both"/>
      </w:pPr>
      <w:r>
        <w:rPr>
          <w:rFonts w:ascii="仿宋_GB2312" w:hAnsi="仿宋_GB2312" w:eastAsia="仿宋_GB2312"/>
          <w:b w:val="0"/>
          <w:sz w:val="32"/>
        </w:rPr>
        <w:t>6.农林水支出(类)1,927.19万元,占46.81%。</w:t>
      </w:r>
    </w:p>
    <w:p w14:paraId="517BDB0C">
      <w:pPr>
        <w:spacing w:line="580" w:lineRule="exact"/>
        <w:ind w:firstLine="640"/>
        <w:jc w:val="both"/>
      </w:pPr>
      <w:r>
        <w:rPr>
          <w:rFonts w:ascii="仿宋_GB2312" w:hAnsi="仿宋_GB2312" w:eastAsia="仿宋_GB2312"/>
          <w:b w:val="0"/>
          <w:sz w:val="32"/>
        </w:rPr>
        <w:t>7.交通运输支出(类)0.24万元,占0.006%。</w:t>
      </w:r>
    </w:p>
    <w:p w14:paraId="67B804CC">
      <w:pPr>
        <w:spacing w:line="580" w:lineRule="exact"/>
        <w:ind w:firstLine="640"/>
        <w:jc w:val="both"/>
      </w:pPr>
      <w:r>
        <w:rPr>
          <w:rFonts w:ascii="仿宋_GB2312" w:hAnsi="仿宋_GB2312" w:eastAsia="仿宋_GB2312"/>
          <w:b w:val="0"/>
          <w:sz w:val="32"/>
        </w:rPr>
        <w:t>8.住房保障支出(类)159.68万元,占3.88%。</w:t>
      </w:r>
    </w:p>
    <w:p w14:paraId="4C61EF81">
      <w:pPr>
        <w:spacing w:line="640" w:lineRule="exact"/>
        <w:ind w:firstLine="640"/>
        <w:jc w:val="both"/>
        <w:outlineLvl w:val="3"/>
      </w:pPr>
      <w:r>
        <w:rPr>
          <w:rFonts w:ascii="楷体_GB2312" w:hAnsi="楷体_GB2312" w:eastAsia="楷体_GB2312"/>
          <w:b/>
          <w:sz w:val="32"/>
        </w:rPr>
        <w:t>（三）一般公共预算财政拨款支出决算具体情况</w:t>
      </w:r>
    </w:p>
    <w:p w14:paraId="44603830">
      <w:pPr>
        <w:spacing w:line="580" w:lineRule="exact"/>
        <w:ind w:firstLine="640"/>
        <w:jc w:val="both"/>
      </w:pPr>
      <w:r>
        <w:rPr>
          <w:rFonts w:ascii="仿宋_GB2312" w:hAnsi="仿宋_GB2312" w:eastAsia="仿宋_GB2312"/>
          <w:b w:val="0"/>
          <w:sz w:val="32"/>
        </w:rPr>
        <w:t>1.一般公共服务支出(类)人大事务(款)代表工作(项):支出决算数为2.37万元，比上年决算减少1.42万元，下降37.47%,主要原因是：本年度减少人大代表活动经费项目，相关经费减少。</w:t>
      </w:r>
    </w:p>
    <w:p w14:paraId="21609BF0">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2.一般公共服务支出(类)政府办公厅（室）及相关机构事务(款)行政运行(项):支出决算数为1,499.04万元，比上年决算减少118.48万元，下降7.32%,主要原因是：本年在职人员减少，相应人员经费较上年减少。</w:t>
      </w:r>
    </w:p>
    <w:p w14:paraId="09834101">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3.一般公共服务支出(类)政府办公厅（室）及相关机构事务(款)一般行政管理事务(项):支出决算数为38.68万元，比上年决算减少10.78万元，下降21.80%,主要原因是：本年度减少公用经费项目，相关经费减少。</w:t>
      </w:r>
    </w:p>
    <w:p w14:paraId="06EEEE66">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4.一般公共服务支出(类)纪检监察事务(款)其他纪检监察事务支出(项):支出决算数为2.00万元，比上年决算增加1.00万元，增长100.00%,主要原因是：本年度增加中央政法</w:t>
      </w:r>
      <w:r>
        <w:rPr>
          <w:rFonts w:hint="eastAsia" w:ascii="仿宋_GB2312" w:hAnsi="仿宋_GB2312" w:eastAsia="仿宋_GB2312"/>
          <w:b w:val="0"/>
          <w:sz w:val="32"/>
          <w:lang w:eastAsia="zh-CN"/>
        </w:rPr>
        <w:t>纪检监察</w:t>
      </w:r>
      <w:r>
        <w:rPr>
          <w:rFonts w:ascii="仿宋_GB2312" w:hAnsi="仿宋_GB2312" w:eastAsia="仿宋_GB2312"/>
          <w:b w:val="0"/>
          <w:sz w:val="32"/>
        </w:rPr>
        <w:t>转移支付资金（业务装备经费）项目、中央政法</w:t>
      </w:r>
      <w:r>
        <w:rPr>
          <w:rFonts w:hint="eastAsia" w:ascii="仿宋_GB2312" w:hAnsi="仿宋_GB2312" w:eastAsia="仿宋_GB2312"/>
          <w:b w:val="0"/>
          <w:sz w:val="32"/>
          <w:lang w:eastAsia="zh-CN"/>
        </w:rPr>
        <w:t>纪检监察</w:t>
      </w:r>
      <w:r>
        <w:rPr>
          <w:rFonts w:ascii="仿宋_GB2312" w:hAnsi="仿宋_GB2312" w:eastAsia="仿宋_GB2312"/>
          <w:b w:val="0"/>
          <w:sz w:val="32"/>
        </w:rPr>
        <w:t>转移支付资金（办案经费）项目，相关经费增加。</w:t>
      </w:r>
    </w:p>
    <w:p w14:paraId="5267011F">
      <w:pPr>
        <w:spacing w:line="580" w:lineRule="exact"/>
        <w:ind w:firstLine="640"/>
        <w:jc w:val="both"/>
      </w:pPr>
      <w:r>
        <w:rPr>
          <w:rFonts w:ascii="仿宋_GB2312" w:hAnsi="仿宋_GB2312" w:eastAsia="仿宋_GB2312"/>
          <w:b w:val="0"/>
          <w:sz w:val="32"/>
        </w:rPr>
        <w:t>5.一般公共服务支出(类)组织事务(款)其他组织事务支出(项):支出决算数为152.45万元，比上年决算增加4.16万元，增长2.81%,主要原因是：本年度2024年村级运转经费项目较上年增加，相关经费增加。</w:t>
      </w:r>
    </w:p>
    <w:p w14:paraId="2748AAA1">
      <w:pPr>
        <w:spacing w:line="580" w:lineRule="exact"/>
        <w:ind w:firstLine="640"/>
        <w:jc w:val="both"/>
      </w:pPr>
      <w:r>
        <w:rPr>
          <w:rFonts w:ascii="仿宋_GB2312" w:hAnsi="仿宋_GB2312" w:eastAsia="仿宋_GB2312"/>
          <w:b w:val="0"/>
          <w:sz w:val="32"/>
        </w:rPr>
        <w:t>6.一般公共服务支出(类)统战事务(款)宗教事务(项):支出决算数为1.10万元，比上年决算增加1.10万元，增长100.00%,主要原因是：本年度科目调整，管委会经费由其他统战事务支出科目调整至宗教事务，经费较上年增加。</w:t>
      </w:r>
    </w:p>
    <w:p w14:paraId="387BF4DC">
      <w:pPr>
        <w:spacing w:line="580" w:lineRule="exact"/>
        <w:ind w:firstLine="640"/>
        <w:jc w:val="both"/>
      </w:pPr>
      <w:r>
        <w:rPr>
          <w:rFonts w:ascii="仿宋_GB2312" w:hAnsi="仿宋_GB2312" w:eastAsia="仿宋_GB2312"/>
          <w:b w:val="0"/>
          <w:sz w:val="32"/>
        </w:rPr>
        <w:t>7.一般公共服务支出(类)统战事务(款)其他统战事务支出(项):支出决算数为0.00万元，比上年决算减少11.56万元，下降100.00%,主要原因是：本年度科目调整，管委会经费由其他统战事务支出科目调整至宗教事务，经费较上年减少。</w:t>
      </w:r>
    </w:p>
    <w:p w14:paraId="39794314">
      <w:pPr>
        <w:spacing w:line="580" w:lineRule="exact"/>
        <w:ind w:firstLine="640"/>
        <w:jc w:val="both"/>
      </w:pPr>
      <w:r>
        <w:rPr>
          <w:rFonts w:ascii="仿宋_GB2312" w:hAnsi="仿宋_GB2312" w:eastAsia="仿宋_GB2312"/>
          <w:b w:val="0"/>
          <w:sz w:val="32"/>
        </w:rPr>
        <w:t>8.公共安全支出(类)其他公共安全支出(款)其他公共安全支出(项):支出决算数为3.07万元，比上年决算减少16.93万元，下降84.65%,主要原因是：本年度2024年乡镇信息奖励经费项目金额较上年减少，相关经费减少。</w:t>
      </w:r>
    </w:p>
    <w:p w14:paraId="211EB9ED">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9.文化旅游体育与传媒支出(类)文化和旅游(款)其他文化和旅游支出(项):支出决算数为0.30万元，比上年决算减少4.70万元，下降94.00%,主要原因是：2024年自治区补助地方文化项目减少，相关经费减少。</w:t>
      </w:r>
    </w:p>
    <w:p w14:paraId="16A29AC7">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9.52万元，比上年决算增加0.00万元，增长0.00%,主要原因是：2024年中央补助地方文化项目资金与上年一致，无变化。</w:t>
      </w:r>
    </w:p>
    <w:p w14:paraId="400A700F">
      <w:pPr>
        <w:spacing w:line="580" w:lineRule="exact"/>
        <w:ind w:firstLine="640"/>
        <w:jc w:val="both"/>
      </w:pPr>
      <w:r>
        <w:rPr>
          <w:rFonts w:ascii="仿宋_GB2312" w:hAnsi="仿宋_GB2312" w:eastAsia="仿宋_GB2312"/>
          <w:b w:val="0"/>
          <w:sz w:val="32"/>
        </w:rPr>
        <w:t>11.社会保障和就业支出(类)民政管理事务(款)其他民政管理事务支出(项):支出决算数为5.00万元，比上年决算减少1.00万元，下降16.67%,主要原因是：2024年自治区农村幸福大院补助资金减少，相关经费减少。</w:t>
      </w:r>
    </w:p>
    <w:p w14:paraId="0276C4C4">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14.31万元，比上年决算减少4.12万元，下降22.35%,主要原因是：上年补发退休人员绩效奖金，本年正常发放绩效奖金，导致经费较上年减少。</w:t>
      </w:r>
    </w:p>
    <w:p w14:paraId="3B209026">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198.58万元，比上年决算增加50.89万元，增长34.46%,主要原因是：本年在职人员工资基数调增，养老缴费基数上涨，相应支出增加。</w:t>
      </w:r>
    </w:p>
    <w:p w14:paraId="37E19B81">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0.00万元，比上年决算减少20.13万元，下降100.00%,主要原因是：本年无新增退休人员，职业年金缴费较上年减少。</w:t>
      </w:r>
    </w:p>
    <w:p w14:paraId="4D47B8AA">
      <w:pPr>
        <w:spacing w:line="580" w:lineRule="exact"/>
        <w:ind w:firstLine="640"/>
        <w:jc w:val="both"/>
      </w:pPr>
      <w:r>
        <w:rPr>
          <w:rFonts w:ascii="仿宋_GB2312" w:hAnsi="仿宋_GB2312" w:eastAsia="仿宋_GB2312"/>
          <w:b w:val="0"/>
          <w:sz w:val="32"/>
        </w:rPr>
        <w:t>15.社会保障和就业支出(类)抚恤(款)死亡抚恤(项):支出决算数为0.00万元，比上年决算减少22.91万元，下降100.00%,主要原因是：本年无新增死亡人员，抚恤经费减少。</w:t>
      </w:r>
    </w:p>
    <w:p w14:paraId="5069DE5E">
      <w:pPr>
        <w:spacing w:line="580" w:lineRule="exact"/>
        <w:ind w:firstLine="640"/>
        <w:jc w:val="both"/>
      </w:pPr>
      <w:r>
        <w:rPr>
          <w:rFonts w:ascii="仿宋_GB2312" w:hAnsi="仿宋_GB2312" w:eastAsia="仿宋_GB2312"/>
          <w:b w:val="0"/>
          <w:sz w:val="32"/>
        </w:rPr>
        <w:t>16.卫生健康支出(类)行政事业单位医疗(款)行政单位医疗(项):支出决算数为84.40万元，比上年决算增加20.72万元，增长32.54%,主要原因是：本年在职人员工资基数调增，医疗缴费基数上涨，相应支出增加。</w:t>
      </w:r>
    </w:p>
    <w:p w14:paraId="4E4D520A">
      <w:pPr>
        <w:spacing w:line="580" w:lineRule="exact"/>
        <w:ind w:firstLine="640"/>
        <w:jc w:val="both"/>
      </w:pPr>
      <w:r>
        <w:rPr>
          <w:rFonts w:ascii="仿宋_GB2312" w:hAnsi="仿宋_GB2312" w:eastAsia="仿宋_GB2312"/>
          <w:b w:val="0"/>
          <w:sz w:val="32"/>
        </w:rPr>
        <w:t>17.卫生健康支出(类)行政事业单位医疗(款)公务员医疗补助(项):支出决算数为19.42万元，比上年决算增加4.19万元，增长27.51%,主要原因是：本年在职人员工资基数调增，公务员医疗补助缴费基数上涨，相应支出增加。</w:t>
      </w:r>
    </w:p>
    <w:p w14:paraId="3427AB35">
      <w:pPr>
        <w:spacing w:line="580" w:lineRule="exact"/>
        <w:ind w:firstLine="640"/>
        <w:jc w:val="both"/>
      </w:pPr>
      <w:r>
        <w:rPr>
          <w:rFonts w:ascii="仿宋_GB2312" w:hAnsi="仿宋_GB2312" w:eastAsia="仿宋_GB2312"/>
          <w:b w:val="0"/>
          <w:sz w:val="32"/>
        </w:rPr>
        <w:t>18.农林水支出(类)农业农村(款)行政运行(项):支出决算数为0.00万元，比上年决算减少55.53万元，下降100.00%,主要原因是：本年2021</w:t>
      </w:r>
      <w:r>
        <w:rPr>
          <w:rFonts w:hint="eastAsia" w:ascii="仿宋_GB2312" w:hAnsi="仿宋_GB2312" w:eastAsia="仿宋_GB2312"/>
          <w:b w:val="0"/>
          <w:sz w:val="32"/>
          <w:lang w:eastAsia="zh-CN"/>
        </w:rPr>
        <w:t>—</w:t>
      </w:r>
      <w:r>
        <w:rPr>
          <w:rFonts w:ascii="仿宋_GB2312" w:hAnsi="仿宋_GB2312" w:eastAsia="仿宋_GB2312"/>
          <w:b w:val="0"/>
          <w:sz w:val="32"/>
        </w:rPr>
        <w:t>2023年乡镇工作补贴减少。</w:t>
      </w:r>
    </w:p>
    <w:p w14:paraId="7A359957">
      <w:pPr>
        <w:spacing w:line="580" w:lineRule="exact"/>
        <w:ind w:firstLine="640"/>
        <w:jc w:val="both"/>
      </w:pPr>
      <w:r>
        <w:rPr>
          <w:rFonts w:ascii="仿宋_GB2312" w:hAnsi="仿宋_GB2312" w:eastAsia="仿宋_GB2312"/>
          <w:b w:val="0"/>
          <w:sz w:val="32"/>
        </w:rPr>
        <w:t>19.农林水支出(类)农业农村(款)农业生产发展(项):支出决算数为3.20万元，比上年决算增加3.20万元，增长100.00%,主要原因是：本年度增加依力克其乡高素质农民培训项目（9村、10村）项目，相应支出增加。</w:t>
      </w:r>
    </w:p>
    <w:p w14:paraId="236D8B4C">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1,923.99万元，比上年决算减少623.53万元，下降24.48%,主要原因是：本年度减少叶城县依力克其乡防渗渠建设、叶城县依力克其乡林果嫁接改优项目、叶城县依力克其乡特色产业发展配套基础设施建设中央财政以工代赈项目。</w:t>
      </w:r>
    </w:p>
    <w:p w14:paraId="3CAA294C">
      <w:pPr>
        <w:spacing w:line="580" w:lineRule="exact"/>
        <w:ind w:firstLine="640"/>
        <w:jc w:val="both"/>
      </w:pPr>
      <w:r>
        <w:rPr>
          <w:rFonts w:ascii="仿宋_GB2312" w:hAnsi="仿宋_GB2312" w:eastAsia="仿宋_GB2312"/>
          <w:b w:val="0"/>
          <w:sz w:val="32"/>
        </w:rPr>
        <w:t>21.交通运输支出(类)邮政业支出(款)邮政普遍服务与特殊服务(项):支出决算数为0.24万元，比上年决算增加0.00万元，增长0.00%,主要原因是：2024年农牧区投递员专项补贴资金与上年一致，无变化。</w:t>
      </w:r>
    </w:p>
    <w:p w14:paraId="3CA33715">
      <w:pPr>
        <w:spacing w:line="580" w:lineRule="exact"/>
        <w:ind w:firstLine="640"/>
        <w:jc w:val="both"/>
      </w:pPr>
      <w:r>
        <w:rPr>
          <w:rFonts w:ascii="仿宋_GB2312" w:hAnsi="仿宋_GB2312" w:eastAsia="仿宋_GB2312"/>
          <w:b w:val="0"/>
          <w:sz w:val="32"/>
        </w:rPr>
        <w:t>22.住房保障支出(类)住房改革支出(款)住房公积金(项):支出决算数为159.68万元，比上年决算增加48.81万元，增长44.02%,主要原因是：本年在职人员工资基数调增，公积金缴费基数上涨，相应支出增加。</w:t>
      </w:r>
    </w:p>
    <w:p w14:paraId="26879D79">
      <w:pPr>
        <w:spacing w:line="640" w:lineRule="exact"/>
        <w:ind w:firstLine="640"/>
        <w:jc w:val="both"/>
        <w:outlineLvl w:val="2"/>
      </w:pPr>
      <w:r>
        <w:rPr>
          <w:rFonts w:ascii="黑体" w:hAnsi="黑体" w:eastAsia="黑体"/>
          <w:sz w:val="32"/>
        </w:rPr>
        <w:t>六、一般公共预算财政拨款基本支出决算情况说明</w:t>
      </w:r>
    </w:p>
    <w:p w14:paraId="7B73F184">
      <w:pPr>
        <w:spacing w:line="580" w:lineRule="exact"/>
        <w:ind w:firstLine="640"/>
        <w:jc w:val="both"/>
      </w:pPr>
      <w:r>
        <w:rPr>
          <w:rFonts w:ascii="仿宋_GB2312" w:hAnsi="仿宋_GB2312" w:eastAsia="仿宋_GB2312"/>
          <w:b w:val="0"/>
          <w:sz w:val="32"/>
        </w:rPr>
        <w:t>2024年度一般公共预算财政拨款基本支出1,975.42万元，其中：</w:t>
      </w:r>
      <w:r>
        <w:rPr>
          <w:rFonts w:ascii="仿宋_GB2312" w:hAnsi="仿宋_GB2312" w:eastAsia="仿宋_GB2312"/>
          <w:b/>
          <w:sz w:val="32"/>
        </w:rPr>
        <w:t>人员经费1,922.73万元，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79E5B026">
      <w:pPr>
        <w:spacing w:line="580" w:lineRule="exact"/>
        <w:ind w:firstLine="640"/>
        <w:jc w:val="both"/>
      </w:pPr>
      <w:r>
        <w:rPr>
          <w:rFonts w:ascii="仿宋_GB2312" w:hAnsi="仿宋_GB2312" w:eastAsia="仿宋_GB2312"/>
          <w:b/>
          <w:sz w:val="32"/>
        </w:rPr>
        <w:t>公用经费52.68万元，</w:t>
      </w:r>
      <w:r>
        <w:rPr>
          <w:rFonts w:ascii="仿宋_GB2312" w:hAnsi="仿宋_GB2312" w:eastAsia="仿宋_GB2312"/>
          <w:b w:val="0"/>
          <w:sz w:val="32"/>
        </w:rPr>
        <w:t>包括：办公费、水费、电费、邮电费、取暖费、劳务费、委托业务费、公务用车运行维护费。</w:t>
      </w:r>
    </w:p>
    <w:p w14:paraId="4FE86093">
      <w:pPr>
        <w:spacing w:line="640" w:lineRule="exact"/>
        <w:ind w:firstLine="640"/>
        <w:jc w:val="both"/>
        <w:outlineLvl w:val="2"/>
      </w:pPr>
      <w:r>
        <w:rPr>
          <w:rFonts w:ascii="黑体" w:hAnsi="黑体" w:eastAsia="黑体"/>
          <w:sz w:val="32"/>
        </w:rPr>
        <w:t>七、政府性基金预算财政拨款收入支出决算情况说明</w:t>
      </w:r>
    </w:p>
    <w:p w14:paraId="6A60866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89AF496">
      <w:pPr>
        <w:spacing w:line="640" w:lineRule="exact"/>
        <w:ind w:firstLine="640"/>
        <w:jc w:val="both"/>
        <w:outlineLvl w:val="2"/>
      </w:pPr>
      <w:r>
        <w:rPr>
          <w:rFonts w:ascii="黑体" w:hAnsi="黑体" w:eastAsia="黑体"/>
          <w:sz w:val="32"/>
        </w:rPr>
        <w:t>八、国有资本经营预算财政拨款收入支出决算情况说明</w:t>
      </w:r>
    </w:p>
    <w:p w14:paraId="59D95F7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A189D35">
      <w:pPr>
        <w:spacing w:line="640" w:lineRule="exact"/>
        <w:ind w:firstLine="640"/>
        <w:jc w:val="both"/>
        <w:outlineLvl w:val="2"/>
      </w:pPr>
      <w:r>
        <w:rPr>
          <w:rFonts w:ascii="黑体" w:hAnsi="黑体" w:eastAsia="黑体"/>
          <w:sz w:val="32"/>
        </w:rPr>
        <w:t>九、财政拨款“三公”经费支出决算情况说明</w:t>
      </w:r>
    </w:p>
    <w:p w14:paraId="4E001B9C">
      <w:pPr>
        <w:spacing w:line="580" w:lineRule="exact"/>
        <w:ind w:firstLine="640"/>
        <w:jc w:val="both"/>
      </w:pPr>
      <w:r>
        <w:rPr>
          <w:rFonts w:ascii="仿宋_GB2312" w:hAnsi="仿宋_GB2312" w:eastAsia="仿宋_GB2312"/>
          <w:b/>
          <w:sz w:val="32"/>
        </w:rPr>
        <w:t>2024年度财政拨款“三公”经费支出4.25万元，</w:t>
      </w:r>
      <w:r>
        <w:rPr>
          <w:rFonts w:ascii="仿宋_GB2312" w:hAnsi="仿宋_GB2312" w:eastAsia="仿宋_GB2312"/>
          <w:b w:val="0"/>
          <w:sz w:val="32"/>
        </w:rPr>
        <w:t>比上年增加1.37万元，增长47.57%，主要原因是：本年度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4.25万元，占100.00%，比上年增加1.37万元，增长47.57%，主要原因是：本年度因业务需求，用车次数增加，燃油费增加，导致公务用车运行维护费较上年增加。公务接待费支出0.00万元，占0.00%，比上年增加0.00万元，增长0.00%，主要原因是：2023年与2024年均未安排公务接待费支出。</w:t>
      </w:r>
    </w:p>
    <w:p w14:paraId="1D94822E">
      <w:pPr>
        <w:spacing w:line="580" w:lineRule="exact"/>
        <w:ind w:firstLine="640"/>
        <w:jc w:val="both"/>
      </w:pPr>
      <w:r>
        <w:rPr>
          <w:rFonts w:ascii="仿宋_GB2312" w:hAnsi="仿宋_GB2312" w:eastAsia="仿宋_GB2312"/>
          <w:b/>
          <w:sz w:val="32"/>
        </w:rPr>
        <w:t>具体情况如下：</w:t>
      </w:r>
    </w:p>
    <w:p w14:paraId="744FBC3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5B7A42">
      <w:pPr>
        <w:spacing w:line="580" w:lineRule="exact"/>
        <w:ind w:firstLine="640"/>
        <w:jc w:val="both"/>
      </w:pPr>
      <w:r>
        <w:rPr>
          <w:rFonts w:ascii="仿宋_GB2312" w:hAnsi="仿宋_GB2312" w:eastAsia="仿宋_GB2312"/>
          <w:b w:val="0"/>
          <w:sz w:val="32"/>
        </w:rPr>
        <w:t>公务用车购置及运行维护费4.25万元，其中：公务用车购置费0.00万元，公务用车运行维护费4.25万元。公务用车运行维护费开支内容包括车辆加油费、维修费、保险费、审车费。公务用车购置数0辆，公务用车保有量5辆。国有资产占用情况中固定资产车辆5辆，与公务用车保有量差异原因是：本单位固定资产车辆与公务用车保有量一致无差异。</w:t>
      </w:r>
    </w:p>
    <w:p w14:paraId="32AAB18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A1B705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4.25万元，决算数4.25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4.25万元，预决算差异率0.00%，主要原因是：严格按照预算执行，预决算无差异。公务接待费全年预算数0.00万元，决算数0.00万元，预决算差异率0.00%，主要原因是：本单位无公务接待费。</w:t>
      </w:r>
    </w:p>
    <w:p w14:paraId="0495C256">
      <w:pPr>
        <w:spacing w:line="640" w:lineRule="exact"/>
        <w:ind w:firstLine="640"/>
        <w:jc w:val="both"/>
        <w:outlineLvl w:val="2"/>
      </w:pPr>
      <w:r>
        <w:rPr>
          <w:rFonts w:ascii="黑体" w:hAnsi="黑体" w:eastAsia="黑体"/>
          <w:sz w:val="32"/>
        </w:rPr>
        <w:t>十、其他重要事项的情况说明</w:t>
      </w:r>
    </w:p>
    <w:p w14:paraId="3D8D6E59">
      <w:pPr>
        <w:spacing w:line="640" w:lineRule="exact"/>
        <w:ind w:firstLine="640"/>
        <w:jc w:val="both"/>
        <w:outlineLvl w:val="3"/>
      </w:pPr>
      <w:r>
        <w:rPr>
          <w:rFonts w:ascii="楷体_GB2312" w:hAnsi="楷体_GB2312" w:eastAsia="楷体_GB2312"/>
          <w:b/>
          <w:sz w:val="32"/>
        </w:rPr>
        <w:t>（一）机关运行经费及公用经费支出情况</w:t>
      </w:r>
    </w:p>
    <w:p w14:paraId="25A06F98">
      <w:pPr>
        <w:spacing w:line="580" w:lineRule="exact"/>
        <w:ind w:firstLine="640"/>
        <w:jc w:val="both"/>
      </w:pPr>
      <w:r>
        <w:rPr>
          <w:rFonts w:ascii="仿宋_GB2312" w:hAnsi="仿宋_GB2312" w:eastAsia="仿宋_GB2312"/>
          <w:b w:val="0"/>
          <w:sz w:val="32"/>
        </w:rPr>
        <w:t>2024年度叶城县依力克其乡人民政府（行政单位和参照公务员法管理事业单位）机关运行经费支出52.68万元，比上年增加19.74万元，增长59.93%，主要原因是：本年办公经费增加，本年度因业务需求，用车次数增加，燃油费增加，导致机关运行经费较上年增加。</w:t>
      </w:r>
    </w:p>
    <w:p w14:paraId="178525CF">
      <w:pPr>
        <w:spacing w:line="640" w:lineRule="exact"/>
        <w:ind w:firstLine="640"/>
        <w:jc w:val="both"/>
        <w:outlineLvl w:val="3"/>
      </w:pPr>
      <w:r>
        <w:rPr>
          <w:rFonts w:ascii="楷体_GB2312" w:hAnsi="楷体_GB2312" w:eastAsia="楷体_GB2312"/>
          <w:b/>
          <w:sz w:val="32"/>
        </w:rPr>
        <w:t>（二）政府采购情况</w:t>
      </w:r>
    </w:p>
    <w:p w14:paraId="08F7440E">
      <w:pPr>
        <w:spacing w:line="580" w:lineRule="exact"/>
        <w:ind w:firstLine="640"/>
        <w:jc w:val="both"/>
      </w:pPr>
      <w:r>
        <w:rPr>
          <w:rFonts w:ascii="仿宋_GB2312" w:hAnsi="仿宋_GB2312" w:eastAsia="仿宋_GB2312"/>
          <w:b w:val="0"/>
          <w:sz w:val="32"/>
        </w:rPr>
        <w:t>2024年度政府采购支出总额81.54万元，其中：政府采购货物支出44.38万元、政府采购工程支出0.00万元、政府采购服务支出37.16万元。</w:t>
      </w:r>
    </w:p>
    <w:p w14:paraId="3D6A7E38">
      <w:pPr>
        <w:spacing w:line="580" w:lineRule="exact"/>
        <w:ind w:firstLine="640"/>
        <w:jc w:val="both"/>
      </w:pPr>
      <w:r>
        <w:rPr>
          <w:rFonts w:ascii="仿宋_GB2312" w:hAnsi="仿宋_GB2312" w:eastAsia="仿宋_GB2312"/>
          <w:b w:val="0"/>
          <w:sz w:val="32"/>
        </w:rPr>
        <w:t>授予中小企业合同金额78.44万元，占政府采购支出总额的96.20%，其中：授予小微企业合同金额68.77万元，占政府采购支出总额的84.34%。</w:t>
      </w:r>
    </w:p>
    <w:p w14:paraId="5CB1B37C">
      <w:pPr>
        <w:spacing w:line="640" w:lineRule="exact"/>
        <w:ind w:firstLine="640"/>
        <w:jc w:val="both"/>
        <w:outlineLvl w:val="3"/>
      </w:pPr>
      <w:r>
        <w:rPr>
          <w:rFonts w:ascii="楷体_GB2312" w:hAnsi="楷体_GB2312" w:eastAsia="楷体_GB2312"/>
          <w:b/>
          <w:sz w:val="32"/>
        </w:rPr>
        <w:t>（三）国有资产占用情况说明</w:t>
      </w:r>
    </w:p>
    <w:p w14:paraId="7929AC55">
      <w:pPr>
        <w:spacing w:line="580" w:lineRule="exact"/>
        <w:ind w:firstLine="640"/>
        <w:jc w:val="both"/>
      </w:pPr>
      <w:r>
        <w:rPr>
          <w:rFonts w:ascii="仿宋_GB2312" w:hAnsi="仿宋_GB2312" w:eastAsia="仿宋_GB2312"/>
          <w:b w:val="0"/>
          <w:sz w:val="32"/>
        </w:rPr>
        <w:t>截至2024年12月31日，房屋3,779.89平方米，价值354.28万元。车辆5辆，价值49.32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307796CC">
      <w:pPr>
        <w:spacing w:line="640" w:lineRule="exact"/>
        <w:ind w:firstLine="640"/>
        <w:jc w:val="both"/>
        <w:outlineLvl w:val="2"/>
      </w:pPr>
      <w:r>
        <w:rPr>
          <w:rFonts w:ascii="黑体" w:hAnsi="黑体" w:eastAsia="黑体"/>
          <w:sz w:val="32"/>
        </w:rPr>
        <w:t>十一、预算绩效的情况说明</w:t>
      </w:r>
    </w:p>
    <w:p w14:paraId="3C1179A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4,122.40万元，实际执行总额4,122.40万元；预算绩效评价项目1个，全年预算数40.20万元，全年执行数38.68万元。预算绩效管理取得的成效：一是项目实施后的自评等过程的掌握，获得准确的实施情况；二是及时查漏补缺促使项目高效完成，提高项目实施效果。发现的问题及原因：一是因项目前期确定资金使用范围内人员身份识别不精准等原因，导致项目资金支付滞缓，影响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做好年初预算的编制，通过加强乡政府各部门的预算管理意识，严格按照预算编制相关制度和要求进行预算编制，确保年初预算的全面性、准确性、科学性；四是持续加强财务管理，加快资金支付力度。在支付报账</w:t>
      </w:r>
      <w:r>
        <w:rPr>
          <w:rFonts w:hint="eastAsia" w:ascii="仿宋_GB2312" w:hAnsi="仿宋_GB2312" w:eastAsia="仿宋_GB2312"/>
          <w:b w:val="0"/>
          <w:sz w:val="32"/>
          <w:lang w:eastAsia="zh-CN"/>
        </w:rPr>
        <w:t>时</w:t>
      </w:r>
      <w:r>
        <w:rPr>
          <w:rFonts w:ascii="仿宋_GB2312" w:hAnsi="仿宋_GB2312" w:eastAsia="仿宋_GB2312"/>
          <w:b w:val="0"/>
          <w:sz w:val="32"/>
        </w:rPr>
        <w:t>，严格按照预算规定的项目范围、用途及使用规则审核支付，坚决杜绝超支现象的发生。具体附整体支出绩效自评表，项目支出绩效自评表和评价报告。</w:t>
      </w:r>
    </w:p>
    <w:p w14:paraId="119272D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BD575C">
        <w:tblPrEx>
          <w:tblCellMar>
            <w:top w:w="0" w:type="dxa"/>
            <w:left w:w="108" w:type="dxa"/>
            <w:bottom w:w="0" w:type="dxa"/>
            <w:right w:w="108" w:type="dxa"/>
          </w:tblCellMar>
        </w:tblPrEx>
        <w:tc>
          <w:tcPr>
            <w:tcW w:w="8847" w:type="dxa"/>
            <w:gridSpan w:val="9"/>
            <w:vAlign w:val="center"/>
          </w:tcPr>
          <w:p w14:paraId="5EAEF632">
            <w:pPr>
              <w:jc w:val="center"/>
            </w:pPr>
            <w:r>
              <w:rPr>
                <w:rFonts w:ascii="宋体" w:hAnsi="宋体" w:eastAsia="宋体"/>
                <w:sz w:val="24"/>
              </w:rPr>
              <w:t>单位整体支出绩效自评表</w:t>
            </w:r>
          </w:p>
        </w:tc>
      </w:tr>
      <w:tr w14:paraId="56C57FDB">
        <w:tblPrEx>
          <w:tblCellMar>
            <w:top w:w="0" w:type="dxa"/>
            <w:left w:w="108" w:type="dxa"/>
            <w:bottom w:w="0" w:type="dxa"/>
            <w:right w:w="108" w:type="dxa"/>
          </w:tblCellMar>
        </w:tblPrEx>
        <w:tc>
          <w:tcPr>
            <w:tcW w:w="8847" w:type="dxa"/>
            <w:gridSpan w:val="9"/>
            <w:vAlign w:val="center"/>
          </w:tcPr>
          <w:p w14:paraId="5A05A2DA">
            <w:pPr>
              <w:jc w:val="center"/>
            </w:pPr>
            <w:r>
              <w:rPr>
                <w:rFonts w:ascii="宋体" w:hAnsi="宋体" w:eastAsia="宋体"/>
                <w:sz w:val="24"/>
              </w:rPr>
              <w:t>（2024年度）</w:t>
            </w:r>
          </w:p>
        </w:tc>
      </w:tr>
      <w:tr w14:paraId="7D836B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361D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BE02DA">
            <w:pPr>
              <w:jc w:val="center"/>
            </w:pPr>
            <w:r>
              <w:rPr>
                <w:rFonts w:ascii="宋体" w:hAnsi="宋体" w:eastAsia="宋体"/>
                <w:sz w:val="16"/>
              </w:rPr>
              <w:t>叶城县依力克其乡人民政府</w:t>
            </w:r>
          </w:p>
        </w:tc>
      </w:tr>
      <w:tr w14:paraId="676839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A0F3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F255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27E0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5241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02F7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5597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6ED7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11E7">
            <w:pPr>
              <w:jc w:val="center"/>
            </w:pPr>
            <w:r>
              <w:rPr>
                <w:rFonts w:ascii="宋体" w:hAnsi="宋体" w:eastAsia="宋体"/>
                <w:sz w:val="16"/>
              </w:rPr>
              <w:t>得分</w:t>
            </w:r>
          </w:p>
        </w:tc>
      </w:tr>
      <w:tr w14:paraId="7D2B82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E4C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4B30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EB53A">
            <w:pPr>
              <w:jc w:val="center"/>
            </w:pPr>
            <w:r>
              <w:rPr>
                <w:rFonts w:ascii="宋体" w:hAnsi="宋体" w:eastAsia="宋体"/>
                <w:sz w:val="16"/>
              </w:rPr>
              <w:t>2,298.08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D6E0B">
            <w:pPr>
              <w:jc w:val="center"/>
            </w:pPr>
            <w:r>
              <w:rPr>
                <w:rFonts w:ascii="宋体" w:hAnsi="宋体" w:eastAsia="宋体"/>
                <w:sz w:val="16"/>
              </w:rPr>
              <w:t>4,122.40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A8532">
            <w:pPr>
              <w:jc w:val="center"/>
            </w:pPr>
            <w:r>
              <w:rPr>
                <w:rFonts w:ascii="宋体" w:hAnsi="宋体" w:eastAsia="宋体"/>
                <w:sz w:val="16"/>
              </w:rPr>
              <w:t>4,122.40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B70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B019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31E1">
            <w:pPr>
              <w:jc w:val="center"/>
            </w:pPr>
            <w:r>
              <w:rPr>
                <w:rFonts w:ascii="宋体" w:hAnsi="宋体" w:eastAsia="宋体"/>
                <w:sz w:val="16"/>
              </w:rPr>
              <w:t>10</w:t>
            </w:r>
          </w:p>
        </w:tc>
      </w:tr>
      <w:tr w14:paraId="1B8F92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B84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4836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60022">
            <w:pPr>
              <w:jc w:val="center"/>
            </w:pPr>
            <w:r>
              <w:rPr>
                <w:rFonts w:ascii="宋体" w:hAnsi="宋体" w:eastAsia="宋体"/>
                <w:sz w:val="16"/>
              </w:rPr>
              <w:t>131.60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C255C">
            <w:pPr>
              <w:jc w:val="center"/>
            </w:pPr>
            <w:r>
              <w:rPr>
                <w:rFonts w:ascii="宋体" w:hAnsi="宋体" w:eastAsia="宋体"/>
                <w:sz w:val="16"/>
              </w:rPr>
              <w:t>2,141.92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5899B">
            <w:pPr>
              <w:jc w:val="center"/>
            </w:pPr>
            <w:r>
              <w:rPr>
                <w:rFonts w:ascii="宋体" w:hAnsi="宋体" w:eastAsia="宋体"/>
                <w:sz w:val="16"/>
              </w:rPr>
              <w:t>2,141.92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1C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1111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8D899">
            <w:pPr>
              <w:jc w:val="center"/>
            </w:pPr>
            <w:r>
              <w:rPr>
                <w:rFonts w:ascii="宋体" w:hAnsi="宋体" w:eastAsia="宋体"/>
                <w:sz w:val="16"/>
              </w:rPr>
              <w:t>—</w:t>
            </w:r>
          </w:p>
        </w:tc>
      </w:tr>
      <w:tr w14:paraId="349766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F93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F844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B8DE1">
            <w:pPr>
              <w:jc w:val="center"/>
            </w:pPr>
            <w:r>
              <w:rPr>
                <w:rFonts w:ascii="宋体" w:hAnsi="宋体" w:eastAsia="宋体"/>
                <w:sz w:val="16"/>
              </w:rPr>
              <w:t>2,166.48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343BB">
            <w:pPr>
              <w:jc w:val="center"/>
            </w:pPr>
            <w:r>
              <w:rPr>
                <w:rFonts w:ascii="宋体" w:hAnsi="宋体" w:eastAsia="宋体"/>
                <w:sz w:val="16"/>
              </w:rPr>
              <w:t>1,975.41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0C55A">
            <w:pPr>
              <w:jc w:val="center"/>
            </w:pPr>
            <w:r>
              <w:rPr>
                <w:rFonts w:ascii="宋体" w:hAnsi="宋体" w:eastAsia="宋体"/>
                <w:sz w:val="16"/>
              </w:rPr>
              <w:t>1,975.41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E29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AAD7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9F72">
            <w:pPr>
              <w:jc w:val="center"/>
            </w:pPr>
            <w:r>
              <w:rPr>
                <w:rFonts w:ascii="宋体" w:hAnsi="宋体" w:eastAsia="宋体"/>
                <w:sz w:val="16"/>
              </w:rPr>
              <w:t>—</w:t>
            </w:r>
          </w:p>
        </w:tc>
      </w:tr>
      <w:tr w14:paraId="3C74D0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D94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23D2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2CF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BB714">
            <w:pPr>
              <w:jc w:val="center"/>
            </w:pPr>
            <w:r>
              <w:rPr>
                <w:rFonts w:ascii="宋体" w:hAnsi="宋体" w:eastAsia="宋体"/>
                <w:sz w:val="16"/>
              </w:rPr>
              <w:t>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A88F2">
            <w:pPr>
              <w:jc w:val="center"/>
            </w:pPr>
            <w:r>
              <w:rPr>
                <w:rFonts w:ascii="宋体" w:hAnsi="宋体" w:eastAsia="宋体"/>
                <w:sz w:val="16"/>
              </w:rPr>
              <w:t>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892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BCB0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DAD9">
            <w:pPr>
              <w:jc w:val="center"/>
            </w:pPr>
            <w:r>
              <w:rPr>
                <w:rFonts w:ascii="宋体" w:hAnsi="宋体" w:eastAsia="宋体"/>
                <w:sz w:val="16"/>
              </w:rPr>
              <w:t>—</w:t>
            </w:r>
          </w:p>
        </w:tc>
      </w:tr>
      <w:tr w14:paraId="10B859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194D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DC913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F335BA">
            <w:pPr>
              <w:jc w:val="center"/>
            </w:pPr>
            <w:r>
              <w:rPr>
                <w:rFonts w:ascii="宋体" w:hAnsi="宋体" w:eastAsia="宋体"/>
                <w:sz w:val="16"/>
              </w:rPr>
              <w:t>实际完成情况</w:t>
            </w:r>
          </w:p>
        </w:tc>
      </w:tr>
      <w:tr w14:paraId="0F86E2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A931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F0D3D4">
            <w:pPr>
              <w:jc w:val="both"/>
            </w:pPr>
            <w:r>
              <w:rPr>
                <w:rFonts w:ascii="宋体" w:hAnsi="宋体" w:eastAsia="宋体"/>
                <w:sz w:val="16"/>
              </w:rPr>
              <w:t>认真贯彻新时代党的路线、方针、政策，促进职能转变，巩固加强基层政权建设，建设健全适应新农村经济发展和社会稳定的体制机制。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5A817C">
            <w:pPr>
              <w:jc w:val="both"/>
            </w:pPr>
            <w:r>
              <w:rPr>
                <w:rFonts w:hint="eastAsia" w:ascii="宋体" w:hAnsi="宋体"/>
                <w:sz w:val="16"/>
                <w:lang w:eastAsia="zh-CN"/>
              </w:rPr>
              <w:t>截至2024</w:t>
            </w:r>
            <w:r>
              <w:rPr>
                <w:rFonts w:ascii="宋体" w:hAnsi="宋体" w:eastAsia="宋体"/>
                <w:sz w:val="16"/>
              </w:rPr>
              <w:t>年12月31日，全乡已完成开展科技培训8次，新建项目3个，开展大型文体活动16次，认真贯彻新时代党的路线、方针、政策，促进职能转变，巩固加强基层政权建设，建设健全适应新农村经济发展和社会稳定的体制机制。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w:t>
            </w:r>
          </w:p>
        </w:tc>
      </w:tr>
      <w:tr w14:paraId="13DE6F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D8A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C788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9505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EF43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EE17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E5AC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CD5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A78E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C56B">
            <w:pPr>
              <w:jc w:val="center"/>
            </w:pPr>
            <w:r>
              <w:rPr>
                <w:rFonts w:ascii="宋体" w:hAnsi="宋体" w:eastAsia="宋体"/>
                <w:sz w:val="16"/>
              </w:rPr>
              <w:t>得分</w:t>
            </w:r>
          </w:p>
        </w:tc>
      </w:tr>
      <w:tr w14:paraId="746C0C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4888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A599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FADA">
            <w:pPr>
              <w:jc w:val="center"/>
            </w:pPr>
            <w:r>
              <w:rPr>
                <w:rFonts w:ascii="宋体" w:hAnsi="宋体" w:eastAsia="宋体"/>
                <w:sz w:val="16"/>
              </w:rPr>
              <w:t>新建项目数量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F1CD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6C76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1FDD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A9D4">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A93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63802">
            <w:pPr>
              <w:jc w:val="center"/>
            </w:pPr>
            <w:r>
              <w:rPr>
                <w:rFonts w:ascii="宋体" w:hAnsi="宋体" w:eastAsia="宋体"/>
                <w:sz w:val="16"/>
              </w:rPr>
              <w:t>18</w:t>
            </w:r>
          </w:p>
        </w:tc>
      </w:tr>
      <w:tr w14:paraId="18DA96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A57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8A1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DF2EF">
            <w:pPr>
              <w:jc w:val="center"/>
            </w:pPr>
            <w:r>
              <w:rPr>
                <w:rFonts w:ascii="宋体" w:hAnsi="宋体" w:eastAsia="宋体"/>
                <w:sz w:val="16"/>
              </w:rPr>
              <w:t>创建全国民族团结进步示范村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E3386">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C57B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E8B1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E50E">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345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8087">
            <w:pPr>
              <w:jc w:val="center"/>
            </w:pPr>
            <w:r>
              <w:rPr>
                <w:rFonts w:ascii="宋体" w:hAnsi="宋体" w:eastAsia="宋体"/>
                <w:sz w:val="16"/>
              </w:rPr>
              <w:t>18</w:t>
            </w:r>
          </w:p>
        </w:tc>
      </w:tr>
      <w:tr w14:paraId="675BD5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3B6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5EB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92239">
            <w:pPr>
              <w:jc w:val="center"/>
            </w:pPr>
            <w:r>
              <w:rPr>
                <w:rFonts w:ascii="宋体" w:hAnsi="宋体" w:eastAsia="宋体"/>
                <w:sz w:val="16"/>
              </w:rPr>
              <w:t>开展大型文体活动场次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42445">
            <w:pPr>
              <w:jc w:val="center"/>
            </w:pPr>
            <w:r>
              <w:rPr>
                <w:rFonts w:ascii="宋体" w:hAnsi="宋体" w:eastAsia="宋体"/>
                <w:sz w:val="16"/>
              </w:rPr>
              <w:t>&gt;=16场次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C8BE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6A7F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813A">
            <w:pPr>
              <w:jc w:val="center"/>
            </w:pPr>
            <w:r>
              <w:rPr>
                <w:rFonts w:ascii="宋体" w:hAnsi="宋体" w:eastAsia="宋体"/>
                <w:sz w:val="16"/>
              </w:rPr>
              <w:t>=16次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3AE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B8CEF">
            <w:pPr>
              <w:jc w:val="center"/>
            </w:pPr>
            <w:r>
              <w:rPr>
                <w:rFonts w:ascii="宋体" w:hAnsi="宋体" w:eastAsia="宋体"/>
                <w:sz w:val="16"/>
              </w:rPr>
              <w:t>18</w:t>
            </w:r>
          </w:p>
        </w:tc>
      </w:tr>
      <w:tr w14:paraId="579D35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CEF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98C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B0EA8">
            <w:pPr>
              <w:jc w:val="center"/>
            </w:pPr>
            <w:r>
              <w:rPr>
                <w:rFonts w:ascii="宋体" w:hAnsi="宋体" w:eastAsia="宋体"/>
                <w:sz w:val="16"/>
              </w:rPr>
              <w:t>开展科技培训次数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31C99">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572F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499D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3D8DC">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6DB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6DDCB">
            <w:pPr>
              <w:jc w:val="center"/>
            </w:pPr>
            <w:r>
              <w:rPr>
                <w:rFonts w:ascii="宋体" w:hAnsi="宋体" w:eastAsia="宋体"/>
                <w:sz w:val="16"/>
              </w:rPr>
              <w:t>18</w:t>
            </w:r>
          </w:p>
        </w:tc>
      </w:tr>
      <w:tr w14:paraId="42B2E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D2C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A10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D0148">
            <w:pPr>
              <w:jc w:val="center"/>
            </w:pPr>
            <w:r>
              <w:rPr>
                <w:rFonts w:ascii="宋体" w:hAnsi="宋体" w:eastAsia="宋体"/>
                <w:sz w:val="16"/>
              </w:rPr>
              <w:t>计划种植小麦万亩数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69974">
            <w:pPr>
              <w:jc w:val="center"/>
            </w:pPr>
            <w:r>
              <w:rPr>
                <w:rFonts w:ascii="宋体" w:hAnsi="宋体" w:eastAsia="宋体"/>
                <w:sz w:val="16"/>
              </w:rPr>
              <w:t>&gt;=3.59万亩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8AA2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5873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C06EB">
            <w:pPr>
              <w:jc w:val="center"/>
            </w:pPr>
            <w:r>
              <w:rPr>
                <w:rFonts w:ascii="宋体" w:hAnsi="宋体" w:eastAsia="宋体"/>
                <w:sz w:val="16"/>
              </w:rPr>
              <w:t>=3.59万亩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F04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E7CA3">
            <w:pPr>
              <w:jc w:val="center"/>
            </w:pPr>
            <w:r>
              <w:rPr>
                <w:rFonts w:ascii="宋体" w:hAnsi="宋体" w:eastAsia="宋体"/>
                <w:sz w:val="16"/>
              </w:rPr>
              <w:t>18</w:t>
            </w:r>
          </w:p>
        </w:tc>
      </w:tr>
    </w:tbl>
    <w:p w14:paraId="2658EF8A">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3769EBEE">
        <w:tblPrEx>
          <w:tblCellMar>
            <w:top w:w="0" w:type="dxa"/>
            <w:left w:w="108" w:type="dxa"/>
            <w:bottom w:w="0" w:type="dxa"/>
            <w:right w:w="108" w:type="dxa"/>
          </w:tblCellMar>
        </w:tblPrEx>
        <w:tc>
          <w:tcPr>
            <w:tcW w:w="8848" w:type="dxa"/>
            <w:gridSpan w:val="14"/>
            <w:vAlign w:val="center"/>
          </w:tcPr>
          <w:p w14:paraId="5026D064">
            <w:pPr>
              <w:jc w:val="center"/>
            </w:pPr>
            <w:r>
              <w:rPr>
                <w:rFonts w:ascii="宋体" w:hAnsi="宋体" w:eastAsia="宋体"/>
                <w:sz w:val="24"/>
              </w:rPr>
              <w:t>项目支出绩效自评表</w:t>
            </w:r>
          </w:p>
        </w:tc>
      </w:tr>
      <w:tr w14:paraId="6FBB8BFA">
        <w:tblPrEx>
          <w:tblCellMar>
            <w:top w:w="0" w:type="dxa"/>
            <w:left w:w="108" w:type="dxa"/>
            <w:bottom w:w="0" w:type="dxa"/>
            <w:right w:w="108" w:type="dxa"/>
          </w:tblCellMar>
        </w:tblPrEx>
        <w:tc>
          <w:tcPr>
            <w:tcW w:w="8848" w:type="dxa"/>
            <w:gridSpan w:val="14"/>
            <w:vAlign w:val="center"/>
          </w:tcPr>
          <w:p w14:paraId="7D86D519">
            <w:pPr>
              <w:jc w:val="center"/>
            </w:pPr>
            <w:r>
              <w:rPr>
                <w:rFonts w:ascii="宋体" w:hAnsi="宋体" w:eastAsia="宋体"/>
                <w:sz w:val="24"/>
              </w:rPr>
              <w:t>(2024年度)</w:t>
            </w:r>
          </w:p>
        </w:tc>
      </w:tr>
      <w:tr w14:paraId="456273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F1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606EBD">
            <w:pPr>
              <w:jc w:val="center"/>
            </w:pPr>
            <w:r>
              <w:rPr>
                <w:rFonts w:ascii="宋体" w:hAnsi="宋体" w:eastAsia="宋体"/>
                <w:sz w:val="16"/>
              </w:rPr>
              <w:t>2024年县级专项公用经费项目</w:t>
            </w:r>
          </w:p>
        </w:tc>
      </w:tr>
      <w:tr w14:paraId="4B6E70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E7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A1AB6">
            <w:pPr>
              <w:jc w:val="center"/>
            </w:pPr>
            <w:r>
              <w:rPr>
                <w:rFonts w:ascii="宋体" w:hAnsi="宋体" w:eastAsia="宋体"/>
                <w:sz w:val="16"/>
              </w:rPr>
              <w:t>叶城县依力克其乡人民政府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83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CEAF68">
            <w:pPr>
              <w:jc w:val="center"/>
            </w:pPr>
            <w:r>
              <w:rPr>
                <w:rFonts w:ascii="宋体" w:hAnsi="宋体" w:eastAsia="宋体"/>
                <w:sz w:val="16"/>
              </w:rPr>
              <w:t>叶城县依力克其乡人民政府</w:t>
            </w:r>
          </w:p>
        </w:tc>
      </w:tr>
      <w:tr w14:paraId="27107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D2B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5B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F1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130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5C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68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F44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0C68">
            <w:pPr>
              <w:jc w:val="center"/>
            </w:pPr>
            <w:r>
              <w:rPr>
                <w:rFonts w:ascii="宋体" w:hAnsi="宋体" w:eastAsia="宋体"/>
                <w:sz w:val="16"/>
              </w:rPr>
              <w:t>得分</w:t>
            </w:r>
          </w:p>
        </w:tc>
      </w:tr>
      <w:tr w14:paraId="638E9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B7E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C9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FD24E">
            <w:pPr>
              <w:jc w:val="center"/>
            </w:pPr>
            <w:r>
              <w:rPr>
                <w:rFonts w:ascii="宋体" w:hAnsi="宋体" w:eastAsia="宋体"/>
                <w:sz w:val="16"/>
              </w:rPr>
              <w:t>40.20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09D3A">
            <w:pPr>
              <w:jc w:val="center"/>
            </w:pPr>
            <w:r>
              <w:rPr>
                <w:rFonts w:ascii="宋体" w:hAnsi="宋体" w:eastAsia="宋体"/>
                <w:sz w:val="16"/>
              </w:rPr>
              <w:t>40.20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C6D0">
            <w:pPr>
              <w:jc w:val="center"/>
            </w:pPr>
            <w:r>
              <w:rPr>
                <w:rFonts w:ascii="宋体" w:hAnsi="宋体" w:eastAsia="宋体"/>
                <w:sz w:val="16"/>
              </w:rPr>
              <w:t>38.68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1C1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9B47D">
            <w:pPr>
              <w:jc w:val="center"/>
            </w:pPr>
            <w:r>
              <w:rPr>
                <w:rFonts w:ascii="宋体" w:hAnsi="宋体" w:eastAsia="宋体"/>
                <w:sz w:val="16"/>
              </w:rPr>
              <w:t>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EC20">
            <w:pPr>
              <w:jc w:val="center"/>
            </w:pPr>
            <w:r>
              <w:rPr>
                <w:rFonts w:ascii="宋体" w:hAnsi="宋体" w:eastAsia="宋体"/>
                <w:sz w:val="16"/>
              </w:rPr>
              <w:t>9.05分</w:t>
            </w:r>
          </w:p>
        </w:tc>
      </w:tr>
      <w:tr w14:paraId="031FA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442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F24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7036">
            <w:pPr>
              <w:jc w:val="center"/>
            </w:pPr>
            <w:r>
              <w:rPr>
                <w:rFonts w:ascii="宋体" w:hAnsi="宋体" w:eastAsia="宋体"/>
                <w:sz w:val="16"/>
              </w:rPr>
              <w:t>40.20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1B3CF">
            <w:pPr>
              <w:jc w:val="center"/>
            </w:pPr>
            <w:r>
              <w:rPr>
                <w:rFonts w:ascii="宋体" w:hAnsi="宋体" w:eastAsia="宋体"/>
                <w:sz w:val="16"/>
              </w:rPr>
              <w:t>40.20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CE41E">
            <w:pPr>
              <w:jc w:val="center"/>
            </w:pPr>
            <w:r>
              <w:rPr>
                <w:rFonts w:ascii="宋体" w:hAnsi="宋体" w:eastAsia="宋体"/>
                <w:sz w:val="16"/>
              </w:rPr>
              <w:t>38.68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88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E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0539">
            <w:pPr>
              <w:jc w:val="center"/>
            </w:pPr>
            <w:r>
              <w:rPr>
                <w:rFonts w:ascii="宋体" w:hAnsi="宋体" w:eastAsia="宋体"/>
                <w:sz w:val="16"/>
              </w:rPr>
              <w:t>—</w:t>
            </w:r>
          </w:p>
        </w:tc>
      </w:tr>
      <w:tr w14:paraId="029BE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8F2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DA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F6B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6BA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4C5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C8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B36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D9F3">
            <w:pPr>
              <w:jc w:val="center"/>
            </w:pPr>
            <w:r>
              <w:rPr>
                <w:rFonts w:ascii="宋体" w:hAnsi="宋体" w:eastAsia="宋体"/>
                <w:sz w:val="16"/>
              </w:rPr>
              <w:t>—</w:t>
            </w:r>
          </w:p>
        </w:tc>
      </w:tr>
      <w:tr w14:paraId="224359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E2B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56C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1F401">
            <w:pPr>
              <w:jc w:val="center"/>
            </w:pPr>
            <w:r>
              <w:rPr>
                <w:rFonts w:ascii="宋体" w:hAnsi="宋体" w:eastAsia="宋体"/>
                <w:sz w:val="16"/>
              </w:rPr>
              <w:t>实际完成情况</w:t>
            </w:r>
          </w:p>
        </w:tc>
      </w:tr>
      <w:tr w14:paraId="50129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8FE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715AC">
            <w:pPr>
              <w:jc w:val="both"/>
            </w:pPr>
            <w:r>
              <w:rPr>
                <w:rFonts w:ascii="宋体" w:hAnsi="宋体" w:eastAsia="宋体"/>
                <w:sz w:val="16"/>
              </w:rPr>
              <w:t>该项目总资金40.2万元，主要用于保障叶城县依力克其乡人民政府开展各项</w:t>
            </w:r>
            <w:r>
              <w:rPr>
                <w:rFonts w:hint="eastAsia" w:ascii="宋体" w:hAnsi="宋体"/>
                <w:sz w:val="16"/>
                <w:lang w:eastAsia="zh-CN"/>
              </w:rPr>
              <w:t>日常</w:t>
            </w:r>
            <w:r>
              <w:rPr>
                <w:rFonts w:ascii="宋体" w:hAnsi="宋体" w:eastAsia="宋体"/>
                <w:sz w:val="16"/>
              </w:rPr>
              <w:t>工作，提高政府的公信力、执行力、为民办事的能力，提高为群众服务的水平。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B8724">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年12月31日，该项目预算资金40.20万元，到位资金40.20万元，已支付38.68万元，主要用于保障叶城县依力克其乡人民政府开展各</w:t>
            </w:r>
            <w:bookmarkStart w:id="0" w:name="_GoBack"/>
            <w:r>
              <w:rPr>
                <w:rFonts w:ascii="宋体" w:hAnsi="宋体" w:eastAsia="宋体"/>
                <w:sz w:val="16"/>
              </w:rPr>
              <w:t>项</w:t>
            </w:r>
            <w:r>
              <w:rPr>
                <w:rFonts w:hint="eastAsia" w:ascii="宋体" w:hAnsi="宋体"/>
                <w:sz w:val="16"/>
                <w:lang w:eastAsia="zh-CN"/>
              </w:rPr>
              <w:t>日</w:t>
            </w:r>
            <w:bookmarkEnd w:id="0"/>
            <w:r>
              <w:rPr>
                <w:rFonts w:hint="eastAsia" w:ascii="宋体" w:hAnsi="宋体"/>
                <w:sz w:val="16"/>
                <w:lang w:eastAsia="zh-CN"/>
              </w:rPr>
              <w:t>常</w:t>
            </w:r>
            <w:r>
              <w:rPr>
                <w:rFonts w:ascii="宋体" w:hAnsi="宋体" w:eastAsia="宋体"/>
                <w:sz w:val="16"/>
              </w:rPr>
              <w:t>工作，提高政府的公信力、执行力、为民办事的能力，提高为群众服务的水平，提高群众幸福感。</w:t>
            </w:r>
          </w:p>
        </w:tc>
      </w:tr>
      <w:tr w14:paraId="192E8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B11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CE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B8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6D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4F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CD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16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4D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CA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1D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68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30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7E52D">
            <w:pPr>
              <w:jc w:val="center"/>
            </w:pPr>
            <w:r>
              <w:rPr>
                <w:rFonts w:ascii="宋体" w:hAnsi="宋体" w:eastAsia="宋体"/>
                <w:sz w:val="16"/>
              </w:rPr>
              <w:t>偏差原因分析及改进措施</w:t>
            </w:r>
          </w:p>
        </w:tc>
      </w:tr>
      <w:tr w14:paraId="1025A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87A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6C7E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EF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F65D">
            <w:pPr>
              <w:jc w:val="center"/>
            </w:pPr>
            <w:r>
              <w:rPr>
                <w:rFonts w:ascii="宋体" w:hAnsi="宋体" w:eastAsia="宋体"/>
                <w:sz w:val="16"/>
              </w:rPr>
              <w:t>保障经费单位数量（个）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D04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8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06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0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C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0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DC8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CA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1C874">
            <w:pPr>
              <w:jc w:val="center"/>
            </w:pPr>
          </w:p>
        </w:tc>
      </w:tr>
      <w:tr w14:paraId="4A3B0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D7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FA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AC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7359">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D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8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4B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5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D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0D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8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1E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A2709">
            <w:pPr>
              <w:jc w:val="center"/>
            </w:pPr>
          </w:p>
        </w:tc>
      </w:tr>
      <w:tr w14:paraId="19376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69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C8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1D4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8C1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8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3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B9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B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09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7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3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03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18EA">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节约资金的原则，有效使用资金，取得更好的效果。整改措施：做好年初预算。</w:t>
            </w:r>
          </w:p>
        </w:tc>
      </w:tr>
      <w:tr w14:paraId="367A7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47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E8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2C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553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15C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6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29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A3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9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C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E56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0F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7A117">
            <w:pPr>
              <w:jc w:val="center"/>
            </w:pPr>
          </w:p>
        </w:tc>
      </w:tr>
      <w:tr w14:paraId="0FBC1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6E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FC0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84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51F2">
            <w:pPr>
              <w:jc w:val="center"/>
            </w:pPr>
            <w:r>
              <w:rPr>
                <w:rFonts w:ascii="宋体" w:hAnsi="宋体" w:eastAsia="宋体"/>
                <w:sz w:val="16"/>
              </w:rPr>
              <w:t>单位使用经费总成本（万元）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9E4A">
            <w:pPr>
              <w:jc w:val="center"/>
            </w:pPr>
            <w:r>
              <w:rPr>
                <w:rFonts w:ascii="宋体" w:hAnsi="宋体" w:eastAsia="宋体"/>
                <w:sz w:val="16"/>
              </w:rPr>
              <w:t>&lt;=40.20万元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4B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10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82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3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F9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6707">
            <w:pPr>
              <w:jc w:val="center"/>
            </w:pPr>
            <w:r>
              <w:rPr>
                <w:rFonts w:ascii="宋体" w:hAnsi="宋体" w:eastAsia="宋体"/>
                <w:sz w:val="16"/>
              </w:rPr>
              <w:t>=38.68万元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4463">
            <w:pPr>
              <w:jc w:val="center"/>
            </w:pPr>
            <w:r>
              <w:rPr>
                <w:rFonts w:ascii="宋体" w:hAnsi="宋体" w:eastAsia="宋体"/>
                <w:sz w:val="16"/>
              </w:rPr>
              <w:t>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1F18D">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节约资金的原则，有效使用资金，取得更好的效果。整改措施：做好年初预算。</w:t>
            </w:r>
          </w:p>
        </w:tc>
      </w:tr>
      <w:tr w14:paraId="3CDDE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3F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B7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B2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60DC">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251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D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2A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9A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E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7A4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3D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FAD4">
            <w:pPr>
              <w:jc w:val="center"/>
            </w:pPr>
          </w:p>
        </w:tc>
      </w:tr>
      <w:tr w14:paraId="64DF6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3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2D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2D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6F59">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CE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F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2D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1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18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2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911E">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CF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BB863">
            <w:pPr>
              <w:jc w:val="center"/>
            </w:pPr>
          </w:p>
        </w:tc>
      </w:tr>
      <w:tr w14:paraId="6723E31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F1D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54A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D95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C7F1">
            <w:pPr>
              <w:jc w:val="center"/>
            </w:pPr>
            <w:r>
              <w:rPr>
                <w:rFonts w:ascii="宋体" w:hAnsi="宋体" w:eastAsia="宋体"/>
                <w:sz w:val="16"/>
              </w:rPr>
              <w:t>97.15分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1F9F50A"/>
        </w:tc>
      </w:tr>
    </w:tbl>
    <w:p w14:paraId="319CD5DB">
      <w:r>
        <w:br w:type="page"/>
      </w:r>
    </w:p>
    <w:p w14:paraId="4A58BAAA">
      <w:pPr>
        <w:spacing w:line="640" w:lineRule="exact"/>
        <w:ind w:firstLine="640"/>
        <w:jc w:val="both"/>
        <w:outlineLvl w:val="2"/>
      </w:pPr>
      <w:r>
        <w:rPr>
          <w:rFonts w:ascii="黑体" w:hAnsi="黑体" w:eastAsia="黑体"/>
          <w:sz w:val="32"/>
        </w:rPr>
        <w:t>十二、其他需说明的事项</w:t>
      </w:r>
    </w:p>
    <w:p w14:paraId="0F160077">
      <w:pPr>
        <w:spacing w:line="580" w:lineRule="exact"/>
        <w:ind w:firstLine="640"/>
        <w:jc w:val="both"/>
      </w:pPr>
      <w:r>
        <w:rPr>
          <w:rFonts w:ascii="仿宋_GB2312" w:hAnsi="仿宋_GB2312" w:eastAsia="仿宋_GB2312"/>
          <w:b w:val="0"/>
          <w:sz w:val="32"/>
        </w:rPr>
        <w:t>本单位无其他需说明的事项。</w:t>
      </w:r>
    </w:p>
    <w:p w14:paraId="131DD54E">
      <w:r>
        <w:br w:type="page"/>
      </w:r>
    </w:p>
    <w:p w14:paraId="5726470E">
      <w:pPr>
        <w:spacing w:line="240" w:lineRule="auto"/>
        <w:jc w:val="center"/>
        <w:outlineLvl w:val="1"/>
      </w:pPr>
      <w:r>
        <w:rPr>
          <w:rFonts w:ascii="黑体" w:hAnsi="黑体" w:eastAsia="黑体"/>
          <w:sz w:val="32"/>
        </w:rPr>
        <w:t>第三部分 专业名词解释</w:t>
      </w:r>
    </w:p>
    <w:p w14:paraId="180FF4F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C6836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F1CAC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70FD7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441E3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39AF6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87B87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298FFD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4E9F9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4BF67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12D578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27A1F8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2F3A2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C77EB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D68ECC">
      <w:r>
        <w:br w:type="page"/>
      </w:r>
    </w:p>
    <w:p w14:paraId="4EAB8671">
      <w:pPr>
        <w:spacing w:line="240" w:lineRule="auto"/>
        <w:jc w:val="center"/>
        <w:outlineLvl w:val="1"/>
      </w:pPr>
      <w:r>
        <w:rPr>
          <w:rFonts w:ascii="黑体" w:hAnsi="黑体" w:eastAsia="黑体"/>
          <w:sz w:val="32"/>
        </w:rPr>
        <w:t>第四部分 部门决算报表（见附表）</w:t>
      </w:r>
    </w:p>
    <w:p w14:paraId="5DA633CC">
      <w:pPr>
        <w:spacing w:line="240" w:lineRule="auto"/>
        <w:ind w:firstLine="640"/>
        <w:jc w:val="both"/>
      </w:pPr>
      <w:r>
        <w:rPr>
          <w:rFonts w:ascii="仿宋_GB2312" w:hAnsi="仿宋_GB2312" w:eastAsia="仿宋_GB2312"/>
          <w:b w:val="0"/>
          <w:sz w:val="32"/>
        </w:rPr>
        <w:t>一、《收入支出决算总表》</w:t>
      </w:r>
    </w:p>
    <w:p w14:paraId="44359327">
      <w:pPr>
        <w:spacing w:line="240" w:lineRule="auto"/>
        <w:ind w:firstLine="640"/>
        <w:jc w:val="both"/>
      </w:pPr>
      <w:r>
        <w:rPr>
          <w:rFonts w:ascii="仿宋_GB2312" w:hAnsi="仿宋_GB2312" w:eastAsia="仿宋_GB2312"/>
          <w:b w:val="0"/>
          <w:sz w:val="32"/>
        </w:rPr>
        <w:t>二、《收入决算表》</w:t>
      </w:r>
    </w:p>
    <w:p w14:paraId="13E8D305">
      <w:pPr>
        <w:spacing w:line="240" w:lineRule="auto"/>
        <w:ind w:firstLine="640"/>
        <w:jc w:val="both"/>
      </w:pPr>
      <w:r>
        <w:rPr>
          <w:rFonts w:ascii="仿宋_GB2312" w:hAnsi="仿宋_GB2312" w:eastAsia="仿宋_GB2312"/>
          <w:b w:val="0"/>
          <w:sz w:val="32"/>
        </w:rPr>
        <w:t>三、《支出决算表》</w:t>
      </w:r>
    </w:p>
    <w:p w14:paraId="5DB3AFC5">
      <w:pPr>
        <w:spacing w:line="240" w:lineRule="auto"/>
        <w:ind w:firstLine="640"/>
        <w:jc w:val="both"/>
      </w:pPr>
      <w:r>
        <w:rPr>
          <w:rFonts w:ascii="仿宋_GB2312" w:hAnsi="仿宋_GB2312" w:eastAsia="仿宋_GB2312"/>
          <w:b w:val="0"/>
          <w:sz w:val="32"/>
        </w:rPr>
        <w:t>四、《财政拨款收入支出决算总表》</w:t>
      </w:r>
    </w:p>
    <w:p w14:paraId="07685899">
      <w:pPr>
        <w:spacing w:line="240" w:lineRule="auto"/>
        <w:ind w:firstLine="640"/>
        <w:jc w:val="both"/>
      </w:pPr>
      <w:r>
        <w:rPr>
          <w:rFonts w:ascii="仿宋_GB2312" w:hAnsi="仿宋_GB2312" w:eastAsia="仿宋_GB2312"/>
          <w:b w:val="0"/>
          <w:sz w:val="32"/>
        </w:rPr>
        <w:t>五、《一般公共预算财政拨款支出决算表》</w:t>
      </w:r>
    </w:p>
    <w:p w14:paraId="3352002C">
      <w:pPr>
        <w:spacing w:line="240" w:lineRule="auto"/>
        <w:ind w:firstLine="640"/>
        <w:jc w:val="both"/>
      </w:pPr>
      <w:r>
        <w:rPr>
          <w:rFonts w:ascii="仿宋_GB2312" w:hAnsi="仿宋_GB2312" w:eastAsia="仿宋_GB2312"/>
          <w:b w:val="0"/>
          <w:sz w:val="32"/>
        </w:rPr>
        <w:t>六、《一般公共预算财政拨款基本支出决算表》</w:t>
      </w:r>
    </w:p>
    <w:p w14:paraId="7FB7C69F">
      <w:pPr>
        <w:spacing w:line="240" w:lineRule="auto"/>
        <w:ind w:firstLine="640"/>
        <w:jc w:val="both"/>
      </w:pPr>
      <w:r>
        <w:rPr>
          <w:rFonts w:ascii="仿宋_GB2312" w:hAnsi="仿宋_GB2312" w:eastAsia="仿宋_GB2312"/>
          <w:b w:val="0"/>
          <w:sz w:val="32"/>
        </w:rPr>
        <w:t>七、《政府性基金预算财政拨款收入支出决算表》</w:t>
      </w:r>
    </w:p>
    <w:p w14:paraId="34C572EC">
      <w:pPr>
        <w:spacing w:line="240" w:lineRule="auto"/>
        <w:ind w:firstLine="640"/>
        <w:jc w:val="both"/>
      </w:pPr>
      <w:r>
        <w:rPr>
          <w:rFonts w:ascii="仿宋_GB2312" w:hAnsi="仿宋_GB2312" w:eastAsia="仿宋_GB2312"/>
          <w:b w:val="0"/>
          <w:sz w:val="32"/>
        </w:rPr>
        <w:t>八、《国有资本经营预算财政拨款收入支出决算表》</w:t>
      </w:r>
    </w:p>
    <w:p w14:paraId="7C116FF8">
      <w:pPr>
        <w:spacing w:line="240" w:lineRule="auto"/>
        <w:ind w:firstLine="640"/>
        <w:jc w:val="both"/>
      </w:pPr>
      <w:r>
        <w:rPr>
          <w:rFonts w:ascii="仿宋_GB2312" w:hAnsi="仿宋_GB2312" w:eastAsia="仿宋_GB2312"/>
          <w:b w:val="0"/>
          <w:sz w:val="32"/>
        </w:rPr>
        <w:t>九、《财政拨款“三公”经费支出决算表》</w:t>
      </w:r>
    </w:p>
    <w:p w14:paraId="29292279">
      <w:pPr>
        <w:spacing w:line="240" w:lineRule="auto"/>
        <w:ind w:firstLine="640"/>
        <w:jc w:val="both"/>
      </w:pPr>
    </w:p>
    <w:p w14:paraId="4EFD6219">
      <w:pPr>
        <w:spacing w:line="240" w:lineRule="auto"/>
        <w:ind w:firstLine="640"/>
        <w:jc w:val="both"/>
      </w:pPr>
    </w:p>
    <w:p w14:paraId="389E7EB6">
      <w:pPr>
        <w:spacing w:line="240" w:lineRule="auto"/>
        <w:ind w:firstLine="640"/>
        <w:jc w:val="both"/>
      </w:pPr>
    </w:p>
    <w:p w14:paraId="71C39B81">
      <w:pPr>
        <w:spacing w:line="240" w:lineRule="auto"/>
        <w:ind w:firstLine="640"/>
        <w:jc w:val="both"/>
      </w:pPr>
    </w:p>
    <w:p w14:paraId="5A7FCA7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6744CB"/>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1827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6525</Words>
  <Characters>7586</Characters>
  <Lines>0</Lines>
  <Paragraphs>0</Paragraphs>
  <TotalTime>4</TotalTime>
  <ScaleCrop>false</ScaleCrop>
  <LinksUpToDate>false</LinksUpToDate>
  <CharactersWithSpaces>7594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2025-09-29T11:46:56Z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