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叶城县依提木孔镇人民政府2024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B79DEE2">
      <w:r>
        <w:br w:type="page"/>
      </w:r>
    </w:p>
    <w:p w14:paraId="0F96D5A1">
      <w:pPr>
        <w:spacing w:line="640" w:lineRule="exact"/>
        <w:jc w:val="center"/>
        <w:outlineLvl w:val="1"/>
      </w:pPr>
      <w:r>
        <w:rPr>
          <w:rFonts w:ascii="黑体" w:hAnsi="黑体" w:eastAsia="黑体"/>
          <w:sz w:val="32"/>
        </w:rPr>
        <w:t>第一部分 单位概况</w:t>
      </w:r>
    </w:p>
    <w:p w14:paraId="14A20699">
      <w:pPr>
        <w:spacing w:line="640" w:lineRule="exact"/>
        <w:ind w:firstLine="640"/>
        <w:jc w:val="both"/>
        <w:outlineLvl w:val="2"/>
      </w:pPr>
      <w:r>
        <w:rPr>
          <w:rFonts w:ascii="黑体" w:hAnsi="黑体" w:eastAsia="黑体"/>
          <w:sz w:val="32"/>
        </w:rPr>
        <w:t>一、主要职能</w:t>
      </w:r>
    </w:p>
    <w:p w14:paraId="6979322A">
      <w:pPr>
        <w:spacing w:line="580" w:lineRule="exact"/>
        <w:ind w:firstLine="640"/>
        <w:jc w:val="both"/>
      </w:pPr>
      <w:r>
        <w:rPr>
          <w:rFonts w:ascii="仿宋_GB2312" w:hAnsi="仿宋_GB2312" w:eastAsia="仿宋_GB2312"/>
          <w:sz w:val="32"/>
        </w:rPr>
        <w:t>作为乡镇党政机关，其主要职能为。</w:t>
      </w:r>
    </w:p>
    <w:p w14:paraId="6D81EA4A">
      <w:pPr>
        <w:spacing w:line="580" w:lineRule="exact"/>
        <w:ind w:firstLine="640"/>
        <w:jc w:val="both"/>
      </w:pPr>
      <w:r>
        <w:rPr>
          <w:rFonts w:ascii="仿宋_GB2312" w:hAnsi="仿宋_GB2312" w:eastAsia="仿宋_GB2312"/>
          <w:sz w:val="32"/>
        </w:rPr>
        <w:t>（1）负责全镇党政行政管理事务，坚决贯彻县委、县人民政府各项指示，负责全镇经济社会发展、社会事务管理、基层组织建设等全面工作。</w:t>
      </w:r>
    </w:p>
    <w:p w14:paraId="117D97D1">
      <w:pPr>
        <w:spacing w:line="580" w:lineRule="exact"/>
        <w:ind w:firstLine="640"/>
        <w:jc w:val="both"/>
      </w:pPr>
      <w:r>
        <w:rPr>
          <w:rFonts w:ascii="仿宋_GB2312" w:hAnsi="仿宋_GB2312" w:eastAsia="仿宋_GB2312"/>
          <w:sz w:val="32"/>
        </w:rPr>
        <w:t>（2）以乡村振兴为引领实现社会发展“总目标”，不断铸牢全镇经济社会发展基础，为全镇各族群众提供社会服务。</w:t>
      </w:r>
    </w:p>
    <w:p w14:paraId="4D40F5E2">
      <w:pPr>
        <w:spacing w:line="580" w:lineRule="exact"/>
        <w:ind w:firstLine="640"/>
        <w:jc w:val="both"/>
      </w:pPr>
      <w:r>
        <w:rPr>
          <w:rFonts w:ascii="仿宋_GB2312" w:hAnsi="仿宋_GB2312" w:eastAsia="仿宋_GB2312"/>
          <w:sz w:val="32"/>
        </w:rPr>
        <w:t>（3）作为乡镇党政机关，其主要职能为：负责全镇党政行政管理事务，坚决贯彻县委、县人民政府各项指示，负责全镇经济社会发展、社会事务管理、基层组织建设等全面工作。</w:t>
      </w:r>
    </w:p>
    <w:p w14:paraId="4D9B4B6C">
      <w:pPr>
        <w:spacing w:line="580" w:lineRule="exact"/>
        <w:ind w:firstLine="640"/>
        <w:jc w:val="both"/>
      </w:pPr>
      <w:r>
        <w:rPr>
          <w:rFonts w:ascii="仿宋_GB2312" w:hAnsi="仿宋_GB2312" w:eastAsia="仿宋_GB2312"/>
          <w:sz w:val="32"/>
        </w:rPr>
        <w:t>（4）以乡村振兴为引领实现社会发展“总目标”，不断铸牢全镇经济社会发展基础，为全镇各族群众提供社会服务。</w:t>
      </w:r>
    </w:p>
    <w:p w14:paraId="2D24547F">
      <w:pPr>
        <w:spacing w:line="640" w:lineRule="exact"/>
        <w:ind w:firstLine="640"/>
        <w:jc w:val="both"/>
        <w:outlineLvl w:val="2"/>
      </w:pPr>
      <w:r>
        <w:rPr>
          <w:rFonts w:ascii="黑体" w:hAnsi="黑体" w:eastAsia="黑体"/>
          <w:sz w:val="32"/>
        </w:rPr>
        <w:t>二、机构设置及人员情况</w:t>
      </w:r>
    </w:p>
    <w:p w14:paraId="44F69852">
      <w:pPr>
        <w:spacing w:line="580" w:lineRule="exact"/>
        <w:ind w:firstLine="640"/>
        <w:jc w:val="both"/>
      </w:pPr>
      <w:r>
        <w:rPr>
          <w:rFonts w:ascii="仿宋_GB2312" w:hAnsi="仿宋_GB2312" w:eastAsia="仿宋_GB2312"/>
          <w:sz w:val="32"/>
        </w:rPr>
        <w:t>叶城县依提木孔镇人民政府2024年度，实有人数179人，其中：在职人员153人，减少3人；离休人员0人，增加0人；退休人员26人,增加5人。</w:t>
      </w:r>
    </w:p>
    <w:p w14:paraId="463BAA0C">
      <w:pPr>
        <w:spacing w:line="580" w:lineRule="exact"/>
        <w:ind w:firstLine="640"/>
        <w:jc w:val="both"/>
      </w:pPr>
      <w:r>
        <w:rPr>
          <w:rFonts w:ascii="仿宋_GB2312" w:hAnsi="仿宋_GB2312" w:eastAsia="仿宋_GB2312"/>
          <w:sz w:val="32"/>
        </w:rPr>
        <w:t>叶城县依提木孔镇人民政府无下属预算单位，下设5个科室，分别是：党建办、党政办、综合执法办、经济发展办、社会事务办。</w:t>
      </w:r>
    </w:p>
    <w:p w14:paraId="079638E4">
      <w:r>
        <w:br w:type="page"/>
      </w:r>
    </w:p>
    <w:p w14:paraId="72432062">
      <w:pPr>
        <w:spacing w:line="240" w:lineRule="auto"/>
        <w:jc w:val="center"/>
        <w:outlineLvl w:val="1"/>
      </w:pPr>
      <w:r>
        <w:rPr>
          <w:rFonts w:ascii="黑体" w:hAnsi="黑体" w:eastAsia="黑体"/>
          <w:sz w:val="32"/>
        </w:rPr>
        <w:t>第二部分 部门决算情况说明</w:t>
      </w:r>
    </w:p>
    <w:p w14:paraId="17065169">
      <w:pPr>
        <w:spacing w:line="640" w:lineRule="exact"/>
        <w:ind w:firstLine="640"/>
        <w:jc w:val="both"/>
        <w:outlineLvl w:val="2"/>
      </w:pPr>
      <w:r>
        <w:rPr>
          <w:rFonts w:ascii="黑体" w:hAnsi="黑体" w:eastAsia="黑体"/>
          <w:sz w:val="32"/>
        </w:rPr>
        <w:t>一、收入支出决算总体情况说明</w:t>
      </w:r>
    </w:p>
    <w:p w14:paraId="3D10C050">
      <w:pPr>
        <w:spacing w:line="580" w:lineRule="exact"/>
        <w:ind w:firstLine="640"/>
        <w:jc w:val="both"/>
      </w:pPr>
      <w:r>
        <w:rPr>
          <w:rFonts w:ascii="仿宋_GB2312" w:hAnsi="仿宋_GB2312" w:eastAsia="仿宋_GB2312"/>
          <w:b/>
          <w:sz w:val="32"/>
        </w:rPr>
        <w:t>2024年度收入总计16,055.01万元，</w:t>
      </w:r>
      <w:r>
        <w:rPr>
          <w:rFonts w:ascii="仿宋_GB2312" w:hAnsi="仿宋_GB2312" w:eastAsia="仿宋_GB2312"/>
          <w:b w:val="0"/>
          <w:sz w:val="32"/>
        </w:rPr>
        <w:t>其中：本年收入合计16,055.01万元，使用非财政拨款结余（含专用结余）0.00万元，年初结转和结余0.00万元。</w:t>
      </w:r>
    </w:p>
    <w:p w14:paraId="136566F5">
      <w:pPr>
        <w:spacing w:line="580" w:lineRule="exact"/>
        <w:ind w:firstLine="640"/>
        <w:jc w:val="both"/>
      </w:pPr>
      <w:r>
        <w:rPr>
          <w:rFonts w:ascii="仿宋_GB2312" w:hAnsi="仿宋_GB2312" w:eastAsia="仿宋_GB2312"/>
          <w:b/>
          <w:sz w:val="32"/>
        </w:rPr>
        <w:t>2024年度支出总计16,055.01万元，</w:t>
      </w:r>
      <w:r>
        <w:rPr>
          <w:rFonts w:ascii="仿宋_GB2312" w:hAnsi="仿宋_GB2312" w:eastAsia="仿宋_GB2312"/>
          <w:b w:val="0"/>
          <w:sz w:val="32"/>
        </w:rPr>
        <w:t>其中：本年支出合计16,055.01万元，结余分配0.00万元，年末结转和结余0.00万元。</w:t>
      </w:r>
    </w:p>
    <w:p w14:paraId="4AD4EA2E">
      <w:pPr>
        <w:spacing w:line="580" w:lineRule="exact"/>
        <w:ind w:firstLine="640"/>
        <w:jc w:val="both"/>
      </w:pPr>
      <w:r>
        <w:rPr>
          <w:rFonts w:ascii="仿宋_GB2312" w:hAnsi="仿宋_GB2312" w:eastAsia="仿宋_GB2312"/>
          <w:b w:val="0"/>
          <w:sz w:val="32"/>
        </w:rPr>
        <w:t>收入支出总体与上年相比，增加6,183.00万元，增长62.63%，主要原因是：本年增加23村设施农业建设项目、23村温室大棚建设项目、24村设施农业建设项目、24村温室大棚建设项目、种植业基地配套建设项目、加工就业产业园电力配套项目、林粮间作节水设施配套项目、核桃高产示范园建设项目、林果业整形修剪补助项目</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较上年增加援疆资金安排的</w:t>
      </w:r>
      <w:r>
        <w:rPr>
          <w:rFonts w:ascii="仿宋_GB2312" w:hAnsi="仿宋_GB2312" w:eastAsia="仿宋_GB2312"/>
          <w:b w:val="0"/>
          <w:sz w:val="32"/>
        </w:rPr>
        <w:t>依提木孔镇人居环境整治项目，相应支出增加。</w:t>
      </w:r>
    </w:p>
    <w:p w14:paraId="1F38C628">
      <w:pPr>
        <w:spacing w:line="640" w:lineRule="exact"/>
        <w:ind w:firstLine="640"/>
        <w:jc w:val="both"/>
        <w:outlineLvl w:val="2"/>
      </w:pPr>
      <w:r>
        <w:rPr>
          <w:rFonts w:ascii="黑体" w:hAnsi="黑体" w:eastAsia="黑体"/>
          <w:sz w:val="32"/>
        </w:rPr>
        <w:t>二、收入决算情况说明</w:t>
      </w:r>
    </w:p>
    <w:p w14:paraId="7DB13548">
      <w:pPr>
        <w:spacing w:line="580" w:lineRule="exact"/>
        <w:ind w:firstLine="640"/>
        <w:jc w:val="both"/>
      </w:pPr>
      <w:r>
        <w:rPr>
          <w:rFonts w:ascii="仿宋_GB2312" w:hAnsi="仿宋_GB2312" w:eastAsia="仿宋_GB2312"/>
          <w:b/>
          <w:sz w:val="32"/>
        </w:rPr>
        <w:t>本年收入16,055.01万元，</w:t>
      </w:r>
      <w:r>
        <w:rPr>
          <w:rFonts w:ascii="仿宋_GB2312" w:hAnsi="仿宋_GB2312" w:eastAsia="仿宋_GB2312"/>
          <w:b w:val="0"/>
          <w:sz w:val="32"/>
        </w:rPr>
        <w:t>其中：财政拨款收入15,514.15万元，占96.63%；上级补助收入0.00万元，占0.00%；事业收入0.00万元，占0.00%；经营收入0.00万元，占0.00%；附属单位上缴收入0.00万元，占0.00%；其他收入540.86万元，占3.37%。</w:t>
      </w:r>
    </w:p>
    <w:p w14:paraId="21643331">
      <w:pPr>
        <w:spacing w:line="640" w:lineRule="exact"/>
        <w:ind w:firstLine="640"/>
        <w:jc w:val="both"/>
        <w:outlineLvl w:val="2"/>
      </w:pPr>
      <w:r>
        <w:rPr>
          <w:rFonts w:ascii="黑体" w:hAnsi="黑体" w:eastAsia="黑体"/>
          <w:sz w:val="32"/>
        </w:rPr>
        <w:t>三、支出决算情况说明</w:t>
      </w:r>
    </w:p>
    <w:p w14:paraId="679DDD6D">
      <w:pPr>
        <w:spacing w:line="580" w:lineRule="exact"/>
        <w:ind w:firstLine="640"/>
        <w:jc w:val="both"/>
      </w:pPr>
      <w:r>
        <w:rPr>
          <w:rFonts w:ascii="仿宋_GB2312" w:hAnsi="仿宋_GB2312" w:eastAsia="仿宋_GB2312"/>
          <w:b/>
          <w:sz w:val="32"/>
        </w:rPr>
        <w:t>本年支出16,055.01万元，</w:t>
      </w:r>
      <w:r>
        <w:rPr>
          <w:rFonts w:ascii="仿宋_GB2312" w:hAnsi="仿宋_GB2312" w:eastAsia="仿宋_GB2312"/>
          <w:b w:val="0"/>
          <w:sz w:val="32"/>
        </w:rPr>
        <w:t>其中：基本支出3,164.38万元，占19.71%；项目支出12,890.62万元，占80.29%；上缴上级支出0.00万元，占0.00%；经营支出0.00万元，占0.00%；对附属单位补助支出0.00万元，占0.00%。</w:t>
      </w:r>
    </w:p>
    <w:p w14:paraId="12D9B703">
      <w:pPr>
        <w:spacing w:line="640" w:lineRule="exact"/>
        <w:ind w:firstLine="640"/>
        <w:jc w:val="both"/>
        <w:outlineLvl w:val="2"/>
      </w:pPr>
      <w:r>
        <w:rPr>
          <w:rFonts w:ascii="黑体" w:hAnsi="黑体" w:eastAsia="黑体"/>
          <w:sz w:val="32"/>
        </w:rPr>
        <w:t>四、财政拨款收入支出决算总体情况说明</w:t>
      </w:r>
    </w:p>
    <w:p w14:paraId="092298A4">
      <w:pPr>
        <w:spacing w:line="580" w:lineRule="exact"/>
        <w:ind w:firstLine="640"/>
        <w:jc w:val="both"/>
      </w:pPr>
      <w:r>
        <w:rPr>
          <w:rFonts w:ascii="仿宋_GB2312" w:hAnsi="仿宋_GB2312" w:eastAsia="仿宋_GB2312"/>
          <w:b/>
          <w:sz w:val="32"/>
        </w:rPr>
        <w:t>2024年度财政拨款收入总计15,514.15万元，</w:t>
      </w:r>
      <w:r>
        <w:rPr>
          <w:rFonts w:ascii="仿宋_GB2312" w:hAnsi="仿宋_GB2312" w:eastAsia="仿宋_GB2312"/>
          <w:b w:val="0"/>
          <w:sz w:val="32"/>
        </w:rPr>
        <w:t>其中：年初财政拨款结转和结余0.00万元，本年财政拨款收入15,514.15万元。</w:t>
      </w:r>
      <w:r>
        <w:rPr>
          <w:rFonts w:ascii="仿宋_GB2312" w:hAnsi="仿宋_GB2312" w:eastAsia="仿宋_GB2312"/>
          <w:b/>
          <w:sz w:val="32"/>
        </w:rPr>
        <w:t>财政拨款支出总计15,514.15万元，</w:t>
      </w:r>
      <w:r>
        <w:rPr>
          <w:rFonts w:ascii="仿宋_GB2312" w:hAnsi="仿宋_GB2312" w:eastAsia="仿宋_GB2312"/>
          <w:b w:val="0"/>
          <w:sz w:val="32"/>
        </w:rPr>
        <w:t>其中：年末财政拨款结转和结余0.00万元，本年财政拨款支出15,514.15万元。</w:t>
      </w:r>
    </w:p>
    <w:p w14:paraId="7575C5F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5,909.16万元，增长61.52%，主要原因是：本年增加23村设施农业建设项目、23村温室大棚建设项目、24村设施农业建设项目、24村温室大棚建设项目、种植业基地配套建设项目、加工就业产业园电力配套项目、林粮间作节水设施配套项目、核桃高产示范园建设项目、林果业整形修剪补助项目，相应支出增加。</w:t>
      </w:r>
      <w:r>
        <w:rPr>
          <w:rFonts w:ascii="仿宋_GB2312" w:hAnsi="仿宋_GB2312" w:eastAsia="仿宋_GB2312"/>
          <w:b/>
          <w:sz w:val="32"/>
        </w:rPr>
        <w:t>与年初预算相比，</w:t>
      </w:r>
      <w:r>
        <w:rPr>
          <w:rFonts w:ascii="仿宋_GB2312" w:hAnsi="仿宋_GB2312" w:eastAsia="仿宋_GB2312"/>
          <w:b w:val="0"/>
          <w:sz w:val="32"/>
        </w:rPr>
        <w:t>年初预算数4,027.64万元，决算数15,514.15万元，预决算差异率285.19%，主要原因是：年中追加23村设施农业建设项目、23村温室大棚建设项目、24村设施农业建设项目、24村温室大棚建设项目、种植业基地配套建设项目、加工就业产业园电力配套项目、林粮间作节水设施配套项目、核桃高产示范园建设项目、林果业整形修剪补助项目，导致预决算存在差异。</w:t>
      </w:r>
    </w:p>
    <w:p w14:paraId="0F132A52">
      <w:pPr>
        <w:spacing w:line="640" w:lineRule="exact"/>
        <w:ind w:firstLine="640"/>
        <w:jc w:val="both"/>
        <w:outlineLvl w:val="2"/>
      </w:pPr>
      <w:r>
        <w:rPr>
          <w:rFonts w:ascii="黑体" w:hAnsi="黑体" w:eastAsia="黑体"/>
          <w:sz w:val="32"/>
        </w:rPr>
        <w:t>五、一般公共预算财政拨款支出决算情况说明</w:t>
      </w:r>
    </w:p>
    <w:p w14:paraId="4AA93075">
      <w:pPr>
        <w:spacing w:line="640" w:lineRule="exact"/>
        <w:ind w:firstLine="640"/>
        <w:jc w:val="both"/>
        <w:outlineLvl w:val="3"/>
      </w:pPr>
      <w:r>
        <w:rPr>
          <w:rFonts w:ascii="楷体_GB2312" w:hAnsi="楷体_GB2312" w:eastAsia="楷体_GB2312"/>
          <w:b/>
          <w:sz w:val="32"/>
        </w:rPr>
        <w:t>（一）一般公共预算财政拨款支出决算总体情况</w:t>
      </w:r>
    </w:p>
    <w:p w14:paraId="49CB82BD">
      <w:pPr>
        <w:spacing w:line="580" w:lineRule="exact"/>
        <w:ind w:firstLine="640"/>
        <w:jc w:val="both"/>
      </w:pPr>
      <w:r>
        <w:rPr>
          <w:rFonts w:ascii="仿宋_GB2312" w:hAnsi="仿宋_GB2312" w:eastAsia="仿宋_GB2312"/>
          <w:b/>
          <w:sz w:val="32"/>
        </w:rPr>
        <w:t>2024年度一般公共预算财政拨款支出15,514.15万元，</w:t>
      </w:r>
      <w:r>
        <w:rPr>
          <w:rFonts w:ascii="仿宋_GB2312" w:hAnsi="仿宋_GB2312" w:eastAsia="仿宋_GB2312"/>
          <w:b w:val="0"/>
          <w:sz w:val="32"/>
        </w:rPr>
        <w:t>占本年支出合计的96.63%。</w:t>
      </w:r>
      <w:r>
        <w:rPr>
          <w:rFonts w:ascii="仿宋_GB2312" w:hAnsi="仿宋_GB2312" w:eastAsia="仿宋_GB2312"/>
          <w:b/>
          <w:sz w:val="32"/>
        </w:rPr>
        <w:t>与上年相比，</w:t>
      </w:r>
      <w:r>
        <w:rPr>
          <w:rFonts w:ascii="仿宋_GB2312" w:hAnsi="仿宋_GB2312" w:eastAsia="仿宋_GB2312"/>
          <w:b w:val="0"/>
          <w:sz w:val="32"/>
        </w:rPr>
        <w:t>增加5,909.16万元，增长61.52%，主要原因是：本年增加23村设施农业建设项目、23村温室大棚建设项目、24村设施农业建设项目、24村温室大棚建设项目、种植业基地配套建设项目、加工就业产业园电力配套项目、林粮间作节水设施配套项目、核桃高产示范园建设项目、林果业整形修剪补助项目，相应支出增加。</w:t>
      </w:r>
      <w:r>
        <w:rPr>
          <w:rFonts w:ascii="仿宋_GB2312" w:hAnsi="仿宋_GB2312" w:eastAsia="仿宋_GB2312"/>
          <w:b/>
          <w:sz w:val="32"/>
        </w:rPr>
        <w:t>与年初预算相比,</w:t>
      </w:r>
      <w:r>
        <w:rPr>
          <w:rFonts w:ascii="仿宋_GB2312" w:hAnsi="仿宋_GB2312" w:eastAsia="仿宋_GB2312"/>
          <w:b w:val="0"/>
          <w:sz w:val="32"/>
        </w:rPr>
        <w:t>年初预算数4,027.64万元，决算数15,514.15万元，预决算差异率285.19%，主要原因是：年中追加23村设施农业建设项目、23村温室大棚建设项目、24村设施农业建设项目、24村温室大棚建设项目、种植业基地配套建设项目、加工就业产业园电力配套项目、林粮间作节水设施配套项目、核桃高产示范园建设项目、林果业整形修剪补助项目，导致预决算存在差异。</w:t>
      </w:r>
    </w:p>
    <w:p w14:paraId="6AC954B3">
      <w:pPr>
        <w:spacing w:line="640" w:lineRule="exact"/>
        <w:ind w:firstLine="640"/>
        <w:jc w:val="both"/>
        <w:outlineLvl w:val="3"/>
      </w:pPr>
      <w:r>
        <w:rPr>
          <w:rFonts w:ascii="楷体_GB2312" w:hAnsi="楷体_GB2312" w:eastAsia="楷体_GB2312"/>
          <w:b/>
          <w:sz w:val="32"/>
        </w:rPr>
        <w:t>（二）一般公共预算财政拨款支出决算结构情况</w:t>
      </w:r>
    </w:p>
    <w:p w14:paraId="27574424">
      <w:pPr>
        <w:spacing w:line="580" w:lineRule="exact"/>
        <w:ind w:firstLine="640"/>
        <w:jc w:val="both"/>
      </w:pPr>
      <w:r>
        <w:rPr>
          <w:rFonts w:ascii="仿宋_GB2312" w:hAnsi="仿宋_GB2312" w:eastAsia="仿宋_GB2312"/>
          <w:b w:val="0"/>
          <w:sz w:val="32"/>
        </w:rPr>
        <w:t>1.一般公共服务支出(类)2,675.78万元,占17.25%。</w:t>
      </w:r>
    </w:p>
    <w:p w14:paraId="195E727A">
      <w:pPr>
        <w:spacing w:line="580" w:lineRule="exact"/>
        <w:ind w:firstLine="640"/>
        <w:jc w:val="both"/>
      </w:pPr>
      <w:r>
        <w:rPr>
          <w:rFonts w:ascii="仿宋_GB2312" w:hAnsi="仿宋_GB2312" w:eastAsia="仿宋_GB2312"/>
          <w:b w:val="0"/>
          <w:sz w:val="32"/>
        </w:rPr>
        <w:t>2.公共安全支出(类)1.69万元,占0.01%。</w:t>
      </w:r>
    </w:p>
    <w:p w14:paraId="429A523A">
      <w:pPr>
        <w:spacing w:line="580" w:lineRule="exact"/>
        <w:ind w:firstLine="640"/>
        <w:jc w:val="both"/>
      </w:pPr>
      <w:r>
        <w:rPr>
          <w:rFonts w:ascii="仿宋_GB2312" w:hAnsi="仿宋_GB2312" w:eastAsia="仿宋_GB2312"/>
          <w:b w:val="0"/>
          <w:sz w:val="32"/>
        </w:rPr>
        <w:t>3.文化旅游体育与传媒支出(类)51.62万元,占0.33%。</w:t>
      </w:r>
    </w:p>
    <w:p w14:paraId="00B5777C">
      <w:pPr>
        <w:spacing w:line="580" w:lineRule="exact"/>
        <w:ind w:firstLine="640"/>
        <w:jc w:val="both"/>
      </w:pPr>
      <w:r>
        <w:rPr>
          <w:rFonts w:ascii="仿宋_GB2312" w:hAnsi="仿宋_GB2312" w:eastAsia="仿宋_GB2312"/>
          <w:b w:val="0"/>
          <w:sz w:val="32"/>
        </w:rPr>
        <w:t>4.社会保障和就业支出(类)361.92万元,占2.33%。</w:t>
      </w:r>
    </w:p>
    <w:p w14:paraId="6B6A3E16">
      <w:pPr>
        <w:spacing w:line="580" w:lineRule="exact"/>
        <w:ind w:firstLine="640"/>
        <w:jc w:val="both"/>
      </w:pPr>
      <w:r>
        <w:rPr>
          <w:rFonts w:ascii="仿宋_GB2312" w:hAnsi="仿宋_GB2312" w:eastAsia="仿宋_GB2312"/>
          <w:b w:val="0"/>
          <w:sz w:val="32"/>
        </w:rPr>
        <w:t>5.卫生健康支出(类)164.84万元,占1.06%。</w:t>
      </w:r>
    </w:p>
    <w:p w14:paraId="58467798">
      <w:pPr>
        <w:spacing w:line="580" w:lineRule="exact"/>
        <w:ind w:firstLine="640"/>
        <w:jc w:val="both"/>
      </w:pPr>
      <w:r>
        <w:rPr>
          <w:rFonts w:ascii="仿宋_GB2312" w:hAnsi="仿宋_GB2312" w:eastAsia="仿宋_GB2312"/>
          <w:b w:val="0"/>
          <w:sz w:val="32"/>
        </w:rPr>
        <w:t>6.节能环保支出(类)76.94万元,占0.50%。</w:t>
      </w:r>
    </w:p>
    <w:p w14:paraId="62614284">
      <w:pPr>
        <w:spacing w:line="580" w:lineRule="exact"/>
        <w:ind w:firstLine="640"/>
        <w:jc w:val="both"/>
      </w:pPr>
      <w:r>
        <w:rPr>
          <w:rFonts w:ascii="仿宋_GB2312" w:hAnsi="仿宋_GB2312" w:eastAsia="仿宋_GB2312"/>
          <w:b w:val="0"/>
          <w:sz w:val="32"/>
        </w:rPr>
        <w:t>7.农林水支出(类)11,928.88万元,占76.89%。</w:t>
      </w:r>
    </w:p>
    <w:p w14:paraId="765B15A1">
      <w:pPr>
        <w:spacing w:line="580" w:lineRule="exact"/>
        <w:ind w:firstLine="640"/>
        <w:jc w:val="both"/>
      </w:pPr>
      <w:r>
        <w:rPr>
          <w:rFonts w:ascii="仿宋_GB2312" w:hAnsi="仿宋_GB2312" w:eastAsia="仿宋_GB2312"/>
          <w:b w:val="0"/>
          <w:sz w:val="32"/>
        </w:rPr>
        <w:t>8.交通运输支出(类)0.24万元,占0.002%。</w:t>
      </w:r>
    </w:p>
    <w:p w14:paraId="37996EC0">
      <w:pPr>
        <w:spacing w:line="580" w:lineRule="exact"/>
        <w:ind w:firstLine="640"/>
        <w:jc w:val="both"/>
      </w:pPr>
      <w:r>
        <w:rPr>
          <w:rFonts w:ascii="仿宋_GB2312" w:hAnsi="仿宋_GB2312" w:eastAsia="仿宋_GB2312"/>
          <w:b w:val="0"/>
          <w:sz w:val="32"/>
        </w:rPr>
        <w:t>9.住房保障支出(类)252.25万元,占1.63%。</w:t>
      </w:r>
    </w:p>
    <w:p w14:paraId="29359A1F">
      <w:pPr>
        <w:spacing w:line="640" w:lineRule="exact"/>
        <w:ind w:firstLine="640"/>
        <w:jc w:val="both"/>
        <w:outlineLvl w:val="3"/>
      </w:pPr>
      <w:r>
        <w:rPr>
          <w:rFonts w:ascii="楷体_GB2312" w:hAnsi="楷体_GB2312" w:eastAsia="楷体_GB2312"/>
          <w:b/>
          <w:sz w:val="32"/>
        </w:rPr>
        <w:t>（三）一般公共预算财政拨款支出决算具体情况</w:t>
      </w:r>
    </w:p>
    <w:p w14:paraId="24AA16BC">
      <w:pPr>
        <w:spacing w:line="580" w:lineRule="exact"/>
        <w:ind w:firstLine="640"/>
        <w:jc w:val="both"/>
      </w:pPr>
      <w:r>
        <w:rPr>
          <w:rFonts w:ascii="仿宋_GB2312" w:hAnsi="仿宋_GB2312" w:eastAsia="仿宋_GB2312"/>
          <w:b w:val="0"/>
          <w:sz w:val="32"/>
        </w:rPr>
        <w:t>1.一般公共服务支出(类)人大事务(款)代表工作(项):支出决算数为1.00万元，比上年决算减少3.34万元，下降76.96%,主要原因是：本年减少人大代表活动经费项目，相关经费减少。</w:t>
      </w:r>
    </w:p>
    <w:p w14:paraId="0324AB07">
      <w:pPr>
        <w:spacing w:line="580" w:lineRule="exact"/>
        <w:ind w:firstLine="640"/>
        <w:jc w:val="both"/>
      </w:pPr>
      <w:r>
        <w:rPr>
          <w:rFonts w:ascii="仿宋_GB2312" w:hAnsi="仿宋_GB2312" w:eastAsia="仿宋_GB2312"/>
          <w:b w:val="0"/>
          <w:sz w:val="32"/>
        </w:rPr>
        <w:t>2.一般公共服务支出(类)人大事务(款)其他人大事务支出(项):支出决算数为0.00万元，比上年决算减少0.24万元，下降100.00%,主要原因是：2024年减少自治区人大活动经费项目，资金减少。</w:t>
      </w:r>
    </w:p>
    <w:p w14:paraId="65FB58D6">
      <w:pPr>
        <w:spacing w:line="580" w:lineRule="exact"/>
        <w:ind w:firstLine="640"/>
        <w:jc w:val="both"/>
      </w:pPr>
      <w:r>
        <w:rPr>
          <w:rFonts w:ascii="仿宋_GB2312" w:hAnsi="仿宋_GB2312" w:eastAsia="仿宋_GB2312"/>
          <w:b w:val="0"/>
          <w:sz w:val="32"/>
        </w:rPr>
        <w:t>3.一般公共服务支出(类)政府办公厅（室）及相关机构事务(款)行政运行(项):支出决算数为2,390.38万元，比上年决算减少70.91万元，下降2.88%,主要原因是：本年在职人员调入调出，人员职级不同，工资基数不同，导致人员经费较上年减少。</w:t>
      </w:r>
    </w:p>
    <w:p w14:paraId="31F9BD6E">
      <w:pPr>
        <w:spacing w:line="580" w:lineRule="exact"/>
        <w:ind w:firstLine="640"/>
        <w:jc w:val="both"/>
      </w:pPr>
      <w:r>
        <w:rPr>
          <w:rFonts w:ascii="仿宋_GB2312" w:hAnsi="仿宋_GB2312" w:eastAsia="仿宋_GB2312"/>
          <w:b w:val="0"/>
          <w:sz w:val="32"/>
        </w:rPr>
        <w:t>4.一般公共服务支出(类)政府办公厅（室）及相关机构事务(款)一般行政管理事务(项):支出决算数为14.33万元，比上年决算减少41.12万元，下降74.16%,主要原因是：2024年减少县级专项公用经费项目，相关经费减少。</w:t>
      </w:r>
    </w:p>
    <w:p w14:paraId="1CCB6924">
      <w:pPr>
        <w:spacing w:line="580" w:lineRule="exact"/>
        <w:ind w:firstLine="640"/>
        <w:jc w:val="both"/>
      </w:pPr>
      <w:r>
        <w:rPr>
          <w:rFonts w:ascii="仿宋_GB2312" w:hAnsi="仿宋_GB2312" w:eastAsia="仿宋_GB2312"/>
          <w:b w:val="0"/>
          <w:sz w:val="32"/>
        </w:rPr>
        <w:t>5.一般公共服务支出(类)纪检监察事务(款)其他纪检监察事务支出(项):支出决算数为0.00万元，比上年决算减少1.00万元，下降100.00%,主要原因是：本年减少中央政法</w:t>
      </w:r>
      <w:r>
        <w:rPr>
          <w:rFonts w:hint="eastAsia" w:ascii="仿宋_GB2312" w:hAnsi="仿宋_GB2312" w:eastAsia="仿宋_GB2312"/>
          <w:b w:val="0"/>
          <w:sz w:val="32"/>
          <w:lang w:eastAsia="zh-CN"/>
        </w:rPr>
        <w:t>纪检监察</w:t>
      </w:r>
      <w:r>
        <w:rPr>
          <w:rFonts w:ascii="仿宋_GB2312" w:hAnsi="仿宋_GB2312" w:eastAsia="仿宋_GB2312"/>
          <w:b w:val="0"/>
          <w:sz w:val="32"/>
        </w:rPr>
        <w:t>转移支付资金（业务装备经费）项目、中央政法</w:t>
      </w:r>
      <w:r>
        <w:rPr>
          <w:rFonts w:hint="eastAsia" w:ascii="仿宋_GB2312" w:hAnsi="仿宋_GB2312" w:eastAsia="仿宋_GB2312"/>
          <w:b w:val="0"/>
          <w:sz w:val="32"/>
          <w:lang w:eastAsia="zh-CN"/>
        </w:rPr>
        <w:t>纪检监察</w:t>
      </w:r>
      <w:r>
        <w:rPr>
          <w:rFonts w:ascii="仿宋_GB2312" w:hAnsi="仿宋_GB2312" w:eastAsia="仿宋_GB2312"/>
          <w:b w:val="0"/>
          <w:sz w:val="32"/>
        </w:rPr>
        <w:t>转移支付资金（办案经费）项目，相关经费减少。</w:t>
      </w:r>
    </w:p>
    <w:p w14:paraId="347C858F">
      <w:pPr>
        <w:spacing w:line="580" w:lineRule="exact"/>
        <w:ind w:firstLine="640"/>
        <w:jc w:val="both"/>
      </w:pPr>
      <w:r>
        <w:rPr>
          <w:rFonts w:ascii="仿宋_GB2312" w:hAnsi="仿宋_GB2312" w:eastAsia="仿宋_GB2312"/>
          <w:b w:val="0"/>
          <w:sz w:val="32"/>
        </w:rPr>
        <w:t>6.一般公共服务支出(类)组织事务(款)其他组织事务支出(项):支出决算数为258.08万元，比上年决算减少68.36万元，下降20.94%,主要原因是：2024年村级运转经费项目较上年减少，相关经费减少。</w:t>
      </w:r>
    </w:p>
    <w:p w14:paraId="4811678C">
      <w:pPr>
        <w:spacing w:line="580" w:lineRule="exact"/>
        <w:ind w:firstLine="640"/>
        <w:jc w:val="both"/>
      </w:pPr>
      <w:r>
        <w:rPr>
          <w:rFonts w:ascii="仿宋_GB2312" w:hAnsi="仿宋_GB2312" w:eastAsia="仿宋_GB2312"/>
          <w:b w:val="0"/>
          <w:sz w:val="32"/>
        </w:rPr>
        <w:t>7.一般公共服务支出(类)统战事务(款)宗教事务(项):支出决算数为12.00万元，比上年决算增加8.00万元，增长200.00%,主要原因是：本年科目调整，管委会经费项目由其他统战事务支出科目调整至宗教事务科目列支，导致此科目经费较上年增加。</w:t>
      </w:r>
    </w:p>
    <w:p w14:paraId="2FA33CD4">
      <w:pPr>
        <w:spacing w:line="580" w:lineRule="exact"/>
        <w:ind w:firstLine="640"/>
        <w:jc w:val="both"/>
      </w:pPr>
      <w:r>
        <w:rPr>
          <w:rFonts w:ascii="仿宋_GB2312" w:hAnsi="仿宋_GB2312" w:eastAsia="仿宋_GB2312"/>
          <w:b w:val="0"/>
          <w:sz w:val="32"/>
        </w:rPr>
        <w:t>8.一般公共服务支出(类)统战事务(款)其他统战事务支出(项):支出决算数为0.00万元，比上年决算减少22.00万元，下降100.00%,主要原因是：本年科目调整，管委会经费项目由其他统战事务支出科目调整至宗教事务科目列支，导致此科目经费较上年减少。</w:t>
      </w:r>
    </w:p>
    <w:p w14:paraId="3B22D644">
      <w:pPr>
        <w:spacing w:line="580" w:lineRule="exact"/>
        <w:ind w:firstLine="640"/>
        <w:jc w:val="both"/>
      </w:pPr>
      <w:r>
        <w:rPr>
          <w:rFonts w:ascii="仿宋_GB2312" w:hAnsi="仿宋_GB2312" w:eastAsia="仿宋_GB2312"/>
          <w:b w:val="0"/>
          <w:sz w:val="32"/>
        </w:rPr>
        <w:t>9.公共安全支出(类)其他公共安全支出(款)其他公共安全支出(项):支出决算数为1.69万元，比上年决算减少8.31万元，下降83.10%,主要原因是：2024年乡镇信息奖励经费项目金额较上年减少，相关经费减少。</w:t>
      </w:r>
    </w:p>
    <w:p w14:paraId="71603E07">
      <w:pPr>
        <w:spacing w:line="580" w:lineRule="exact"/>
        <w:ind w:firstLine="640"/>
        <w:jc w:val="both"/>
      </w:pPr>
      <w:r>
        <w:rPr>
          <w:rFonts w:ascii="仿宋_GB2312" w:hAnsi="仿宋_GB2312" w:eastAsia="仿宋_GB2312"/>
          <w:b w:val="0"/>
          <w:sz w:val="32"/>
        </w:rPr>
        <w:t>10.文化旅游体育与传媒支出(类)文化和旅游(款)其他文化和旅游支出(项):支出决算数为1.98万元，比上年决算减少3.01万元，下降60.32%,主要原因是：2024年自治区补助地方文化项目减少，相关经费减少。</w:t>
      </w:r>
    </w:p>
    <w:p w14:paraId="62256E6D">
      <w:pPr>
        <w:spacing w:line="580" w:lineRule="exact"/>
        <w:ind w:firstLine="640"/>
        <w:jc w:val="both"/>
      </w:pPr>
      <w:r>
        <w:rPr>
          <w:rFonts w:ascii="仿宋_GB2312" w:hAnsi="仿宋_GB2312" w:eastAsia="仿宋_GB2312"/>
          <w:b w:val="0"/>
          <w:sz w:val="32"/>
        </w:rPr>
        <w:t>11.文化旅游体育与传媒支出(类)其他文化旅游体育与传媒支出(款)其他文化旅游体育与传媒支出(项):支出决算数为49.64万元，比上年决算增加37.82万元，增长319.97%,主要原因是：2024年中央补助地方文化项目增加，相关经费增加。</w:t>
      </w:r>
    </w:p>
    <w:p w14:paraId="33DEE528">
      <w:pPr>
        <w:spacing w:line="580" w:lineRule="exact"/>
        <w:ind w:firstLine="640"/>
        <w:jc w:val="both"/>
      </w:pPr>
      <w:r>
        <w:rPr>
          <w:rFonts w:ascii="仿宋_GB2312" w:hAnsi="仿宋_GB2312" w:eastAsia="仿宋_GB2312"/>
          <w:b w:val="0"/>
          <w:sz w:val="32"/>
        </w:rPr>
        <w:t>12.社会保障和就业支出(类)民政管理事务(款)其他民政管理事务支出(项):支出决算数为5.00万元，比上年决算增加0.00万元，增长0.00%,主要原因是：2024年自治区农村幸福大院补助资金与上年一致，无变化。</w:t>
      </w:r>
    </w:p>
    <w:p w14:paraId="554BE103">
      <w:pPr>
        <w:spacing w:line="580" w:lineRule="exact"/>
        <w:ind w:firstLine="640"/>
        <w:jc w:val="both"/>
      </w:pPr>
      <w:r>
        <w:rPr>
          <w:rFonts w:ascii="仿宋_GB2312" w:hAnsi="仿宋_GB2312" w:eastAsia="仿宋_GB2312"/>
          <w:b w:val="0"/>
          <w:sz w:val="32"/>
        </w:rPr>
        <w:t>13.社会保障和就业支出(类)行政事业单位养老支出(款)行政单位离退休(项):支出决算数为27.93万元，比上年决算减少0.76万元，下降2.65%,主要原因是：本年未补发退休人员绩效，导致行政单位离退休较上年减少。</w:t>
      </w:r>
    </w:p>
    <w:p w14:paraId="17493B9D">
      <w:pPr>
        <w:spacing w:line="580" w:lineRule="exact"/>
        <w:ind w:firstLine="640"/>
        <w:jc w:val="both"/>
      </w:pPr>
      <w:r>
        <w:rPr>
          <w:rFonts w:ascii="仿宋_GB2312" w:hAnsi="仿宋_GB2312" w:eastAsia="仿宋_GB2312"/>
          <w:b w:val="0"/>
          <w:sz w:val="32"/>
        </w:rPr>
        <w:t>14.社会保障和就业支出(类)行政事业单位养老支出(款)机关事业单位基本养老保险缴费支出(项):支出决算数为318.66万元，比上年决算增加93.36万元，增长41.44%,主要原因是：本年在职人员工资基数调增，养老缴费基数上涨，相应支出增加。</w:t>
      </w:r>
    </w:p>
    <w:p w14:paraId="3AC67372">
      <w:pPr>
        <w:spacing w:line="580" w:lineRule="exact"/>
        <w:ind w:firstLine="640"/>
        <w:jc w:val="both"/>
      </w:pPr>
      <w:r>
        <w:rPr>
          <w:rFonts w:ascii="仿宋_GB2312" w:hAnsi="仿宋_GB2312" w:eastAsia="仿宋_GB2312"/>
          <w:b w:val="0"/>
          <w:sz w:val="32"/>
        </w:rPr>
        <w:t>15.社会保障和就业支出(类)行政事业单位养老支出(款)机关事业单位职业年金缴费支出(项):支出决算数为10.34万元，比上年决算增加4.45万元，增长75.55%,主要原因是：本年退休人员增加，职业年金缴费支出增加。</w:t>
      </w:r>
    </w:p>
    <w:p w14:paraId="3B290DD8">
      <w:pPr>
        <w:spacing w:line="580" w:lineRule="exact"/>
        <w:ind w:firstLine="640"/>
        <w:jc w:val="both"/>
      </w:pPr>
      <w:r>
        <w:rPr>
          <w:rFonts w:ascii="仿宋_GB2312" w:hAnsi="仿宋_GB2312" w:eastAsia="仿宋_GB2312"/>
          <w:b w:val="0"/>
          <w:sz w:val="32"/>
        </w:rPr>
        <w:t>16.社会保障和就业支出(类)抚恤(款)死亡抚恤(项):支出决算数为0.00万元，比上年决算减少79.63万元，下降100.00%,主要原因是：本年无死亡抚恤支出。</w:t>
      </w:r>
    </w:p>
    <w:p w14:paraId="69F3A78A">
      <w:pPr>
        <w:spacing w:line="580" w:lineRule="exact"/>
        <w:ind w:firstLine="640"/>
        <w:jc w:val="both"/>
      </w:pPr>
      <w:r>
        <w:rPr>
          <w:rFonts w:ascii="仿宋_GB2312" w:hAnsi="仿宋_GB2312" w:eastAsia="仿宋_GB2312"/>
          <w:b w:val="0"/>
          <w:sz w:val="32"/>
        </w:rPr>
        <w:t>17.卫生健康支出(类)行政事业单位医疗(款)行政单位医疗(项):支出决算数为135.42万元，比上年决算增加39.60万元，增长41.33%,主要原因是：本年在职人员工资基数调增，医疗缴费基数上涨，相应支出增加。</w:t>
      </w:r>
    </w:p>
    <w:p w14:paraId="5190F03E">
      <w:pPr>
        <w:spacing w:line="580" w:lineRule="exact"/>
        <w:ind w:firstLine="640"/>
        <w:jc w:val="both"/>
      </w:pPr>
      <w:r>
        <w:rPr>
          <w:rFonts w:ascii="仿宋_GB2312" w:hAnsi="仿宋_GB2312" w:eastAsia="仿宋_GB2312"/>
          <w:b w:val="0"/>
          <w:sz w:val="32"/>
        </w:rPr>
        <w:t>18.卫生健康支出(类)行政事业单位医疗(款)公务员医疗补助(项):支出决算数为29.42万元，比上年决算增加8.04万元，增长37.61%,主要原因是：本年在职人员工资基数调增，医疗缴费基数上涨，相应支出增加。</w:t>
      </w:r>
    </w:p>
    <w:p w14:paraId="78BF17BF">
      <w:pPr>
        <w:spacing w:line="580" w:lineRule="exact"/>
        <w:ind w:firstLine="640"/>
        <w:jc w:val="both"/>
      </w:pPr>
      <w:r>
        <w:rPr>
          <w:rFonts w:ascii="仿宋_GB2312" w:hAnsi="仿宋_GB2312" w:eastAsia="仿宋_GB2312"/>
          <w:b w:val="0"/>
          <w:sz w:val="32"/>
        </w:rPr>
        <w:t>19.节能环保支出(类)自然生态保护(款)农村环境保护(项):支出决算数为76.94万元，比上年决算增加76.94万元，增长100.00%,主要原因是：本年增加依提木孔镇农村人居环境整治项目，相应支出增加。</w:t>
      </w:r>
    </w:p>
    <w:p w14:paraId="20173907">
      <w:pPr>
        <w:spacing w:line="580" w:lineRule="exact"/>
        <w:ind w:firstLine="640"/>
        <w:jc w:val="both"/>
      </w:pPr>
      <w:r>
        <w:rPr>
          <w:rFonts w:ascii="仿宋_GB2312" w:hAnsi="仿宋_GB2312" w:eastAsia="仿宋_GB2312"/>
          <w:b w:val="0"/>
          <w:sz w:val="32"/>
        </w:rPr>
        <w:t>20.农林水支出(类)农业农村(款)行政运行(项):支出决算数为0.00万元，比上年决算减少84.81万元，下降100.00%,主要原因是：本年度减少2021年、2022年下半年乡镇工作补贴项目、2023年乡镇工作补贴项目，相应支出减少。</w:t>
      </w:r>
    </w:p>
    <w:p w14:paraId="32D51C1D">
      <w:pPr>
        <w:spacing w:line="580" w:lineRule="exact"/>
        <w:ind w:firstLine="640"/>
        <w:jc w:val="both"/>
      </w:pPr>
      <w:r>
        <w:rPr>
          <w:rFonts w:ascii="仿宋_GB2312" w:hAnsi="仿宋_GB2312" w:eastAsia="仿宋_GB2312"/>
          <w:b w:val="0"/>
          <w:sz w:val="32"/>
        </w:rPr>
        <w:t>21.农林水支出(类)农业农村(款)农业生产发展(项):支出决算数为3.52万元，比上年决算增加3.52万元，增长100.00%,主要原因是：本年增加依提木孔镇高素质农民培育项目（15村、16村），相应支出增加。</w:t>
      </w:r>
    </w:p>
    <w:p w14:paraId="7D530363">
      <w:pPr>
        <w:spacing w:line="580" w:lineRule="exact"/>
        <w:ind w:firstLine="640"/>
        <w:jc w:val="both"/>
      </w:pPr>
      <w:r>
        <w:rPr>
          <w:rFonts w:ascii="仿宋_GB2312" w:hAnsi="仿宋_GB2312" w:eastAsia="仿宋_GB2312"/>
          <w:b w:val="0"/>
          <w:sz w:val="32"/>
        </w:rPr>
        <w:t>22.农林水支出(类)巩固脱贫攻坚成果衔接乡村振兴(款)农村基础设施建设(项):支出决算数为0.00万元，比上年决算减少112.33万元，下降100.00%,主要原因是：本年减少叶城县依提木孔镇6村防渗渠建设项目、叶城县依提木孔镇15村示范村乡村建设项目、依提木孔镇26村重点示范村乡村建设项目，相应支出减少。</w:t>
      </w:r>
    </w:p>
    <w:p w14:paraId="3BFE0ABF">
      <w:pPr>
        <w:spacing w:line="580" w:lineRule="exact"/>
        <w:ind w:firstLine="640"/>
        <w:jc w:val="both"/>
      </w:pPr>
      <w:r>
        <w:rPr>
          <w:rFonts w:ascii="仿宋_GB2312" w:hAnsi="仿宋_GB2312" w:eastAsia="仿宋_GB2312"/>
          <w:b w:val="0"/>
          <w:sz w:val="32"/>
        </w:rPr>
        <w:t>23.农林水支出(类)巩固脱贫攻坚成果衔接乡村振兴(款)生产发展(项):支出决算数为11,825.36万元，比上年决算增加5,950.03万元，增长101.27%,主要原因是：本年增加23村设施农业建设项目、23村温室大棚建设项目、24村设施农业建设项目、24村温室大棚建设项目、种植业基地配套建设项目、加工就业产业园电力配套项目、林粮间作节水设施配套项目、核桃高产示范园建设项目、林果业整形修剪补助项目，相应支出增加。</w:t>
      </w:r>
    </w:p>
    <w:p w14:paraId="49146D91">
      <w:pPr>
        <w:spacing w:line="580" w:lineRule="exact"/>
        <w:ind w:firstLine="640"/>
        <w:jc w:val="both"/>
      </w:pPr>
      <w:r>
        <w:rPr>
          <w:rFonts w:ascii="仿宋_GB2312" w:hAnsi="仿宋_GB2312" w:eastAsia="仿宋_GB2312"/>
          <w:b w:val="0"/>
          <w:sz w:val="32"/>
        </w:rPr>
        <w:t>24.农林水支出(类)农村综合改革(款)对村级公益事业建设的补助(项):支出决算数为100.00万元，比上年决算增加100.00万元，增长100.00%,主要原因是：本年增加依提木孔镇20村2024年自治区综改农村公益事业财政奖补资金项目、依提木孔镇（16）村2024年中央综改农村公益事业财政奖补资金项目、依提木孔镇19村2024年中央综改农村公益事业财政奖补资金项目、依提木孔镇（15）村2024年中央综改农村公益事业财政奖补资金项目，相应支出增加。</w:t>
      </w:r>
    </w:p>
    <w:p w14:paraId="090D7643">
      <w:pPr>
        <w:spacing w:line="580" w:lineRule="exact"/>
        <w:ind w:firstLine="640"/>
        <w:jc w:val="both"/>
      </w:pPr>
      <w:r>
        <w:rPr>
          <w:rFonts w:ascii="仿宋_GB2312" w:hAnsi="仿宋_GB2312" w:eastAsia="仿宋_GB2312"/>
          <w:b w:val="0"/>
          <w:sz w:val="32"/>
        </w:rPr>
        <w:t>25.交通运输支出(类)邮政业支出(款)邮政普遍服务与特殊服务(项):支出决算数为0.24万元，比上年决算增加0.00万元，增长0.00%,主要原因是：2024年农牧区投递员专项补贴资金与上年一致，无变化。</w:t>
      </w:r>
    </w:p>
    <w:p w14:paraId="733A4BD6">
      <w:pPr>
        <w:spacing w:line="580" w:lineRule="exact"/>
        <w:ind w:firstLine="640"/>
        <w:jc w:val="both"/>
      </w:pPr>
      <w:r>
        <w:rPr>
          <w:rFonts w:ascii="仿宋_GB2312" w:hAnsi="仿宋_GB2312" w:eastAsia="仿宋_GB2312"/>
          <w:b w:val="0"/>
          <w:sz w:val="32"/>
        </w:rPr>
        <w:t>26.住房保障支出(类)住房改革支出(款)住房公积金(项):支出决算数为252.25万元，比上年决算增加83.25万元，增长49.26%,主要原因是：本年在职人员工资基数调增，公积金缴费基数上涨，相应支出增加。</w:t>
      </w:r>
    </w:p>
    <w:p w14:paraId="0844A6A1">
      <w:pPr>
        <w:spacing w:line="640" w:lineRule="exact"/>
        <w:ind w:firstLine="640"/>
        <w:jc w:val="both"/>
        <w:outlineLvl w:val="2"/>
      </w:pPr>
      <w:r>
        <w:rPr>
          <w:rFonts w:ascii="黑体" w:hAnsi="黑体" w:eastAsia="黑体"/>
          <w:sz w:val="32"/>
        </w:rPr>
        <w:t>六、一般公共预算财政拨款基本支出决算情况说明</w:t>
      </w:r>
    </w:p>
    <w:p w14:paraId="5AF2E9AD">
      <w:pPr>
        <w:spacing w:line="580" w:lineRule="exact"/>
        <w:ind w:firstLine="640"/>
        <w:jc w:val="both"/>
      </w:pPr>
      <w:r>
        <w:rPr>
          <w:rFonts w:ascii="仿宋_GB2312" w:hAnsi="仿宋_GB2312" w:eastAsia="仿宋_GB2312"/>
          <w:b w:val="0"/>
          <w:sz w:val="32"/>
        </w:rPr>
        <w:t>2024年度一般公共预算财政拨款基本支出3,164.38万元，其中：</w:t>
      </w:r>
      <w:r>
        <w:rPr>
          <w:rFonts w:ascii="仿宋_GB2312" w:hAnsi="仿宋_GB2312" w:eastAsia="仿宋_GB2312"/>
          <w:b/>
          <w:sz w:val="32"/>
        </w:rPr>
        <w:t>人员经费3,107.16万元，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包括：基本工资、津贴补贴、奖金、绩效工资、机关事业单位基本养老保险缴费、职业年金缴费、职工基本医疗保险缴费、公务员医疗补助缴费、其他社会保障缴费、住房公积金、退休费、抚恤金、生活补助。</w:t>
      </w:r>
    </w:p>
    <w:p w14:paraId="474B8A61">
      <w:pPr>
        <w:spacing w:line="580" w:lineRule="exact"/>
        <w:ind w:firstLine="640"/>
        <w:jc w:val="both"/>
      </w:pPr>
      <w:r>
        <w:rPr>
          <w:rFonts w:ascii="仿宋_GB2312" w:hAnsi="仿宋_GB2312" w:eastAsia="仿宋_GB2312"/>
          <w:b/>
          <w:sz w:val="32"/>
        </w:rPr>
        <w:t>公用经费57.22万元，</w:t>
      </w:r>
      <w:r>
        <w:rPr>
          <w:rFonts w:ascii="仿宋_GB2312" w:hAnsi="仿宋_GB2312" w:eastAsia="仿宋_GB2312"/>
          <w:b w:val="0"/>
          <w:sz w:val="32"/>
        </w:rPr>
        <w:t>包括：办公费、水费、电费、邮电费、取暖费、差旅费、劳务费、委托业务费、公务用车运行维护费、其他交通费用。</w:t>
      </w:r>
    </w:p>
    <w:p w14:paraId="10F2455C">
      <w:pPr>
        <w:spacing w:line="640" w:lineRule="exact"/>
        <w:ind w:firstLine="640"/>
        <w:jc w:val="both"/>
        <w:outlineLvl w:val="2"/>
      </w:pPr>
      <w:r>
        <w:rPr>
          <w:rFonts w:ascii="黑体" w:hAnsi="黑体" w:eastAsia="黑体"/>
          <w:sz w:val="32"/>
        </w:rPr>
        <w:t>七、政府性基金预算财政拨款收入支出决算情况说明</w:t>
      </w:r>
    </w:p>
    <w:p w14:paraId="4FF60F9B">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F6C12B0">
      <w:pPr>
        <w:spacing w:line="640" w:lineRule="exact"/>
        <w:ind w:firstLine="640"/>
        <w:jc w:val="both"/>
        <w:outlineLvl w:val="2"/>
      </w:pPr>
      <w:r>
        <w:rPr>
          <w:rFonts w:ascii="黑体" w:hAnsi="黑体" w:eastAsia="黑体"/>
          <w:sz w:val="32"/>
        </w:rPr>
        <w:t>八、国有资本经营预算财政拨款收入支出决算情况说明</w:t>
      </w:r>
    </w:p>
    <w:p w14:paraId="6BEADCE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7BA895E">
      <w:pPr>
        <w:spacing w:line="640" w:lineRule="exact"/>
        <w:ind w:firstLine="640"/>
        <w:jc w:val="both"/>
        <w:outlineLvl w:val="2"/>
      </w:pPr>
      <w:r>
        <w:rPr>
          <w:rFonts w:ascii="黑体" w:hAnsi="黑体" w:eastAsia="黑体"/>
          <w:sz w:val="32"/>
        </w:rPr>
        <w:t>九、财政拨款“三公”经费支出决算情况说明</w:t>
      </w:r>
    </w:p>
    <w:p w14:paraId="2DBC435F">
      <w:pPr>
        <w:spacing w:line="580" w:lineRule="exact"/>
        <w:ind w:firstLine="640"/>
        <w:jc w:val="both"/>
      </w:pPr>
      <w:r>
        <w:rPr>
          <w:rFonts w:ascii="仿宋_GB2312" w:hAnsi="仿宋_GB2312" w:eastAsia="仿宋_GB2312"/>
          <w:b/>
          <w:sz w:val="32"/>
        </w:rPr>
        <w:t>2024年度财政拨款“三公”经费支出4.25万元，</w:t>
      </w:r>
      <w:r>
        <w:rPr>
          <w:rFonts w:ascii="仿宋_GB2312" w:hAnsi="仿宋_GB2312" w:eastAsia="仿宋_GB2312"/>
          <w:b w:val="0"/>
          <w:sz w:val="32"/>
        </w:rPr>
        <w:t>比上年增加1.42万元，增长50.18%，主要原因是：本年车辆老旧，维修费增加，公务用车运行费增加。其中：因公出国（境）费支出0.00万元，占0.00%，比上年增加0.00万元，增长0.00%，主要原因是：2023年与2024年均未安排因公出国（境）费支出。公务用车购置及运行维护费支出4.25万元，占100.00%，比上年增加1.42万元，增长50.18%，主要原因是：本年车辆老旧，维修费增加，公务用车运行费增加。公务接待费支出0.00万元，占0.00%，比上年增加0.00万元，增长0.00%，主要原因是：2023年与2024年均未安排公务接待费支出。</w:t>
      </w:r>
    </w:p>
    <w:p w14:paraId="3F4D8857">
      <w:pPr>
        <w:spacing w:line="580" w:lineRule="exact"/>
        <w:ind w:firstLine="640"/>
        <w:jc w:val="both"/>
      </w:pPr>
      <w:r>
        <w:rPr>
          <w:rFonts w:ascii="仿宋_GB2312" w:hAnsi="仿宋_GB2312" w:eastAsia="仿宋_GB2312"/>
          <w:b/>
          <w:sz w:val="32"/>
        </w:rPr>
        <w:t>具体情况如下：</w:t>
      </w:r>
    </w:p>
    <w:p w14:paraId="4A05525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F9BB411">
      <w:pPr>
        <w:spacing w:line="580" w:lineRule="exact"/>
        <w:ind w:firstLine="640"/>
        <w:jc w:val="both"/>
      </w:pPr>
      <w:r>
        <w:rPr>
          <w:rFonts w:ascii="仿宋_GB2312" w:hAnsi="仿宋_GB2312" w:eastAsia="仿宋_GB2312"/>
          <w:b w:val="0"/>
          <w:sz w:val="32"/>
        </w:rPr>
        <w:t>公务用车购置及运行维护费4.25万元，其中：公务用车购置费0.00万元，公务用车运行维护费4.25万元。公务用车运行维护费开支内容包括维修费、保险费、审车费。公务用车购置数0辆，公务用车保有量5辆。国有资产占用情况中固定资产车辆5辆，与公务用车保有量差异原因是：本单位固定资产车辆与公务用车保有量一致无差异。</w:t>
      </w:r>
    </w:p>
    <w:p w14:paraId="09780404">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3E9EF2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4.25万元，决算数4.25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4.25万元，决算数4.25万元，预决算差异率0.00%，主要原因是：严格按照预算执行，预决算无差异。公务接待费全年预算数0.00万元，决算数0.00万元，预决算差异率0.00%，主要原因是：本单位无公务接待费。</w:t>
      </w:r>
    </w:p>
    <w:p w14:paraId="6FC60000">
      <w:pPr>
        <w:spacing w:line="640" w:lineRule="exact"/>
        <w:ind w:firstLine="640"/>
        <w:jc w:val="both"/>
        <w:outlineLvl w:val="2"/>
      </w:pPr>
      <w:r>
        <w:rPr>
          <w:rFonts w:ascii="黑体" w:hAnsi="黑体" w:eastAsia="黑体"/>
          <w:sz w:val="32"/>
        </w:rPr>
        <w:t>十、其他重要事项的情况说明</w:t>
      </w:r>
    </w:p>
    <w:p w14:paraId="5BE7B427">
      <w:pPr>
        <w:spacing w:line="640" w:lineRule="exact"/>
        <w:ind w:firstLine="640"/>
        <w:jc w:val="both"/>
        <w:outlineLvl w:val="3"/>
      </w:pPr>
      <w:r>
        <w:rPr>
          <w:rFonts w:ascii="楷体_GB2312" w:hAnsi="楷体_GB2312" w:eastAsia="楷体_GB2312"/>
          <w:b/>
          <w:sz w:val="32"/>
        </w:rPr>
        <w:t>（一）机关运行经费及公用经费支出情况</w:t>
      </w:r>
    </w:p>
    <w:p w14:paraId="639B1EBD">
      <w:pPr>
        <w:spacing w:line="580" w:lineRule="exact"/>
        <w:ind w:firstLine="640"/>
        <w:jc w:val="both"/>
      </w:pPr>
      <w:r>
        <w:rPr>
          <w:rFonts w:ascii="仿宋_GB2312" w:hAnsi="仿宋_GB2312" w:eastAsia="仿宋_GB2312"/>
          <w:b w:val="0"/>
          <w:sz w:val="32"/>
        </w:rPr>
        <w:t>2024年度叶城县依提木孔镇人民政府（行政单位和参照公务员法管理事业单位）机关运行经费支出57.22万元，比上年增加12.79万元，增长28.79%，主要原因是：本年水费、电费增加，导致</w:t>
      </w:r>
      <w:r>
        <w:rPr>
          <w:rFonts w:hint="eastAsia" w:ascii="仿宋_GB2312" w:hAnsi="仿宋_GB2312" w:eastAsia="仿宋_GB2312"/>
          <w:b w:val="0"/>
          <w:sz w:val="32"/>
          <w:lang w:val="en-US" w:eastAsia="zh-CN"/>
        </w:rPr>
        <w:t>运行</w:t>
      </w:r>
      <w:r>
        <w:rPr>
          <w:rFonts w:ascii="仿宋_GB2312" w:hAnsi="仿宋_GB2312" w:eastAsia="仿宋_GB2312"/>
          <w:b w:val="0"/>
          <w:sz w:val="32"/>
        </w:rPr>
        <w:t>经费增加。</w:t>
      </w:r>
    </w:p>
    <w:p w14:paraId="7B57103C">
      <w:pPr>
        <w:spacing w:line="640" w:lineRule="exact"/>
        <w:ind w:firstLine="640"/>
        <w:jc w:val="both"/>
        <w:outlineLvl w:val="3"/>
      </w:pPr>
      <w:r>
        <w:rPr>
          <w:rFonts w:ascii="楷体_GB2312" w:hAnsi="楷体_GB2312" w:eastAsia="楷体_GB2312"/>
          <w:b/>
          <w:sz w:val="32"/>
        </w:rPr>
        <w:t>（二）政府采购情况</w:t>
      </w:r>
    </w:p>
    <w:p w14:paraId="47EE1DCF">
      <w:pPr>
        <w:spacing w:line="580" w:lineRule="exact"/>
        <w:ind w:firstLine="640"/>
        <w:jc w:val="both"/>
      </w:pPr>
      <w:r>
        <w:rPr>
          <w:rFonts w:ascii="仿宋_GB2312" w:hAnsi="仿宋_GB2312" w:eastAsia="仿宋_GB2312"/>
          <w:b w:val="0"/>
          <w:sz w:val="32"/>
        </w:rPr>
        <w:t>2024年度政府采购支出总额558.82万元，其中：政府采购货物支出468.82万元、政府采购工程支出0.00万元、政府采购服务支出90.01万元。</w:t>
      </w:r>
    </w:p>
    <w:p w14:paraId="171E67A1">
      <w:pPr>
        <w:spacing w:line="580" w:lineRule="exact"/>
        <w:ind w:firstLine="640"/>
        <w:jc w:val="both"/>
      </w:pPr>
      <w:r>
        <w:rPr>
          <w:rFonts w:ascii="仿宋_GB2312" w:hAnsi="仿宋_GB2312" w:eastAsia="仿宋_GB2312"/>
          <w:b w:val="0"/>
          <w:sz w:val="32"/>
        </w:rPr>
        <w:t>授予中小企业合同金额553.29万元，占政府采购支出总额的99.01%，其中：授予小微企业合同金额359.08万元，占政府采购支出总额的64.26%。</w:t>
      </w:r>
    </w:p>
    <w:p w14:paraId="235F753A">
      <w:pPr>
        <w:spacing w:line="640" w:lineRule="exact"/>
        <w:ind w:firstLine="640"/>
        <w:jc w:val="both"/>
        <w:outlineLvl w:val="3"/>
      </w:pPr>
      <w:r>
        <w:rPr>
          <w:rFonts w:ascii="楷体_GB2312" w:hAnsi="楷体_GB2312" w:eastAsia="楷体_GB2312"/>
          <w:b/>
          <w:sz w:val="32"/>
        </w:rPr>
        <w:t>（三）国有资产占用情况说明</w:t>
      </w:r>
    </w:p>
    <w:p w14:paraId="07C4471C">
      <w:pPr>
        <w:spacing w:line="580" w:lineRule="exact"/>
        <w:ind w:firstLine="640"/>
        <w:jc w:val="both"/>
      </w:pPr>
      <w:r>
        <w:rPr>
          <w:rFonts w:ascii="仿宋_GB2312" w:hAnsi="仿宋_GB2312" w:eastAsia="仿宋_GB2312"/>
          <w:b w:val="0"/>
          <w:sz w:val="32"/>
        </w:rPr>
        <w:t>截至2024年12月31日，房屋7,677.36平方米，价值1,266.25万元。车辆5辆，价值46.29万元，其中：副部（省）级及以上领导用车0辆、主要负责人用车0辆、机要通信用车0辆、应急保障用车0辆、执法执勤用车0辆、特种专业技术用车0辆、离退休干部服务用车0辆、其他用车5辆，其他用车主要是：</w:t>
      </w:r>
      <w:r>
        <w:rPr>
          <w:rFonts w:hint="eastAsia" w:ascii="仿宋_GB2312" w:hAnsi="仿宋_GB2312" w:eastAsia="仿宋_GB2312"/>
          <w:b w:val="0"/>
          <w:sz w:val="32"/>
          <w:lang w:val="en-US" w:eastAsia="zh-CN"/>
        </w:rPr>
        <w:t>一般公务用车</w:t>
      </w:r>
      <w:r>
        <w:rPr>
          <w:rFonts w:ascii="仿宋_GB2312" w:hAnsi="仿宋_GB2312" w:eastAsia="仿宋_GB2312"/>
          <w:b w:val="0"/>
          <w:sz w:val="32"/>
        </w:rPr>
        <w:t>。单价100万元（含）以上设备（不含车辆）0台（套）。</w:t>
      </w:r>
    </w:p>
    <w:p w14:paraId="095CE36D">
      <w:pPr>
        <w:spacing w:line="640" w:lineRule="exact"/>
        <w:ind w:firstLine="640"/>
        <w:jc w:val="both"/>
        <w:outlineLvl w:val="2"/>
      </w:pPr>
      <w:r>
        <w:rPr>
          <w:rFonts w:ascii="黑体" w:hAnsi="黑体" w:eastAsia="黑体"/>
          <w:sz w:val="32"/>
        </w:rPr>
        <w:t>十一、预算绩效的情况说明</w:t>
      </w:r>
    </w:p>
    <w:p w14:paraId="3DD83C35">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根据预算绩效管理要求，本单位2024年度预算绩效管理形成整体支出绩效自评表1个，全年预算总额16,055.01万元，实际执行总额16,055.01万元；预算绩效评价项目</w:t>
      </w:r>
      <w:r>
        <w:rPr>
          <w:rFonts w:hint="eastAsia" w:ascii="仿宋_GB2312" w:hAnsi="仿宋_GB2312" w:eastAsia="仿宋_GB2312"/>
          <w:b w:val="0"/>
          <w:sz w:val="32"/>
          <w:lang w:val="en-US" w:eastAsia="zh-CN"/>
        </w:rPr>
        <w:t>3</w:t>
      </w:r>
      <w:r>
        <w:rPr>
          <w:rFonts w:ascii="仿宋_GB2312" w:hAnsi="仿宋_GB2312" w:eastAsia="仿宋_GB2312"/>
          <w:b w:val="0"/>
          <w:sz w:val="32"/>
        </w:rPr>
        <w:t>个，全年预算数</w:t>
      </w:r>
      <w:r>
        <w:rPr>
          <w:rFonts w:hint="eastAsia" w:ascii="仿宋_GB2312" w:hAnsi="仿宋_GB2312" w:eastAsia="仿宋_GB2312"/>
          <w:b w:val="0"/>
          <w:sz w:val="32"/>
        </w:rPr>
        <w:t>719.1</w:t>
      </w:r>
      <w:r>
        <w:rPr>
          <w:rFonts w:ascii="仿宋_GB2312" w:hAnsi="仿宋_GB2312" w:eastAsia="仿宋_GB2312"/>
          <w:b w:val="0"/>
          <w:sz w:val="32"/>
        </w:rPr>
        <w:t>万元，全年执行数</w:t>
      </w:r>
      <w:r>
        <w:rPr>
          <w:rFonts w:hint="eastAsia" w:ascii="仿宋_GB2312" w:hAnsi="仿宋_GB2312" w:eastAsia="仿宋_GB2312"/>
          <w:b w:val="0"/>
          <w:sz w:val="32"/>
        </w:rPr>
        <w:t>391.01</w:t>
      </w:r>
      <w:r>
        <w:rPr>
          <w:rFonts w:ascii="仿宋_GB2312" w:hAnsi="仿宋_GB2312" w:eastAsia="仿宋_GB2312"/>
          <w:b w:val="0"/>
          <w:sz w:val="32"/>
        </w:rPr>
        <w:t>万元。预算绩效管理取得的成效：一是项目实施后的自评等过程的掌握，获得准确的实施情况；二是及时查漏补缺促使项目高效完成，提高了项目实施效果。发现的问题及原因：一是因项目前期确定资金使用范围内人员身份识别不精准等原因，导致项目资金支付滞缓，影响了项目实施的进度，造成了部分资金未及时充分发挥效益；二是支出资金时发现实际支出与年初预算数有偏差，未控制好支出费用，年初预算编制不充分、不准确、不合理的现象；三是对项目实施过程中遇到的实际问题准备不充分，导致项目招投标、采购、验收等工作存在不连贯、不熟练的现象，需加强相关人员的业务及操作能力培训。下一步改进措施：一是做好年初预算，避免年初预算编制不充分、不准确、不合理的现象出现；二是加强相关人员的培训，提升干部对绩效管理工作的认识；三是持续细化预算编制工作，认真</w:t>
      </w:r>
      <w:r>
        <w:rPr>
          <w:rFonts w:hint="eastAsia" w:ascii="仿宋_GB2312" w:hAnsi="仿宋_GB2312" w:eastAsia="仿宋_GB2312"/>
          <w:b w:val="0"/>
          <w:sz w:val="32"/>
          <w:lang w:eastAsia="zh-CN"/>
        </w:rPr>
        <w:t>做好</w:t>
      </w:r>
      <w:r>
        <w:rPr>
          <w:rFonts w:ascii="仿宋_GB2312" w:hAnsi="仿宋_GB2312" w:eastAsia="仿宋_GB2312"/>
          <w:b w:val="0"/>
          <w:sz w:val="32"/>
        </w:rPr>
        <w:t>年度年初预算的编制，通过加强乡政府各部门的预算管理意识，严格按照预算编制相关制度和要求进行预算编制，确保年初预算的全面性、准确性、科学性；四是持续加强财务管理，加快资金支付力度。在支付报账</w:t>
      </w:r>
      <w:r>
        <w:rPr>
          <w:rFonts w:hint="eastAsia" w:ascii="仿宋_GB2312" w:hAnsi="仿宋_GB2312" w:eastAsia="仿宋_GB2312"/>
          <w:b w:val="0"/>
          <w:sz w:val="32"/>
          <w:lang w:eastAsia="zh-CN"/>
        </w:rPr>
        <w:t>时</w:t>
      </w:r>
      <w:r>
        <w:rPr>
          <w:rFonts w:ascii="仿宋_GB2312" w:hAnsi="仿宋_GB2312" w:eastAsia="仿宋_GB2312"/>
          <w:b w:val="0"/>
          <w:sz w:val="32"/>
        </w:rPr>
        <w:t>，严格按照预算规定的项目范围、用途及使用规则审核支付，坚决杜绝超支现象的发生；五是持续加强项目开展情况的跟踪监控，严格按照项目进度及时拨付资金，使资金使用效益最大化，减少不必要的浪费，节约成本。具体附整体支出绩效自评表，项目支出绩效自评表和评价报告。</w:t>
      </w:r>
    </w:p>
    <w:p w14:paraId="488A0C5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A78085D">
        <w:tblPrEx>
          <w:tblCellMar>
            <w:top w:w="0" w:type="dxa"/>
            <w:left w:w="108" w:type="dxa"/>
            <w:bottom w:w="0" w:type="dxa"/>
            <w:right w:w="108" w:type="dxa"/>
          </w:tblCellMar>
        </w:tblPrEx>
        <w:tc>
          <w:tcPr>
            <w:tcW w:w="8847" w:type="dxa"/>
            <w:gridSpan w:val="9"/>
            <w:vAlign w:val="center"/>
          </w:tcPr>
          <w:p w14:paraId="5CC43614">
            <w:pPr>
              <w:jc w:val="center"/>
            </w:pPr>
            <w:r>
              <w:rPr>
                <w:rFonts w:ascii="宋体" w:hAnsi="宋体" w:eastAsia="宋体"/>
                <w:sz w:val="24"/>
              </w:rPr>
              <w:t>单位整体支出绩效自评表</w:t>
            </w:r>
          </w:p>
        </w:tc>
      </w:tr>
      <w:tr w14:paraId="5EBE707D">
        <w:tblPrEx>
          <w:tblCellMar>
            <w:top w:w="0" w:type="dxa"/>
            <w:left w:w="108" w:type="dxa"/>
            <w:bottom w:w="0" w:type="dxa"/>
            <w:right w:w="108" w:type="dxa"/>
          </w:tblCellMar>
        </w:tblPrEx>
        <w:tc>
          <w:tcPr>
            <w:tcW w:w="8847" w:type="dxa"/>
            <w:gridSpan w:val="9"/>
            <w:vAlign w:val="center"/>
          </w:tcPr>
          <w:p w14:paraId="6808EE39">
            <w:pPr>
              <w:jc w:val="center"/>
            </w:pPr>
            <w:r>
              <w:rPr>
                <w:rFonts w:ascii="宋体" w:hAnsi="宋体" w:eastAsia="宋体"/>
                <w:sz w:val="24"/>
              </w:rPr>
              <w:t>（2024年度）</w:t>
            </w:r>
          </w:p>
        </w:tc>
      </w:tr>
      <w:tr w14:paraId="10B9000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E4153">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C418A21">
            <w:pPr>
              <w:jc w:val="center"/>
            </w:pPr>
            <w:r>
              <w:rPr>
                <w:rFonts w:ascii="宋体" w:hAnsi="宋体" w:eastAsia="宋体"/>
                <w:sz w:val="16"/>
              </w:rPr>
              <w:t>叶城县依提木孔镇人民政府</w:t>
            </w:r>
          </w:p>
        </w:tc>
      </w:tr>
      <w:tr w14:paraId="795B6A0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26F669">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045B0">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BAE9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ECAF4">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C05A4">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4C62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1D08F">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DB61E">
            <w:pPr>
              <w:jc w:val="center"/>
            </w:pPr>
            <w:r>
              <w:rPr>
                <w:rFonts w:ascii="宋体" w:hAnsi="宋体" w:eastAsia="宋体"/>
                <w:sz w:val="16"/>
              </w:rPr>
              <w:t>得分</w:t>
            </w:r>
          </w:p>
        </w:tc>
      </w:tr>
      <w:tr w14:paraId="0A1A29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0307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45ED3">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BCFD6">
            <w:pPr>
              <w:jc w:val="center"/>
            </w:pPr>
            <w:r>
              <w:rPr>
                <w:rFonts w:ascii="宋体" w:hAnsi="宋体" w:eastAsia="宋体"/>
                <w:sz w:val="16"/>
              </w:rPr>
              <w:t>4,027.65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D1B12">
            <w:pPr>
              <w:jc w:val="center"/>
            </w:pPr>
            <w:r>
              <w:rPr>
                <w:rFonts w:ascii="宋体" w:hAnsi="宋体" w:eastAsia="宋体"/>
                <w:sz w:val="16"/>
              </w:rPr>
              <w:t>16,055.01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7D514">
            <w:pPr>
              <w:jc w:val="center"/>
            </w:pPr>
            <w:r>
              <w:rPr>
                <w:rFonts w:ascii="宋体" w:hAnsi="宋体" w:eastAsia="宋体"/>
                <w:sz w:val="16"/>
              </w:rPr>
              <w:t>16,055.01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A7BE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05B51">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5A219">
            <w:pPr>
              <w:jc w:val="center"/>
            </w:pPr>
            <w:r>
              <w:rPr>
                <w:rFonts w:ascii="宋体" w:hAnsi="宋体" w:eastAsia="宋体"/>
                <w:sz w:val="16"/>
              </w:rPr>
              <w:t>10</w:t>
            </w:r>
          </w:p>
        </w:tc>
      </w:tr>
      <w:tr w14:paraId="22FB85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2641C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B620A">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E403B">
            <w:pPr>
              <w:jc w:val="center"/>
            </w:pPr>
            <w:r>
              <w:rPr>
                <w:rFonts w:ascii="宋体" w:hAnsi="宋体" w:eastAsia="宋体"/>
                <w:sz w:val="16"/>
              </w:rPr>
              <w:t>591.21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F542A">
            <w:pPr>
              <w:jc w:val="center"/>
            </w:pPr>
            <w:r>
              <w:rPr>
                <w:rFonts w:ascii="宋体" w:hAnsi="宋体" w:eastAsia="宋体"/>
                <w:sz w:val="16"/>
              </w:rPr>
              <w:t>12,349.77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99922">
            <w:pPr>
              <w:jc w:val="center"/>
            </w:pPr>
            <w:r>
              <w:rPr>
                <w:rFonts w:ascii="宋体" w:hAnsi="宋体" w:eastAsia="宋体"/>
                <w:sz w:val="16"/>
              </w:rPr>
              <w:t>12,349.77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B8F9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D86E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F6811">
            <w:pPr>
              <w:jc w:val="center"/>
            </w:pPr>
            <w:r>
              <w:rPr>
                <w:rFonts w:ascii="宋体" w:hAnsi="宋体" w:eastAsia="宋体"/>
                <w:sz w:val="16"/>
              </w:rPr>
              <w:t>—</w:t>
            </w:r>
          </w:p>
        </w:tc>
      </w:tr>
      <w:tr w14:paraId="2603DC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C279D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C8A13">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84C97">
            <w:pPr>
              <w:jc w:val="center"/>
            </w:pPr>
            <w:r>
              <w:rPr>
                <w:rFonts w:ascii="宋体" w:hAnsi="宋体" w:eastAsia="宋体"/>
                <w:sz w:val="16"/>
              </w:rPr>
              <w:t>3,436.44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78FA3">
            <w:pPr>
              <w:jc w:val="center"/>
            </w:pPr>
            <w:r>
              <w:rPr>
                <w:rFonts w:ascii="宋体" w:hAnsi="宋体" w:eastAsia="宋体"/>
                <w:sz w:val="16"/>
              </w:rPr>
              <w:t>3,170.88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B17B7">
            <w:pPr>
              <w:jc w:val="center"/>
            </w:pPr>
            <w:r>
              <w:rPr>
                <w:rFonts w:ascii="宋体" w:hAnsi="宋体" w:eastAsia="宋体"/>
                <w:sz w:val="16"/>
              </w:rPr>
              <w:t>3,170.88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83D5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A9AC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B2639">
            <w:pPr>
              <w:jc w:val="center"/>
            </w:pPr>
            <w:r>
              <w:rPr>
                <w:rFonts w:ascii="宋体" w:hAnsi="宋体" w:eastAsia="宋体"/>
                <w:sz w:val="16"/>
              </w:rPr>
              <w:t>—</w:t>
            </w:r>
          </w:p>
        </w:tc>
      </w:tr>
      <w:tr w14:paraId="70C83F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51729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25DF4">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8D68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9E134">
            <w:pPr>
              <w:jc w:val="center"/>
            </w:pPr>
            <w:r>
              <w:rPr>
                <w:rFonts w:ascii="宋体" w:hAnsi="宋体" w:eastAsia="宋体"/>
                <w:sz w:val="16"/>
              </w:rPr>
              <w:t>534.36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7720A">
            <w:pPr>
              <w:jc w:val="center"/>
            </w:pPr>
            <w:r>
              <w:rPr>
                <w:rFonts w:ascii="宋体" w:hAnsi="宋体" w:eastAsia="宋体"/>
                <w:sz w:val="16"/>
              </w:rPr>
              <w:t>534.36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3BA6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C8D5E">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EF7E5">
            <w:pPr>
              <w:jc w:val="center"/>
            </w:pPr>
            <w:r>
              <w:rPr>
                <w:rFonts w:ascii="宋体" w:hAnsi="宋体" w:eastAsia="宋体"/>
                <w:sz w:val="16"/>
              </w:rPr>
              <w:t>—</w:t>
            </w:r>
          </w:p>
        </w:tc>
      </w:tr>
      <w:tr w14:paraId="0D5981A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E1767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D73C3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93A0D3">
            <w:pPr>
              <w:jc w:val="center"/>
            </w:pPr>
            <w:r>
              <w:rPr>
                <w:rFonts w:ascii="宋体" w:hAnsi="宋体" w:eastAsia="宋体"/>
                <w:sz w:val="16"/>
              </w:rPr>
              <w:t>实际完成情况</w:t>
            </w:r>
          </w:p>
        </w:tc>
      </w:tr>
      <w:tr w14:paraId="457CC3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92ACC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922281F">
            <w:pPr>
              <w:jc w:val="both"/>
            </w:pPr>
            <w:r>
              <w:rPr>
                <w:rFonts w:ascii="宋体" w:hAnsi="宋体" w:eastAsia="宋体"/>
                <w:sz w:val="16"/>
              </w:rPr>
              <w:t>加快农村经济发展，解放思想，转变观念，不断增加农民收入，为壮大乡村经济发展创造有利条件。做好乡村发展规划，培育主导产业，推动产业结构调整，提高农业综合生产能力。建立新型农业社会化服务体系，发展农民专业合作组织，提高农产品质量安全水平。稳定和完善农村基本经营制度，探索集体经济有效实现形式，引导农民珍惜土地，增加投入，发展集约经营。落实强农惠农措施，确保农民受益。促进民营经济发展，引导农民多渠道就业，增加收入，不断提高生活水平。不断强化公共服务，着力保障改善民生。落实</w:t>
            </w:r>
            <w:r>
              <w:rPr>
                <w:rFonts w:hint="eastAsia" w:ascii="宋体" w:hAnsi="宋体"/>
                <w:sz w:val="16"/>
                <w:lang w:eastAsia="zh-CN"/>
              </w:rPr>
              <w:t>JHSY</w:t>
            </w:r>
            <w:r>
              <w:rPr>
                <w:rFonts w:ascii="宋体" w:hAnsi="宋体" w:eastAsia="宋体"/>
                <w:sz w:val="16"/>
              </w:rPr>
              <w:t>基本国策，推进优生优育。促进农村义务教育发展，推动农村公共卫生体系和基本医疗体系建设，丰富农民群众文化生活，发展农村体育事业，培养社会主义新型农民。</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130DAB">
            <w:pPr>
              <w:jc w:val="both"/>
            </w:pPr>
            <w:r>
              <w:rPr>
                <w:rFonts w:hint="eastAsia" w:ascii="宋体" w:hAnsi="宋体"/>
                <w:sz w:val="16"/>
                <w:lang w:eastAsia="zh-CN"/>
              </w:rPr>
              <w:t>截至</w:t>
            </w:r>
            <w:r>
              <w:rPr>
                <w:rFonts w:ascii="宋体" w:hAnsi="宋体" w:eastAsia="宋体"/>
                <w:sz w:val="16"/>
              </w:rPr>
              <w:t>2024年12月31日，已完成新防渗渠长度10公里</w:t>
            </w:r>
            <w:r>
              <w:rPr>
                <w:rFonts w:hint="eastAsia" w:ascii="宋体" w:hAnsi="宋体"/>
                <w:sz w:val="16"/>
                <w:lang w:eastAsia="zh-CN"/>
              </w:rPr>
              <w:t>，加</w:t>
            </w:r>
            <w:r>
              <w:rPr>
                <w:rFonts w:ascii="宋体" w:hAnsi="宋体" w:eastAsia="宋体"/>
                <w:sz w:val="16"/>
              </w:rPr>
              <w:t>快农村经济发展，解放思想，转变观念，不断增加农民收入，为壮大乡村经济发展创造有利条件。做好乡村发展规划，培育主导产业，推动产业结构调整，提高农业综合生产能力。建立新型农业社会化服务体系，发展农民专业合作组织，提高农产品质量安全水平。稳定和完善农村基本经营制度，探索集体经济有效实现形式，引导农民珍惜土地，增加投入，发展集约经营。落实强农惠农措施，确保农民受益。促进民营经济发展，引导农民多渠道就业，增加收入，不断提高生活水平。不断强化公共服务，着力保障改善民生。落实</w:t>
            </w:r>
            <w:r>
              <w:rPr>
                <w:rFonts w:hint="eastAsia" w:ascii="宋体" w:hAnsi="宋体"/>
                <w:sz w:val="16"/>
                <w:lang w:eastAsia="zh-CN"/>
              </w:rPr>
              <w:t>JHSY</w:t>
            </w:r>
            <w:r>
              <w:rPr>
                <w:rFonts w:ascii="宋体" w:hAnsi="宋体" w:eastAsia="宋体"/>
                <w:sz w:val="16"/>
              </w:rPr>
              <w:t>基本国策，推进优生优育。促进农村义务教育发展，推动农村公共卫生体系和基本医疗体系建设，丰富农民群众文化生活，发展农村体育事业，培养社会主义新型农民。</w:t>
            </w:r>
          </w:p>
        </w:tc>
      </w:tr>
      <w:tr w14:paraId="4A71C7C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48DC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4E45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1AF9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C579E">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08692">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3C14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5E85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BC409">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7AE7D">
            <w:pPr>
              <w:jc w:val="center"/>
            </w:pPr>
            <w:r>
              <w:rPr>
                <w:rFonts w:ascii="宋体" w:hAnsi="宋体" w:eastAsia="宋体"/>
                <w:sz w:val="16"/>
              </w:rPr>
              <w:t>得分</w:t>
            </w:r>
          </w:p>
        </w:tc>
      </w:tr>
      <w:tr w14:paraId="1DAB117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756503">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6F096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A05A2">
            <w:pPr>
              <w:jc w:val="center"/>
            </w:pPr>
            <w:r>
              <w:rPr>
                <w:rFonts w:ascii="宋体" w:hAnsi="宋体" w:eastAsia="宋体"/>
                <w:sz w:val="16"/>
              </w:rPr>
              <w:t>新建防渗渠长度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8D25A">
            <w:pPr>
              <w:jc w:val="center"/>
            </w:pPr>
            <w:r>
              <w:rPr>
                <w:rFonts w:ascii="宋体" w:hAnsi="宋体" w:eastAsia="宋体"/>
                <w:sz w:val="16"/>
              </w:rPr>
              <w:t>=10公里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C4847">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2D386">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74033">
            <w:pPr>
              <w:jc w:val="center"/>
            </w:pPr>
            <w:r>
              <w:rPr>
                <w:rFonts w:ascii="宋体" w:hAnsi="宋体" w:eastAsia="宋体"/>
                <w:sz w:val="16"/>
              </w:rPr>
              <w:t>=10公里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EEAB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6BB0A">
            <w:pPr>
              <w:jc w:val="center"/>
            </w:pPr>
            <w:r>
              <w:rPr>
                <w:rFonts w:ascii="宋体" w:hAnsi="宋体" w:eastAsia="宋体"/>
                <w:sz w:val="16"/>
              </w:rPr>
              <w:t>15</w:t>
            </w:r>
          </w:p>
        </w:tc>
      </w:tr>
      <w:tr w14:paraId="3D97EE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BC98A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09BCD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B7B90">
            <w:pPr>
              <w:jc w:val="center"/>
            </w:pPr>
            <w:r>
              <w:rPr>
                <w:rFonts w:ascii="宋体" w:hAnsi="宋体" w:eastAsia="宋体"/>
                <w:sz w:val="16"/>
              </w:rPr>
              <w:t>林果嫁接改优数量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A3E6C">
            <w:pPr>
              <w:jc w:val="center"/>
            </w:pPr>
            <w:r>
              <w:rPr>
                <w:rFonts w:ascii="宋体" w:hAnsi="宋体" w:eastAsia="宋体"/>
                <w:sz w:val="16"/>
              </w:rPr>
              <w:t>=54750株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9AC9F">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B1EE9">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5D1C0">
            <w:pPr>
              <w:jc w:val="center"/>
            </w:pPr>
            <w:r>
              <w:rPr>
                <w:rFonts w:ascii="宋体" w:hAnsi="宋体" w:eastAsia="宋体"/>
                <w:sz w:val="16"/>
              </w:rPr>
              <w:t>=54750株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B895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3032D">
            <w:pPr>
              <w:jc w:val="center"/>
            </w:pPr>
            <w:r>
              <w:rPr>
                <w:rFonts w:ascii="宋体" w:hAnsi="宋体" w:eastAsia="宋体"/>
                <w:sz w:val="16"/>
              </w:rPr>
              <w:t>15</w:t>
            </w:r>
          </w:p>
        </w:tc>
      </w:tr>
      <w:tr w14:paraId="4D3E3B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8D548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FAA88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EDAE2">
            <w:pPr>
              <w:jc w:val="center"/>
            </w:pPr>
            <w:r>
              <w:rPr>
                <w:rFonts w:ascii="宋体" w:hAnsi="宋体" w:eastAsia="宋体"/>
                <w:sz w:val="16"/>
              </w:rPr>
              <w:t>每月组织</w:t>
            </w:r>
            <w:r>
              <w:rPr>
                <w:rFonts w:hint="eastAsia" w:ascii="宋体" w:hAnsi="宋体"/>
                <w:sz w:val="16"/>
                <w:lang w:eastAsia="zh-CN"/>
              </w:rPr>
              <w:t>党委理论学习中心组</w:t>
            </w:r>
            <w:r>
              <w:rPr>
                <w:rFonts w:ascii="宋体" w:hAnsi="宋体" w:eastAsia="宋体"/>
                <w:sz w:val="16"/>
              </w:rPr>
              <w:t>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448FC">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2AB88">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45301">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6264C">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6A2F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730BC">
            <w:pPr>
              <w:jc w:val="center"/>
            </w:pPr>
            <w:r>
              <w:rPr>
                <w:rFonts w:ascii="宋体" w:hAnsi="宋体" w:eastAsia="宋体"/>
                <w:sz w:val="16"/>
              </w:rPr>
              <w:t>15</w:t>
            </w:r>
          </w:p>
        </w:tc>
      </w:tr>
      <w:tr w14:paraId="718D96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43920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A226C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ADB10">
            <w:pPr>
              <w:jc w:val="center"/>
            </w:pPr>
            <w:bookmarkStart w:id="0" w:name="_GoBack"/>
            <w:bookmarkEnd w:id="0"/>
            <w:r>
              <w:rPr>
                <w:rFonts w:ascii="宋体" w:hAnsi="宋体" w:eastAsia="宋体"/>
                <w:sz w:val="16"/>
              </w:rPr>
              <w:t>就业人数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BBEF6">
            <w:pPr>
              <w:jc w:val="center"/>
            </w:pPr>
            <w:r>
              <w:rPr>
                <w:rFonts w:ascii="宋体" w:hAnsi="宋体" w:eastAsia="宋体"/>
                <w:sz w:val="16"/>
              </w:rPr>
              <w:t>=12000人次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06DD7">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65FCD">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D17C2">
            <w:pPr>
              <w:jc w:val="center"/>
            </w:pPr>
            <w:r>
              <w:rPr>
                <w:rFonts w:ascii="宋体" w:hAnsi="宋体" w:eastAsia="宋体"/>
                <w:sz w:val="16"/>
              </w:rPr>
              <w:t>=12000人次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E7F2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5E8D6">
            <w:pPr>
              <w:jc w:val="center"/>
            </w:pPr>
            <w:r>
              <w:rPr>
                <w:rFonts w:ascii="宋体" w:hAnsi="宋体" w:eastAsia="宋体"/>
                <w:sz w:val="16"/>
              </w:rPr>
              <w:t>15</w:t>
            </w:r>
          </w:p>
        </w:tc>
      </w:tr>
      <w:tr w14:paraId="01DA9C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5B51B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2FE3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2D234">
            <w:pPr>
              <w:jc w:val="center"/>
            </w:pPr>
            <w:r>
              <w:rPr>
                <w:rFonts w:ascii="宋体" w:hAnsi="宋体" w:eastAsia="宋体"/>
                <w:sz w:val="16"/>
              </w:rPr>
              <w:t>每季度组织召开党建推进会次数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405E6">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E7974">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49B2A">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B5E13">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093E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83DEF">
            <w:pPr>
              <w:jc w:val="center"/>
            </w:pPr>
            <w:r>
              <w:rPr>
                <w:rFonts w:ascii="宋体" w:hAnsi="宋体" w:eastAsia="宋体"/>
                <w:sz w:val="16"/>
              </w:rPr>
              <w:t>15</w:t>
            </w:r>
          </w:p>
        </w:tc>
      </w:tr>
      <w:tr w14:paraId="01EAE4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5A32C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5764F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2E1E3">
            <w:pPr>
              <w:jc w:val="center"/>
            </w:pPr>
            <w:r>
              <w:rPr>
                <w:rFonts w:ascii="宋体" w:hAnsi="宋体" w:eastAsia="宋体"/>
                <w:sz w:val="16"/>
              </w:rPr>
              <w:t>节水灌溉设施建设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3338F">
            <w:pPr>
              <w:jc w:val="center"/>
            </w:pPr>
            <w:r>
              <w:rPr>
                <w:rFonts w:ascii="宋体" w:hAnsi="宋体" w:eastAsia="宋体"/>
                <w:sz w:val="16"/>
              </w:rPr>
              <w:t>=1.20万亩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E6782">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B37F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85AC7">
            <w:pPr>
              <w:jc w:val="center"/>
            </w:pPr>
            <w:r>
              <w:rPr>
                <w:rFonts w:ascii="宋体" w:hAnsi="宋体" w:eastAsia="宋体"/>
                <w:sz w:val="16"/>
              </w:rPr>
              <w:t>=1.20万亩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8BC4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E9017">
            <w:pPr>
              <w:jc w:val="center"/>
            </w:pPr>
            <w:r>
              <w:rPr>
                <w:rFonts w:ascii="宋体" w:hAnsi="宋体" w:eastAsia="宋体"/>
                <w:sz w:val="16"/>
              </w:rPr>
              <w:t>15</w:t>
            </w:r>
          </w:p>
        </w:tc>
      </w:tr>
    </w:tbl>
    <w:p w14:paraId="51B506E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776"/>
        <w:gridCol w:w="632"/>
        <w:gridCol w:w="632"/>
        <w:gridCol w:w="632"/>
      </w:tblGrid>
      <w:tr w14:paraId="76F1A712">
        <w:tblPrEx>
          <w:tblCellMar>
            <w:top w:w="0" w:type="dxa"/>
            <w:left w:w="108" w:type="dxa"/>
            <w:bottom w:w="0" w:type="dxa"/>
            <w:right w:w="108" w:type="dxa"/>
          </w:tblCellMar>
        </w:tblPrEx>
        <w:tc>
          <w:tcPr>
            <w:tcW w:w="8848" w:type="dxa"/>
            <w:gridSpan w:val="14"/>
            <w:vAlign w:val="center"/>
          </w:tcPr>
          <w:p w14:paraId="6BA73CC5">
            <w:pPr>
              <w:jc w:val="center"/>
            </w:pPr>
            <w:r>
              <w:rPr>
                <w:rFonts w:ascii="宋体" w:hAnsi="宋体" w:eastAsia="宋体"/>
                <w:sz w:val="24"/>
              </w:rPr>
              <w:t>项目支出绩效自评表</w:t>
            </w:r>
          </w:p>
        </w:tc>
      </w:tr>
      <w:tr w14:paraId="7286E03B">
        <w:tblPrEx>
          <w:tblCellMar>
            <w:top w:w="0" w:type="dxa"/>
            <w:left w:w="108" w:type="dxa"/>
            <w:bottom w:w="0" w:type="dxa"/>
            <w:right w:w="108" w:type="dxa"/>
          </w:tblCellMar>
        </w:tblPrEx>
        <w:tc>
          <w:tcPr>
            <w:tcW w:w="8848" w:type="dxa"/>
            <w:gridSpan w:val="14"/>
            <w:vAlign w:val="center"/>
          </w:tcPr>
          <w:p w14:paraId="0F988517">
            <w:pPr>
              <w:jc w:val="center"/>
            </w:pPr>
            <w:r>
              <w:rPr>
                <w:rFonts w:ascii="宋体" w:hAnsi="宋体" w:eastAsia="宋体"/>
                <w:sz w:val="24"/>
              </w:rPr>
              <w:t>(2024年度)</w:t>
            </w:r>
          </w:p>
        </w:tc>
      </w:tr>
      <w:tr w14:paraId="176011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BE90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BFF114">
            <w:pPr>
              <w:jc w:val="center"/>
            </w:pPr>
            <w:r>
              <w:rPr>
                <w:rFonts w:ascii="宋体" w:hAnsi="宋体" w:eastAsia="宋体"/>
                <w:sz w:val="16"/>
              </w:rPr>
              <w:t>上海援疆项目</w:t>
            </w:r>
            <w:r>
              <w:rPr>
                <w:rFonts w:hint="eastAsia" w:ascii="宋体" w:hAnsi="宋体"/>
                <w:sz w:val="16"/>
                <w:lang w:eastAsia="zh-CN"/>
              </w:rPr>
              <w:t>－</w:t>
            </w:r>
            <w:r>
              <w:rPr>
                <w:rFonts w:ascii="宋体" w:hAnsi="宋体" w:eastAsia="宋体"/>
                <w:sz w:val="16"/>
              </w:rPr>
              <w:t>叶城县乡村振兴建设项目（依提木孔镇一门式社区事务受理中心建设）</w:t>
            </w:r>
          </w:p>
        </w:tc>
      </w:tr>
      <w:tr w14:paraId="6E4B57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2C94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0623EE">
            <w:pPr>
              <w:jc w:val="center"/>
            </w:pPr>
            <w:r>
              <w:rPr>
                <w:rFonts w:ascii="宋体" w:hAnsi="宋体" w:eastAsia="宋体"/>
                <w:sz w:val="16"/>
              </w:rPr>
              <w:t>叶城县人民政府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92F7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A38DB2">
            <w:pPr>
              <w:jc w:val="center"/>
            </w:pPr>
            <w:r>
              <w:rPr>
                <w:rFonts w:ascii="宋体" w:hAnsi="宋体" w:eastAsia="宋体"/>
                <w:sz w:val="16"/>
              </w:rPr>
              <w:t>叶城县依提木孔镇人民政府</w:t>
            </w:r>
          </w:p>
        </w:tc>
      </w:tr>
      <w:tr w14:paraId="1EC1DE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B2F6F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CD90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780B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1582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E43D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8D78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572F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D99E7">
            <w:pPr>
              <w:jc w:val="center"/>
            </w:pPr>
            <w:r>
              <w:rPr>
                <w:rFonts w:ascii="宋体" w:hAnsi="宋体" w:eastAsia="宋体"/>
                <w:sz w:val="16"/>
              </w:rPr>
              <w:t>得分</w:t>
            </w:r>
          </w:p>
        </w:tc>
      </w:tr>
      <w:tr w14:paraId="1785F7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FAD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E456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4EE98">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7EE1B">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0E64E">
            <w:pPr>
              <w:jc w:val="center"/>
            </w:pPr>
            <w:r>
              <w:rPr>
                <w:rFonts w:ascii="宋体" w:hAnsi="宋体" w:eastAsia="宋体"/>
                <w:sz w:val="16"/>
              </w:rPr>
              <w:t>225.82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29E7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9E531">
            <w:pPr>
              <w:jc w:val="center"/>
            </w:pPr>
            <w:r>
              <w:rPr>
                <w:rFonts w:ascii="宋体" w:hAnsi="宋体" w:eastAsia="宋体"/>
                <w:sz w:val="16"/>
              </w:rPr>
              <w:t>45.2%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0A40C">
            <w:pPr>
              <w:jc w:val="center"/>
            </w:pPr>
            <w:r>
              <w:rPr>
                <w:rFonts w:ascii="宋体" w:hAnsi="宋体" w:eastAsia="宋体"/>
                <w:sz w:val="16"/>
              </w:rPr>
              <w:t>0.00分</w:t>
            </w:r>
          </w:p>
        </w:tc>
      </w:tr>
      <w:tr w14:paraId="349E66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A69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A92D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B82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950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D4B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8384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4AF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9148D">
            <w:pPr>
              <w:jc w:val="center"/>
            </w:pPr>
            <w:r>
              <w:rPr>
                <w:rFonts w:ascii="宋体" w:hAnsi="宋体" w:eastAsia="宋体"/>
                <w:sz w:val="16"/>
              </w:rPr>
              <w:t>—</w:t>
            </w:r>
          </w:p>
        </w:tc>
      </w:tr>
      <w:tr w14:paraId="75D0CE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F4D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4434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6F607">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2F3DF">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EE26A">
            <w:pPr>
              <w:jc w:val="center"/>
            </w:pPr>
            <w:r>
              <w:rPr>
                <w:rFonts w:ascii="宋体" w:hAnsi="宋体" w:eastAsia="宋体"/>
                <w:sz w:val="16"/>
              </w:rPr>
              <w:t>225.82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0FE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76F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8A4DE">
            <w:pPr>
              <w:jc w:val="center"/>
            </w:pPr>
            <w:r>
              <w:rPr>
                <w:rFonts w:ascii="宋体" w:hAnsi="宋体" w:eastAsia="宋体"/>
                <w:sz w:val="16"/>
              </w:rPr>
              <w:t>—</w:t>
            </w:r>
          </w:p>
        </w:tc>
      </w:tr>
      <w:tr w14:paraId="087AE1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DFEE7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67A49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2BFCFC">
            <w:pPr>
              <w:jc w:val="center"/>
            </w:pPr>
            <w:r>
              <w:rPr>
                <w:rFonts w:ascii="宋体" w:hAnsi="宋体" w:eastAsia="宋体"/>
                <w:sz w:val="16"/>
              </w:rPr>
              <w:t>实际完成情况</w:t>
            </w:r>
          </w:p>
        </w:tc>
      </w:tr>
      <w:tr w14:paraId="2789EA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1364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025780">
            <w:pPr>
              <w:jc w:val="both"/>
            </w:pPr>
            <w:r>
              <w:rPr>
                <w:rFonts w:ascii="宋体" w:hAnsi="宋体" w:eastAsia="宋体"/>
                <w:sz w:val="16"/>
              </w:rPr>
              <w:t>项目投资500万元，新建1栋地上建筑，面积约2000平方米，功能包括公共事业服务、社会福利和救助、社区管理和服务等，同步完成室内外配套设施等附属设施，通过项目实施，促进</w:t>
            </w:r>
            <w:r>
              <w:rPr>
                <w:rFonts w:hint="eastAsia" w:ascii="宋体" w:hAnsi="宋体"/>
                <w:sz w:val="16"/>
                <w:lang w:eastAsia="zh-CN"/>
              </w:rPr>
              <w:t>美丽乡村建设</w:t>
            </w:r>
            <w:r>
              <w:rPr>
                <w:rFonts w:ascii="宋体" w:hAnsi="宋体" w:eastAsia="宋体"/>
                <w:sz w:val="16"/>
              </w:rPr>
              <w:t>和发展，为当地发展特色产业提供基础条件，促进生态环境可持续发展，改善当地的投资环境，增强乡村经济发展实力，带动当地特色产业的经济发展，带动周边居民就近就业，增加居民收入，促进依提木孔镇实现乡村振兴和小康生活的愿景，具有良好的社会效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FE9AD8">
            <w:pPr>
              <w:jc w:val="both"/>
            </w:pPr>
            <w:r>
              <w:rPr>
                <w:rFonts w:ascii="宋体" w:hAnsi="宋体" w:eastAsia="宋体"/>
                <w:sz w:val="16"/>
              </w:rPr>
              <w:t>实际完成目标：</w:t>
            </w:r>
            <w:r>
              <w:rPr>
                <w:rFonts w:hint="eastAsia" w:ascii="宋体" w:hAnsi="宋体"/>
                <w:sz w:val="16"/>
                <w:lang w:eastAsia="zh-CN"/>
              </w:rPr>
              <w:t>截至</w:t>
            </w:r>
            <w:r>
              <w:rPr>
                <w:rFonts w:ascii="宋体" w:hAnsi="宋体" w:eastAsia="宋体"/>
                <w:sz w:val="16"/>
              </w:rPr>
              <w:t>2024年12月31日，预算安排资金500万，到位资金500万，实际支出225.82万元，项目实施用于建设2000平方米集中办理各</w:t>
            </w:r>
            <w:r>
              <w:rPr>
                <w:rFonts w:hint="eastAsia" w:ascii="宋体" w:hAnsi="宋体"/>
                <w:sz w:val="16"/>
                <w:lang w:eastAsia="zh-CN"/>
              </w:rPr>
              <w:t>种人</w:t>
            </w:r>
            <w:r>
              <w:rPr>
                <w:rFonts w:ascii="宋体" w:hAnsi="宋体" w:eastAsia="宋体"/>
                <w:sz w:val="16"/>
              </w:rPr>
              <w:t>民事务的服务机构或平台，可提供便捷，高效，一站式的服务，方便村民办理各类相关事务，集中式服务模式有助于减少农民的办事负担，提高政府服务的透明度和公正性。</w:t>
            </w:r>
          </w:p>
        </w:tc>
      </w:tr>
      <w:tr w14:paraId="0D1A52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8F42D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A9D5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27A6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DD3E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17A6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98AC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5F6A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78F9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B3BE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C49F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ECA7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7F43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F06F6">
            <w:pPr>
              <w:jc w:val="center"/>
            </w:pPr>
            <w:r>
              <w:rPr>
                <w:rFonts w:ascii="宋体" w:hAnsi="宋体" w:eastAsia="宋体"/>
                <w:sz w:val="16"/>
              </w:rPr>
              <w:t>偏差原因分析及改进措施</w:t>
            </w:r>
          </w:p>
        </w:tc>
      </w:tr>
      <w:tr w14:paraId="6275D1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1B68C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2E1BE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0BB8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E219F">
            <w:pPr>
              <w:jc w:val="center"/>
            </w:pPr>
            <w:r>
              <w:rPr>
                <w:rFonts w:ascii="宋体" w:hAnsi="宋体" w:eastAsia="宋体"/>
                <w:sz w:val="16"/>
              </w:rPr>
              <w:t>新建一门式服务中心面积（平方米）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39633">
            <w:pPr>
              <w:jc w:val="center"/>
            </w:pPr>
            <w:r>
              <w:rPr>
                <w:rFonts w:ascii="宋体" w:hAnsi="宋体" w:eastAsia="宋体"/>
                <w:sz w:val="16"/>
              </w:rPr>
              <w:t>=2000平方米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8D2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F07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42F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F06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300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4188E">
            <w:pPr>
              <w:jc w:val="center"/>
            </w:pPr>
            <w:r>
              <w:rPr>
                <w:rFonts w:ascii="宋体" w:hAnsi="宋体" w:eastAsia="宋体"/>
                <w:sz w:val="16"/>
              </w:rPr>
              <w:t>=2000平方米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724D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10D37">
            <w:pPr>
              <w:jc w:val="center"/>
            </w:pPr>
          </w:p>
        </w:tc>
      </w:tr>
      <w:tr w14:paraId="49A5D0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722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36C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43F1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86A4F">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5FD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4D8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98F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EEE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64B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BAE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2257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27CA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60C7F">
            <w:pPr>
              <w:jc w:val="center"/>
            </w:pPr>
            <w:r>
              <w:rPr>
                <w:rFonts w:ascii="宋体" w:hAnsi="宋体" w:eastAsia="宋体"/>
                <w:sz w:val="16"/>
              </w:rPr>
              <w:t>偏差原因：该项目开工较晚且后期施工</w:t>
            </w:r>
            <w:r>
              <w:rPr>
                <w:rFonts w:hint="eastAsia" w:ascii="宋体" w:hAnsi="宋体"/>
                <w:sz w:val="16"/>
                <w:lang w:eastAsia="zh-CN"/>
              </w:rPr>
              <w:t>处于</w:t>
            </w:r>
            <w:r>
              <w:rPr>
                <w:rFonts w:ascii="宋体" w:hAnsi="宋体" w:eastAsia="宋体"/>
                <w:sz w:val="16"/>
              </w:rPr>
              <w:t>冬歇期无法正常施工</w:t>
            </w:r>
            <w:r>
              <w:rPr>
                <w:rFonts w:hint="eastAsia" w:ascii="宋体" w:hAnsi="宋体"/>
                <w:sz w:val="16"/>
                <w:lang w:eastAsia="zh-CN"/>
              </w:rPr>
              <w:t>，</w:t>
            </w:r>
            <w:r>
              <w:rPr>
                <w:rFonts w:ascii="宋体" w:hAnsi="宋体" w:eastAsia="宋体"/>
                <w:sz w:val="16"/>
              </w:rPr>
              <w:t>造成项目未能在计划时间节点内完成验收。整改措施：完工之后及时验收。</w:t>
            </w:r>
          </w:p>
        </w:tc>
      </w:tr>
      <w:tr w14:paraId="01AA3D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14F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55B1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11BEC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B11A8">
            <w:pPr>
              <w:jc w:val="center"/>
            </w:pPr>
            <w:r>
              <w:rPr>
                <w:rFonts w:ascii="宋体" w:hAnsi="宋体" w:eastAsia="宋体"/>
                <w:sz w:val="16"/>
              </w:rPr>
              <w:t>工程完工及时率（%）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C94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CDD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A6C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A36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F5C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D89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AF8D1">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3F14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85101">
            <w:pPr>
              <w:jc w:val="center"/>
            </w:pPr>
            <w:r>
              <w:rPr>
                <w:rFonts w:ascii="宋体" w:hAnsi="宋体" w:eastAsia="宋体"/>
                <w:sz w:val="16"/>
              </w:rPr>
              <w:t>偏差原因：因该项目开工较晚且后期施工</w:t>
            </w:r>
            <w:r>
              <w:rPr>
                <w:rFonts w:hint="eastAsia" w:ascii="宋体" w:hAnsi="宋体"/>
                <w:sz w:val="16"/>
                <w:lang w:eastAsia="zh-CN"/>
              </w:rPr>
              <w:t>处于</w:t>
            </w:r>
            <w:r>
              <w:rPr>
                <w:rFonts w:ascii="宋体" w:hAnsi="宋体" w:eastAsia="宋体"/>
                <w:sz w:val="16"/>
              </w:rPr>
              <w:t>冬歇期无法正常施工</w:t>
            </w:r>
            <w:r>
              <w:rPr>
                <w:rFonts w:hint="eastAsia" w:ascii="宋体" w:hAnsi="宋体"/>
                <w:sz w:val="16"/>
                <w:lang w:eastAsia="zh-CN"/>
              </w:rPr>
              <w:t>，</w:t>
            </w:r>
            <w:r>
              <w:rPr>
                <w:rFonts w:ascii="宋体" w:hAnsi="宋体" w:eastAsia="宋体"/>
                <w:sz w:val="16"/>
              </w:rPr>
              <w:t>导致未能按时完成。整改措施：督促尽快完成。</w:t>
            </w:r>
          </w:p>
        </w:tc>
      </w:tr>
      <w:tr w14:paraId="689D60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1D4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F43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82C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29C31">
            <w:pPr>
              <w:jc w:val="center"/>
            </w:pPr>
            <w:r>
              <w:rPr>
                <w:rFonts w:ascii="宋体" w:hAnsi="宋体" w:eastAsia="宋体"/>
                <w:sz w:val="16"/>
              </w:rPr>
              <w:t>完工时间（年/月）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66A63">
            <w:pPr>
              <w:jc w:val="center"/>
            </w:pPr>
            <w:r>
              <w:rPr>
                <w:rFonts w:ascii="宋体" w:hAnsi="宋体" w:eastAsia="宋体"/>
                <w:sz w:val="16"/>
              </w:rPr>
              <w:t>2025年3月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6AD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E47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FA6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968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F69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70B07">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47F4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A3EF7">
            <w:pPr>
              <w:jc w:val="center"/>
            </w:pPr>
            <w:r>
              <w:rPr>
                <w:rFonts w:ascii="宋体" w:hAnsi="宋体" w:eastAsia="宋体"/>
                <w:sz w:val="16"/>
              </w:rPr>
              <w:t>偏差原因：因该项目开工较晚且后期施工</w:t>
            </w:r>
            <w:r>
              <w:rPr>
                <w:rFonts w:hint="eastAsia" w:ascii="宋体" w:hAnsi="宋体"/>
                <w:sz w:val="16"/>
                <w:lang w:eastAsia="zh-CN"/>
              </w:rPr>
              <w:t>处于</w:t>
            </w:r>
            <w:r>
              <w:rPr>
                <w:rFonts w:ascii="宋体" w:hAnsi="宋体" w:eastAsia="宋体"/>
                <w:sz w:val="16"/>
              </w:rPr>
              <w:t>冬歇期无法正常施工</w:t>
            </w:r>
            <w:r>
              <w:rPr>
                <w:rFonts w:hint="eastAsia" w:ascii="宋体" w:hAnsi="宋体"/>
                <w:sz w:val="16"/>
                <w:lang w:eastAsia="zh-CN"/>
              </w:rPr>
              <w:t>，</w:t>
            </w:r>
            <w:r>
              <w:rPr>
                <w:rFonts w:ascii="宋体" w:hAnsi="宋体" w:eastAsia="宋体"/>
                <w:sz w:val="16"/>
              </w:rPr>
              <w:t>导致未能按时完成。整改措施：督促尽快完成。</w:t>
            </w:r>
          </w:p>
        </w:tc>
      </w:tr>
      <w:tr w14:paraId="763344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226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A2D9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364E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28CE8">
            <w:pPr>
              <w:jc w:val="center"/>
            </w:pPr>
            <w:r>
              <w:rPr>
                <w:rFonts w:ascii="宋体" w:hAnsi="宋体" w:eastAsia="宋体"/>
                <w:sz w:val="16"/>
              </w:rPr>
              <w:t>新建一门式服务中心成本（元/平方米）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8B2FB">
            <w:pPr>
              <w:jc w:val="center"/>
            </w:pPr>
            <w:r>
              <w:rPr>
                <w:rFonts w:ascii="宋体" w:hAnsi="宋体" w:eastAsia="宋体"/>
                <w:sz w:val="16"/>
              </w:rPr>
              <w:t>&lt;=2500元/平方米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2EBE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1AA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A34F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8C0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C520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BFBF6">
            <w:pPr>
              <w:jc w:val="center"/>
            </w:pPr>
            <w:r>
              <w:rPr>
                <w:rFonts w:ascii="宋体" w:hAnsi="宋体" w:eastAsia="宋体"/>
                <w:sz w:val="16"/>
              </w:rPr>
              <w:t>=1129.1元/平方米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60BE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8B626">
            <w:pPr>
              <w:jc w:val="center"/>
            </w:pPr>
            <w:r>
              <w:rPr>
                <w:rFonts w:ascii="宋体" w:hAnsi="宋体" w:eastAsia="宋体"/>
                <w:sz w:val="16"/>
              </w:rPr>
              <w:t>偏差原因：项目未完工，导致资金支付缓慢。整改措施：加快支付进度。</w:t>
            </w:r>
          </w:p>
        </w:tc>
      </w:tr>
      <w:tr w14:paraId="172C53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D7D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42F2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16F2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B43B7">
            <w:pPr>
              <w:jc w:val="center"/>
            </w:pPr>
            <w:r>
              <w:rPr>
                <w:rFonts w:ascii="宋体" w:hAnsi="宋体" w:eastAsia="宋体"/>
                <w:sz w:val="16"/>
              </w:rPr>
              <w:t>提高居民幸福度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C0B8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ABA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6FB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DB66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F5D8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76B7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4A69F">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BA1EB">
            <w:pPr>
              <w:jc w:val="center"/>
            </w:pPr>
            <w:r>
              <w:rPr>
                <w:rFonts w:ascii="宋体" w:hAnsi="宋体" w:eastAsia="宋体"/>
                <w:sz w:val="16"/>
              </w:rPr>
              <w:t>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2047C">
            <w:pPr>
              <w:jc w:val="center"/>
            </w:pPr>
            <w:r>
              <w:rPr>
                <w:rFonts w:ascii="宋体" w:hAnsi="宋体" w:eastAsia="宋体"/>
                <w:sz w:val="16"/>
              </w:rPr>
              <w:t>偏差原因：项目未能按时完工，导致效益有偏差。整改措施：做好</w:t>
            </w:r>
            <w:r>
              <w:rPr>
                <w:rFonts w:hint="eastAsia" w:ascii="宋体" w:hAnsi="宋体"/>
                <w:sz w:val="16"/>
                <w:lang w:eastAsia="zh-CN"/>
              </w:rPr>
              <w:t>项目</w:t>
            </w:r>
            <w:r>
              <w:rPr>
                <w:rFonts w:ascii="宋体" w:hAnsi="宋体" w:eastAsia="宋体"/>
                <w:sz w:val="16"/>
              </w:rPr>
              <w:t>计划。</w:t>
            </w:r>
          </w:p>
        </w:tc>
      </w:tr>
      <w:tr w14:paraId="64B9C4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C39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D8F3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D09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2749C">
            <w:pPr>
              <w:jc w:val="center"/>
            </w:pPr>
            <w:r>
              <w:rPr>
                <w:rFonts w:ascii="宋体" w:hAnsi="宋体" w:eastAsia="宋体"/>
                <w:sz w:val="16"/>
              </w:rPr>
              <w:t>受益居民满意度（%）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C930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25F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00F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CB4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4348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EEF5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1FA5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F3C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F53A6">
            <w:pPr>
              <w:jc w:val="center"/>
            </w:pPr>
          </w:p>
        </w:tc>
      </w:tr>
      <w:tr w14:paraId="4FF2AB8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D4A7B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FD2F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620E6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D6AE0">
            <w:pPr>
              <w:jc w:val="center"/>
            </w:pPr>
            <w:r>
              <w:rPr>
                <w:rFonts w:ascii="宋体" w:hAnsi="宋体" w:eastAsia="宋体"/>
                <w:sz w:val="16"/>
              </w:rPr>
              <w:t>41分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ED24F56"/>
        </w:tc>
      </w:tr>
    </w:tbl>
    <w:p w14:paraId="561E67E1">
      <w:r>
        <w:br w:type="page"/>
      </w:r>
    </w:p>
    <w:tbl>
      <w:tblPr>
        <w:tblStyle w:val="9"/>
        <w:tblW w:w="0" w:type="auto"/>
        <w:tblInd w:w="0" w:type="dxa"/>
        <w:tblLayout w:type="autofit"/>
        <w:tblCellMar>
          <w:top w:w="0" w:type="dxa"/>
          <w:left w:w="108" w:type="dxa"/>
          <w:bottom w:w="0" w:type="dxa"/>
          <w:right w:w="108" w:type="dxa"/>
        </w:tblCellMar>
      </w:tblPr>
      <w:tblGrid>
        <w:gridCol w:w="627"/>
        <w:gridCol w:w="618"/>
        <w:gridCol w:w="618"/>
        <w:gridCol w:w="696"/>
        <w:gridCol w:w="776"/>
        <w:gridCol w:w="618"/>
        <w:gridCol w:w="618"/>
        <w:gridCol w:w="622"/>
        <w:gridCol w:w="618"/>
        <w:gridCol w:w="618"/>
        <w:gridCol w:w="776"/>
        <w:gridCol w:w="631"/>
        <w:gridCol w:w="597"/>
        <w:gridCol w:w="627"/>
      </w:tblGrid>
      <w:tr w14:paraId="567936AA">
        <w:tblPrEx>
          <w:tblCellMar>
            <w:top w:w="0" w:type="dxa"/>
            <w:left w:w="108" w:type="dxa"/>
            <w:bottom w:w="0" w:type="dxa"/>
            <w:right w:w="108" w:type="dxa"/>
          </w:tblCellMar>
        </w:tblPrEx>
        <w:tc>
          <w:tcPr>
            <w:tcW w:w="8848" w:type="dxa"/>
            <w:gridSpan w:val="14"/>
            <w:vAlign w:val="center"/>
          </w:tcPr>
          <w:p w14:paraId="332A59D7">
            <w:pPr>
              <w:jc w:val="center"/>
            </w:pPr>
            <w:r>
              <w:rPr>
                <w:rFonts w:ascii="宋体" w:hAnsi="宋体" w:eastAsia="宋体"/>
                <w:sz w:val="24"/>
              </w:rPr>
              <w:t>项目支出绩效自评表</w:t>
            </w:r>
          </w:p>
        </w:tc>
      </w:tr>
      <w:tr w14:paraId="7748773F">
        <w:tblPrEx>
          <w:tblCellMar>
            <w:top w:w="0" w:type="dxa"/>
            <w:left w:w="108" w:type="dxa"/>
            <w:bottom w:w="0" w:type="dxa"/>
            <w:right w:w="108" w:type="dxa"/>
          </w:tblCellMar>
        </w:tblPrEx>
        <w:tc>
          <w:tcPr>
            <w:tcW w:w="8848" w:type="dxa"/>
            <w:gridSpan w:val="14"/>
            <w:vAlign w:val="center"/>
          </w:tcPr>
          <w:p w14:paraId="5231F6A3">
            <w:pPr>
              <w:jc w:val="center"/>
            </w:pPr>
            <w:r>
              <w:rPr>
                <w:rFonts w:ascii="宋体" w:hAnsi="宋体" w:eastAsia="宋体"/>
                <w:sz w:val="24"/>
              </w:rPr>
              <w:t>(2024年度)</w:t>
            </w:r>
          </w:p>
        </w:tc>
      </w:tr>
      <w:tr w14:paraId="695C1B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7A84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C392FB">
            <w:pPr>
              <w:jc w:val="center"/>
            </w:pPr>
            <w:r>
              <w:rPr>
                <w:rFonts w:ascii="宋体" w:hAnsi="宋体" w:eastAsia="宋体"/>
                <w:sz w:val="16"/>
              </w:rPr>
              <w:t>上海援疆项目</w:t>
            </w:r>
            <w:r>
              <w:rPr>
                <w:rFonts w:hint="eastAsia" w:ascii="宋体" w:hAnsi="宋体"/>
                <w:sz w:val="16"/>
                <w:lang w:eastAsia="zh-CN"/>
              </w:rPr>
              <w:t>－</w:t>
            </w:r>
            <w:r>
              <w:rPr>
                <w:rFonts w:ascii="宋体" w:hAnsi="宋体" w:eastAsia="宋体"/>
                <w:sz w:val="16"/>
              </w:rPr>
              <w:t>叶城县乡村振兴建设项目（依提木孔镇玫瑰花产业种植）</w:t>
            </w:r>
          </w:p>
        </w:tc>
      </w:tr>
      <w:tr w14:paraId="44D14E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6D46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28C98E">
            <w:pPr>
              <w:jc w:val="center"/>
            </w:pPr>
            <w:r>
              <w:rPr>
                <w:rFonts w:ascii="宋体" w:hAnsi="宋体" w:eastAsia="宋体"/>
                <w:sz w:val="16"/>
              </w:rPr>
              <w:t>叶城县人民政府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D094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16537F">
            <w:pPr>
              <w:jc w:val="center"/>
            </w:pPr>
            <w:r>
              <w:rPr>
                <w:rFonts w:ascii="宋体" w:hAnsi="宋体" w:eastAsia="宋体"/>
                <w:sz w:val="16"/>
              </w:rPr>
              <w:t>叶城县依提木孔镇人民政府</w:t>
            </w:r>
          </w:p>
        </w:tc>
      </w:tr>
      <w:tr w14:paraId="039B17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B5FF6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B195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9888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E75C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63B0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B77A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B205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F4BE3">
            <w:pPr>
              <w:jc w:val="center"/>
            </w:pPr>
            <w:r>
              <w:rPr>
                <w:rFonts w:ascii="宋体" w:hAnsi="宋体" w:eastAsia="宋体"/>
                <w:sz w:val="16"/>
              </w:rPr>
              <w:t>得分</w:t>
            </w:r>
          </w:p>
        </w:tc>
      </w:tr>
      <w:tr w14:paraId="28B715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46B9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376A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37850">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613B7">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46385">
            <w:pPr>
              <w:jc w:val="center"/>
            </w:pPr>
            <w:r>
              <w:rPr>
                <w:rFonts w:ascii="宋体" w:hAnsi="宋体" w:eastAsia="宋体"/>
                <w:sz w:val="16"/>
              </w:rPr>
              <w:t>150.87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F86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F11E8">
            <w:pPr>
              <w:jc w:val="center"/>
            </w:pPr>
            <w:r>
              <w:rPr>
                <w:rFonts w:ascii="宋体" w:hAnsi="宋体" w:eastAsia="宋体"/>
                <w:sz w:val="16"/>
              </w:rPr>
              <w:t>75.4%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DBCAE">
            <w:pPr>
              <w:jc w:val="center"/>
            </w:pPr>
            <w:r>
              <w:rPr>
                <w:rFonts w:ascii="宋体" w:hAnsi="宋体" w:eastAsia="宋体"/>
                <w:sz w:val="16"/>
              </w:rPr>
              <w:t>3.86分</w:t>
            </w:r>
          </w:p>
        </w:tc>
      </w:tr>
      <w:tr w14:paraId="3B200E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160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0EFA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64E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43F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561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C84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2B9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C7327">
            <w:pPr>
              <w:jc w:val="center"/>
            </w:pPr>
            <w:r>
              <w:rPr>
                <w:rFonts w:ascii="宋体" w:hAnsi="宋体" w:eastAsia="宋体"/>
                <w:sz w:val="16"/>
              </w:rPr>
              <w:t>—</w:t>
            </w:r>
          </w:p>
        </w:tc>
      </w:tr>
      <w:tr w14:paraId="22CBE7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873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CDB1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8CA22">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DD020">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BBE21">
            <w:pPr>
              <w:jc w:val="center"/>
            </w:pPr>
            <w:r>
              <w:rPr>
                <w:rFonts w:ascii="宋体" w:hAnsi="宋体" w:eastAsia="宋体"/>
                <w:sz w:val="16"/>
              </w:rPr>
              <w:t>150.87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5FF5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E83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50B69">
            <w:pPr>
              <w:jc w:val="center"/>
            </w:pPr>
            <w:r>
              <w:rPr>
                <w:rFonts w:ascii="宋体" w:hAnsi="宋体" w:eastAsia="宋体"/>
                <w:sz w:val="16"/>
              </w:rPr>
              <w:t>—</w:t>
            </w:r>
          </w:p>
        </w:tc>
      </w:tr>
      <w:tr w14:paraId="32C75F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F683F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01BEC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160A34">
            <w:pPr>
              <w:jc w:val="center"/>
            </w:pPr>
            <w:r>
              <w:rPr>
                <w:rFonts w:ascii="宋体" w:hAnsi="宋体" w:eastAsia="宋体"/>
                <w:sz w:val="16"/>
              </w:rPr>
              <w:t>实际完成情况</w:t>
            </w:r>
          </w:p>
        </w:tc>
      </w:tr>
      <w:tr w14:paraId="3D1C38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370C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8E13EB">
            <w:pPr>
              <w:jc w:val="both"/>
            </w:pPr>
            <w:r>
              <w:rPr>
                <w:rFonts w:ascii="宋体" w:hAnsi="宋体" w:eastAsia="宋体"/>
                <w:sz w:val="16"/>
              </w:rPr>
              <w:t>项目投资200万元，采购大马士革（药用）玫瑰花苗40万株，种植160亩，每亩地种植2500株，5元/株)，两年生苗，苗高30-50CM，地茎粗0.3-0.4CM，有</w:t>
            </w:r>
            <w:r>
              <w:rPr>
                <w:rFonts w:hint="eastAsia" w:ascii="宋体" w:hAnsi="宋体"/>
                <w:sz w:val="16"/>
                <w:lang w:eastAsia="zh-CN"/>
              </w:rPr>
              <w:t>2～3个</w:t>
            </w:r>
            <w:r>
              <w:rPr>
                <w:rFonts w:ascii="宋体" w:hAnsi="宋体" w:eastAsia="宋体"/>
                <w:sz w:val="16"/>
              </w:rPr>
              <w:t>分支，根系发育良好，有较多侧根和须根，生长健壮，无病虫害，带营养钵，提供栽培技术和指导服务一年。项目建设将进一步提高叶城县花卉深加工产品供应能力本项目以大马士革玫瑰种植为指引，开展玫瑰精油等玫瑰深加工产品，不仅满足我国市场需求，更带动当地农业发展，促进就业，进一步提高叶城县花卉深加工产品供应原材料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0A8043">
            <w:pPr>
              <w:jc w:val="both"/>
            </w:pPr>
            <w:r>
              <w:rPr>
                <w:rFonts w:ascii="宋体" w:hAnsi="宋体" w:eastAsia="宋体"/>
                <w:sz w:val="16"/>
              </w:rPr>
              <w:t>实际完成目标：</w:t>
            </w:r>
            <w:r>
              <w:rPr>
                <w:rFonts w:hint="eastAsia" w:ascii="宋体" w:hAnsi="宋体"/>
                <w:sz w:val="16"/>
                <w:lang w:eastAsia="zh-CN"/>
              </w:rPr>
              <w:t>截至</w:t>
            </w:r>
            <w:r>
              <w:rPr>
                <w:rFonts w:ascii="宋体" w:hAnsi="宋体" w:eastAsia="宋体"/>
                <w:sz w:val="16"/>
              </w:rPr>
              <w:t>2024年12月31日，项目预算安排资金200万元，到位资金200万元，实际支出150.87万元。项目实施用于采购大马士革玫瑰花苗100万株，种植400亩，每亩地种植2500株，5元/株)，品种大马士革（红色），地径1cm以上，8个分枝以上，标牌直径21cm美植袋，移栽后成活率要达到95%。</w:t>
            </w:r>
          </w:p>
        </w:tc>
      </w:tr>
      <w:tr w14:paraId="7449DF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3FDA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3EF3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04A0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AD34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629D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DC62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579D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9F7F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8539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6AF6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1BA0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1555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554EC">
            <w:pPr>
              <w:jc w:val="center"/>
            </w:pPr>
            <w:r>
              <w:rPr>
                <w:rFonts w:ascii="宋体" w:hAnsi="宋体" w:eastAsia="宋体"/>
                <w:sz w:val="16"/>
              </w:rPr>
              <w:t>偏差原因分析及改进措施</w:t>
            </w:r>
          </w:p>
        </w:tc>
      </w:tr>
      <w:tr w14:paraId="1B8459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E5522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98056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3584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29157">
            <w:pPr>
              <w:jc w:val="center"/>
            </w:pPr>
            <w:r>
              <w:rPr>
                <w:rFonts w:ascii="宋体" w:hAnsi="宋体" w:eastAsia="宋体"/>
                <w:sz w:val="16"/>
              </w:rPr>
              <w:t>采购玫瑰花（株）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575BE">
            <w:pPr>
              <w:jc w:val="center"/>
            </w:pPr>
            <w:r>
              <w:rPr>
                <w:rFonts w:ascii="宋体" w:hAnsi="宋体" w:eastAsia="宋体"/>
                <w:sz w:val="16"/>
              </w:rPr>
              <w:t>=400000株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AFC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831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61E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B9D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E79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5CC93">
            <w:pPr>
              <w:jc w:val="center"/>
            </w:pPr>
            <w:r>
              <w:rPr>
                <w:rFonts w:ascii="宋体" w:hAnsi="宋体" w:eastAsia="宋体"/>
                <w:sz w:val="16"/>
              </w:rPr>
              <w:t>=400000株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87A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E1CDF">
            <w:pPr>
              <w:jc w:val="center"/>
            </w:pPr>
          </w:p>
        </w:tc>
      </w:tr>
      <w:tr w14:paraId="11CF24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244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224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994E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3D71B">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CA9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151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DCF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45A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990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8E5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6D0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FAD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407E2">
            <w:pPr>
              <w:jc w:val="center"/>
            </w:pPr>
          </w:p>
        </w:tc>
      </w:tr>
      <w:tr w14:paraId="03C18F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B13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4776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5F79E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07A23">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B2D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E0B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C7F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DAB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271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5EC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823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6D5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81B33">
            <w:pPr>
              <w:jc w:val="center"/>
            </w:pPr>
          </w:p>
        </w:tc>
      </w:tr>
      <w:tr w14:paraId="0AB10D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0FA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448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33E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65384">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CA5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972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998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2C9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0C2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ABA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7ED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8998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2257E">
            <w:pPr>
              <w:jc w:val="center"/>
            </w:pPr>
          </w:p>
        </w:tc>
      </w:tr>
      <w:tr w14:paraId="5963D1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A71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8CA1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EA93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046BD">
            <w:pPr>
              <w:jc w:val="center"/>
            </w:pPr>
            <w:r>
              <w:rPr>
                <w:rFonts w:ascii="宋体" w:hAnsi="宋体" w:eastAsia="宋体"/>
                <w:sz w:val="16"/>
              </w:rPr>
              <w:t>采购玫瑰花每株成本（元/株）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5AF6E">
            <w:pPr>
              <w:jc w:val="center"/>
            </w:pPr>
            <w:r>
              <w:rPr>
                <w:rFonts w:ascii="宋体" w:hAnsi="宋体" w:eastAsia="宋体"/>
                <w:sz w:val="16"/>
              </w:rPr>
              <w:t>&lt;=5元/株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AD0D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F96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CE33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FB6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3B5F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8AA60">
            <w:pPr>
              <w:jc w:val="center"/>
            </w:pPr>
            <w:r>
              <w:rPr>
                <w:rFonts w:ascii="宋体" w:hAnsi="宋体" w:eastAsia="宋体"/>
                <w:sz w:val="16"/>
              </w:rPr>
              <w:t>=3.8元/珠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B3EE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61BC1">
            <w:pPr>
              <w:jc w:val="center"/>
            </w:pPr>
          </w:p>
        </w:tc>
      </w:tr>
      <w:tr w14:paraId="2D32A2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10C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2270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7940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8FD78">
            <w:pPr>
              <w:jc w:val="center"/>
            </w:pPr>
            <w:r>
              <w:rPr>
                <w:rFonts w:ascii="宋体" w:hAnsi="宋体" w:eastAsia="宋体"/>
                <w:sz w:val="16"/>
              </w:rPr>
              <w:t>促进农业生产发展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B41E0">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9F3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981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AAAF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42A3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34A4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AF403">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4B3F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C5CA2">
            <w:pPr>
              <w:jc w:val="center"/>
            </w:pPr>
          </w:p>
        </w:tc>
      </w:tr>
      <w:tr w14:paraId="6BDBB7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965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3FA3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ECF2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B2550">
            <w:pPr>
              <w:jc w:val="center"/>
            </w:pPr>
            <w:r>
              <w:rPr>
                <w:rFonts w:ascii="宋体" w:hAnsi="宋体" w:eastAsia="宋体"/>
                <w:sz w:val="16"/>
              </w:rPr>
              <w:t>受益农民满意度（%）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8A39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293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874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304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1242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D1E2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2F1B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C90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A2750">
            <w:pPr>
              <w:jc w:val="center"/>
            </w:pPr>
          </w:p>
        </w:tc>
      </w:tr>
      <w:tr w14:paraId="51461D6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0D072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6784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A6FAB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74481">
            <w:pPr>
              <w:jc w:val="center"/>
            </w:pPr>
            <w:r>
              <w:rPr>
                <w:rFonts w:ascii="宋体" w:hAnsi="宋体" w:eastAsia="宋体"/>
                <w:sz w:val="16"/>
              </w:rPr>
              <w:t>81.86分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2613434"/>
        </w:tc>
      </w:tr>
    </w:tbl>
    <w:p w14:paraId="5D1163FD">
      <w:r>
        <w:br w:type="page"/>
      </w:r>
    </w:p>
    <w:tbl>
      <w:tblPr>
        <w:tblStyle w:val="9"/>
        <w:tblW w:w="0" w:type="auto"/>
        <w:tblInd w:w="0" w:type="dxa"/>
        <w:tblLayout w:type="autofit"/>
        <w:tblCellMar>
          <w:top w:w="0" w:type="dxa"/>
          <w:left w:w="108" w:type="dxa"/>
          <w:bottom w:w="0" w:type="dxa"/>
          <w:right w:w="108" w:type="dxa"/>
        </w:tblCellMar>
      </w:tblPr>
      <w:tblGrid>
        <w:gridCol w:w="629"/>
        <w:gridCol w:w="626"/>
        <w:gridCol w:w="626"/>
        <w:gridCol w:w="696"/>
        <w:gridCol w:w="776"/>
        <w:gridCol w:w="626"/>
        <w:gridCol w:w="626"/>
        <w:gridCol w:w="628"/>
        <w:gridCol w:w="626"/>
        <w:gridCol w:w="626"/>
        <w:gridCol w:w="696"/>
        <w:gridCol w:w="632"/>
        <w:gridCol w:w="617"/>
        <w:gridCol w:w="630"/>
      </w:tblGrid>
      <w:tr w14:paraId="1944A254">
        <w:tblPrEx>
          <w:tblCellMar>
            <w:top w:w="0" w:type="dxa"/>
            <w:left w:w="108" w:type="dxa"/>
            <w:bottom w:w="0" w:type="dxa"/>
            <w:right w:w="108" w:type="dxa"/>
          </w:tblCellMar>
        </w:tblPrEx>
        <w:tc>
          <w:tcPr>
            <w:tcW w:w="8848" w:type="dxa"/>
            <w:gridSpan w:val="14"/>
            <w:vAlign w:val="center"/>
          </w:tcPr>
          <w:p w14:paraId="466097EF">
            <w:pPr>
              <w:jc w:val="center"/>
            </w:pPr>
            <w:r>
              <w:rPr>
                <w:rFonts w:ascii="宋体" w:hAnsi="宋体" w:eastAsia="宋体"/>
                <w:sz w:val="24"/>
              </w:rPr>
              <w:t>项目支出绩效自评表</w:t>
            </w:r>
          </w:p>
        </w:tc>
      </w:tr>
      <w:tr w14:paraId="37519051">
        <w:tblPrEx>
          <w:tblCellMar>
            <w:top w:w="0" w:type="dxa"/>
            <w:left w:w="108" w:type="dxa"/>
            <w:bottom w:w="0" w:type="dxa"/>
            <w:right w:w="108" w:type="dxa"/>
          </w:tblCellMar>
        </w:tblPrEx>
        <w:tc>
          <w:tcPr>
            <w:tcW w:w="8848" w:type="dxa"/>
            <w:gridSpan w:val="14"/>
            <w:vAlign w:val="center"/>
          </w:tcPr>
          <w:p w14:paraId="313BD0F0">
            <w:pPr>
              <w:jc w:val="center"/>
            </w:pPr>
            <w:r>
              <w:rPr>
                <w:rFonts w:ascii="宋体" w:hAnsi="宋体" w:eastAsia="宋体"/>
                <w:sz w:val="24"/>
              </w:rPr>
              <w:t>(2024年度)</w:t>
            </w:r>
          </w:p>
        </w:tc>
      </w:tr>
      <w:tr w14:paraId="456FC6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919D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3ACDD87">
            <w:pPr>
              <w:jc w:val="center"/>
            </w:pPr>
            <w:r>
              <w:rPr>
                <w:rFonts w:ascii="宋体" w:hAnsi="宋体" w:eastAsia="宋体"/>
                <w:sz w:val="16"/>
              </w:rPr>
              <w:t>依提木孔镇2024年县级专项公用经费项目</w:t>
            </w:r>
          </w:p>
        </w:tc>
      </w:tr>
      <w:tr w14:paraId="180838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0EE8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A43915">
            <w:pPr>
              <w:jc w:val="center"/>
            </w:pPr>
            <w:r>
              <w:rPr>
                <w:rFonts w:ascii="宋体" w:hAnsi="宋体" w:eastAsia="宋体"/>
                <w:sz w:val="16"/>
              </w:rPr>
              <w:t>叶城县依提木孔镇人民政府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CF18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7E53E6">
            <w:pPr>
              <w:jc w:val="center"/>
            </w:pPr>
            <w:r>
              <w:rPr>
                <w:rFonts w:ascii="宋体" w:hAnsi="宋体" w:eastAsia="宋体"/>
                <w:sz w:val="16"/>
              </w:rPr>
              <w:t>叶城县依提木孔镇人民政府</w:t>
            </w:r>
          </w:p>
        </w:tc>
      </w:tr>
      <w:tr w14:paraId="161A9E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B41FE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2F41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3EDC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3F09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2156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9ACE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23C7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229DC">
            <w:pPr>
              <w:jc w:val="center"/>
            </w:pPr>
            <w:r>
              <w:rPr>
                <w:rFonts w:ascii="宋体" w:hAnsi="宋体" w:eastAsia="宋体"/>
                <w:sz w:val="16"/>
              </w:rPr>
              <w:t>得分</w:t>
            </w:r>
          </w:p>
        </w:tc>
      </w:tr>
      <w:tr w14:paraId="677B66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73A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13E7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2FFCC">
            <w:pPr>
              <w:jc w:val="center"/>
            </w:pPr>
            <w:r>
              <w:rPr>
                <w:rFonts w:ascii="宋体" w:hAnsi="宋体" w:eastAsia="宋体"/>
                <w:sz w:val="16"/>
              </w:rPr>
              <w:t>19.10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E9C56">
            <w:pPr>
              <w:jc w:val="center"/>
            </w:pPr>
            <w:r>
              <w:rPr>
                <w:rFonts w:ascii="宋体" w:hAnsi="宋体" w:eastAsia="宋体"/>
                <w:sz w:val="16"/>
              </w:rPr>
              <w:t>19.10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ADA6F">
            <w:pPr>
              <w:jc w:val="center"/>
            </w:pPr>
            <w:r>
              <w:rPr>
                <w:rFonts w:ascii="宋体" w:hAnsi="宋体" w:eastAsia="宋体"/>
                <w:sz w:val="16"/>
              </w:rPr>
              <w:t>14.32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39F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F4C48">
            <w:pPr>
              <w:jc w:val="center"/>
            </w:pPr>
            <w:r>
              <w:rPr>
                <w:rFonts w:ascii="宋体" w:hAnsi="宋体" w:eastAsia="宋体"/>
                <w:sz w:val="16"/>
              </w:rPr>
              <w:t>75.0%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CA5D7">
            <w:pPr>
              <w:jc w:val="center"/>
            </w:pPr>
            <w:r>
              <w:rPr>
                <w:rFonts w:ascii="宋体" w:hAnsi="宋体" w:eastAsia="宋体"/>
                <w:sz w:val="16"/>
              </w:rPr>
              <w:t>3.74分</w:t>
            </w:r>
          </w:p>
        </w:tc>
      </w:tr>
      <w:tr w14:paraId="582FB4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F24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2468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7F371">
            <w:pPr>
              <w:jc w:val="center"/>
            </w:pPr>
            <w:r>
              <w:rPr>
                <w:rFonts w:ascii="宋体" w:hAnsi="宋体" w:eastAsia="宋体"/>
                <w:sz w:val="16"/>
              </w:rPr>
              <w:t>19.10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87EB2">
            <w:pPr>
              <w:jc w:val="center"/>
            </w:pPr>
            <w:r>
              <w:rPr>
                <w:rFonts w:ascii="宋体" w:hAnsi="宋体" w:eastAsia="宋体"/>
                <w:sz w:val="16"/>
              </w:rPr>
              <w:t>19.10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F5086">
            <w:pPr>
              <w:jc w:val="center"/>
            </w:pPr>
            <w:r>
              <w:rPr>
                <w:rFonts w:ascii="宋体" w:hAnsi="宋体" w:eastAsia="宋体"/>
                <w:sz w:val="16"/>
              </w:rPr>
              <w:t>14.32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0C84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D11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88855">
            <w:pPr>
              <w:jc w:val="center"/>
            </w:pPr>
            <w:r>
              <w:rPr>
                <w:rFonts w:ascii="宋体" w:hAnsi="宋体" w:eastAsia="宋体"/>
                <w:sz w:val="16"/>
              </w:rPr>
              <w:t>—</w:t>
            </w:r>
          </w:p>
        </w:tc>
      </w:tr>
      <w:tr w14:paraId="63B034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7F5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F56C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2F5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CAB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412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8A7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265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D2953">
            <w:pPr>
              <w:jc w:val="center"/>
            </w:pPr>
            <w:r>
              <w:rPr>
                <w:rFonts w:ascii="宋体" w:hAnsi="宋体" w:eastAsia="宋体"/>
                <w:sz w:val="16"/>
              </w:rPr>
              <w:t>—</w:t>
            </w:r>
          </w:p>
        </w:tc>
      </w:tr>
      <w:tr w14:paraId="49CE4A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1F74A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3447F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7E4791">
            <w:pPr>
              <w:jc w:val="center"/>
            </w:pPr>
            <w:r>
              <w:rPr>
                <w:rFonts w:ascii="宋体" w:hAnsi="宋体" w:eastAsia="宋体"/>
                <w:sz w:val="16"/>
              </w:rPr>
              <w:t>实际完成情况</w:t>
            </w:r>
          </w:p>
        </w:tc>
      </w:tr>
      <w:tr w14:paraId="6A9FC1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6580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2AD712">
            <w:pPr>
              <w:jc w:val="both"/>
            </w:pPr>
            <w:r>
              <w:rPr>
                <w:rFonts w:ascii="宋体" w:hAnsi="宋体" w:eastAsia="宋体"/>
                <w:sz w:val="16"/>
              </w:rPr>
              <w:t>项目安排资金19.1万元，用于依提木孔镇日常运转支出，通过项目实施保障镇政府正常运转，提高为民服务能力和干部工作效率，更好促进基层组织建设。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55828A">
            <w:pPr>
              <w:jc w:val="both"/>
            </w:pPr>
            <w:r>
              <w:rPr>
                <w:rFonts w:ascii="宋体" w:hAnsi="宋体" w:eastAsia="宋体"/>
                <w:sz w:val="16"/>
              </w:rPr>
              <w:t>实际完成目标：</w:t>
            </w:r>
            <w:r>
              <w:rPr>
                <w:rFonts w:hint="eastAsia" w:ascii="宋体" w:hAnsi="宋体"/>
                <w:sz w:val="16"/>
                <w:lang w:eastAsia="zh-CN"/>
              </w:rPr>
              <w:t>截至2024</w:t>
            </w:r>
            <w:r>
              <w:rPr>
                <w:rFonts w:ascii="宋体" w:hAnsi="宋体" w:eastAsia="宋体"/>
                <w:sz w:val="16"/>
              </w:rPr>
              <w:t>年12月31日，该项目预算资金19.1万元，到位资金19.1万元，已支付14.32万元，项目用于依提木孔镇日常运转支出，通过项目实施保障镇政府正常运转，提高为民服务能力和干部工作效率，更好促进基层组织建设</w:t>
            </w:r>
            <w:r>
              <w:rPr>
                <w:rFonts w:hint="eastAsia" w:ascii="宋体" w:hAnsi="宋体"/>
                <w:sz w:val="16"/>
                <w:lang w:eastAsia="zh-CN"/>
              </w:rPr>
              <w:t>，</w:t>
            </w:r>
            <w:r>
              <w:rPr>
                <w:rFonts w:ascii="宋体" w:hAnsi="宋体" w:eastAsia="宋体"/>
                <w:sz w:val="16"/>
              </w:rPr>
              <w:t>提高办事效率，提高群众幸福感。</w:t>
            </w:r>
          </w:p>
        </w:tc>
      </w:tr>
      <w:tr w14:paraId="250176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80E0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AA3B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FC8C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A474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EF20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2090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B935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7FD3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D809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D29F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2246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80C6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E3FCA">
            <w:pPr>
              <w:jc w:val="center"/>
            </w:pPr>
            <w:r>
              <w:rPr>
                <w:rFonts w:ascii="宋体" w:hAnsi="宋体" w:eastAsia="宋体"/>
                <w:sz w:val="16"/>
              </w:rPr>
              <w:t>偏差原因分析及改进措施</w:t>
            </w:r>
          </w:p>
        </w:tc>
      </w:tr>
      <w:tr w14:paraId="59A970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B4A0B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8839C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C9A72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2E774">
            <w:pPr>
              <w:jc w:val="center"/>
            </w:pPr>
            <w:r>
              <w:rPr>
                <w:rFonts w:ascii="宋体" w:hAnsi="宋体" w:eastAsia="宋体"/>
                <w:sz w:val="16"/>
              </w:rPr>
              <w:t>办公用品（批）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F4D77">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66E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CDD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2A9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2D1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E7E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85F78">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07C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6DF20">
            <w:pPr>
              <w:jc w:val="center"/>
            </w:pPr>
          </w:p>
        </w:tc>
      </w:tr>
      <w:tr w14:paraId="140BAE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7F0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6B9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CCD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83F01">
            <w:pPr>
              <w:jc w:val="center"/>
            </w:pPr>
            <w:r>
              <w:rPr>
                <w:rFonts w:ascii="宋体" w:hAnsi="宋体" w:eastAsia="宋体"/>
                <w:sz w:val="16"/>
              </w:rPr>
              <w:t>保障单位个数（个）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98DA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17F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410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FE3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4C5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9D0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498B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A9C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DA360">
            <w:pPr>
              <w:jc w:val="center"/>
            </w:pPr>
          </w:p>
        </w:tc>
      </w:tr>
      <w:tr w14:paraId="3E9670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158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52D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9DD0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2CA5C">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9FD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93B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6BF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322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65E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E17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715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16B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80DE0">
            <w:pPr>
              <w:jc w:val="center"/>
            </w:pPr>
          </w:p>
        </w:tc>
      </w:tr>
      <w:tr w14:paraId="51CE28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E18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B90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220E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2BBCD">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D9C69">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F93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16E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BB7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0C2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746A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AB988">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DFA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D54B6">
            <w:pPr>
              <w:jc w:val="center"/>
            </w:pPr>
          </w:p>
        </w:tc>
      </w:tr>
      <w:tr w14:paraId="0FC479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50D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73B0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8ABB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9AEF6">
            <w:pPr>
              <w:jc w:val="center"/>
            </w:pPr>
            <w:r>
              <w:rPr>
                <w:rFonts w:ascii="宋体" w:hAnsi="宋体" w:eastAsia="宋体"/>
                <w:sz w:val="16"/>
              </w:rPr>
              <w:t>项目成本（万元）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C3C07">
            <w:pPr>
              <w:jc w:val="center"/>
            </w:pPr>
            <w:r>
              <w:rPr>
                <w:rFonts w:ascii="宋体" w:hAnsi="宋体" w:eastAsia="宋体"/>
                <w:sz w:val="16"/>
              </w:rPr>
              <w:t>&lt;=19.10万元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B598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7E5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4D5E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90A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1D8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95B00">
            <w:pPr>
              <w:jc w:val="center"/>
            </w:pPr>
            <w:r>
              <w:rPr>
                <w:rFonts w:ascii="宋体" w:hAnsi="宋体" w:eastAsia="宋体"/>
                <w:sz w:val="16"/>
              </w:rPr>
              <w:t>=14.32万元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7F6E4">
            <w:pPr>
              <w:jc w:val="center"/>
            </w:pPr>
            <w:r>
              <w:rPr>
                <w:rFonts w:ascii="宋体" w:hAnsi="宋体" w:eastAsia="宋体"/>
                <w:sz w:val="16"/>
              </w:rPr>
              <w:t>7.48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5ADDD">
            <w:pPr>
              <w:jc w:val="center"/>
            </w:pPr>
            <w:r>
              <w:rPr>
                <w:rFonts w:ascii="宋体" w:hAnsi="宋体" w:eastAsia="宋体"/>
                <w:sz w:val="16"/>
              </w:rPr>
              <w:t>偏差原因为：以节约项目资金为前提，减少办公经费支出。采取的措施是减少办公经费支出，厉行勤俭节约。</w:t>
            </w:r>
          </w:p>
        </w:tc>
      </w:tr>
      <w:tr w14:paraId="1D43F0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11F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E66A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CF32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EC63B">
            <w:pPr>
              <w:jc w:val="center"/>
            </w:pPr>
            <w:r>
              <w:rPr>
                <w:rFonts w:ascii="宋体" w:hAnsi="宋体" w:eastAsia="宋体"/>
                <w:sz w:val="16"/>
              </w:rPr>
              <w:t>保障单位正常运转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617E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2C2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BF2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A230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E3AC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D30C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12D3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02BB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E7318">
            <w:pPr>
              <w:jc w:val="center"/>
            </w:pPr>
          </w:p>
        </w:tc>
      </w:tr>
      <w:tr w14:paraId="7214EE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605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2E9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2EDD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04EB7">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053E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D32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7D8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A71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B4A0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7DCA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8F32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93F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5B5C2">
            <w:pPr>
              <w:jc w:val="center"/>
            </w:pPr>
          </w:p>
        </w:tc>
      </w:tr>
      <w:tr w14:paraId="4F7B999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1F965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04AE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F35FA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6875C">
            <w:pPr>
              <w:jc w:val="center"/>
            </w:pPr>
            <w:r>
              <w:rPr>
                <w:rFonts w:ascii="宋体" w:hAnsi="宋体" w:eastAsia="宋体"/>
                <w:sz w:val="16"/>
              </w:rPr>
              <w:t>81.22分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FE0A2CD"/>
        </w:tc>
      </w:tr>
    </w:tbl>
    <w:p w14:paraId="4DB8A5A4">
      <w:r>
        <w:br w:type="page"/>
      </w:r>
    </w:p>
    <w:p w14:paraId="1CC45C3F">
      <w:pPr>
        <w:spacing w:line="640" w:lineRule="exact"/>
        <w:ind w:firstLine="640"/>
        <w:jc w:val="both"/>
        <w:outlineLvl w:val="2"/>
      </w:pPr>
      <w:r>
        <w:rPr>
          <w:rFonts w:ascii="黑体" w:hAnsi="黑体" w:eastAsia="黑体"/>
          <w:sz w:val="32"/>
        </w:rPr>
        <w:t>十二、其他需说明的事项</w:t>
      </w:r>
    </w:p>
    <w:p w14:paraId="2968ED1E">
      <w:pPr>
        <w:spacing w:line="580" w:lineRule="exact"/>
        <w:ind w:firstLine="640"/>
        <w:jc w:val="both"/>
      </w:pPr>
      <w:r>
        <w:rPr>
          <w:rFonts w:ascii="仿宋_GB2312" w:hAnsi="仿宋_GB2312" w:eastAsia="仿宋_GB2312"/>
          <w:b w:val="0"/>
          <w:sz w:val="32"/>
        </w:rPr>
        <w:t>本单位无其他需说明的事项。</w:t>
      </w:r>
    </w:p>
    <w:p w14:paraId="0FEE2D6D">
      <w:r>
        <w:br w:type="page"/>
      </w:r>
    </w:p>
    <w:p w14:paraId="4D23476D">
      <w:pPr>
        <w:spacing w:line="240" w:lineRule="auto"/>
        <w:jc w:val="center"/>
        <w:outlineLvl w:val="1"/>
      </w:pPr>
      <w:r>
        <w:rPr>
          <w:rFonts w:ascii="黑体" w:hAnsi="黑体" w:eastAsia="黑体"/>
          <w:sz w:val="32"/>
        </w:rPr>
        <w:t>第三部分 专业名词解释</w:t>
      </w:r>
    </w:p>
    <w:p w14:paraId="3111A1E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7B9153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B8FCBF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A567F0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F49ADA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61602C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E7BEA4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F7ED6C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CD7E91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58BC25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6D1362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2432A7E">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88B853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1C4D41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EA326D2">
      <w:r>
        <w:br w:type="page"/>
      </w:r>
    </w:p>
    <w:p w14:paraId="3F66D368">
      <w:pPr>
        <w:spacing w:line="240" w:lineRule="auto"/>
        <w:jc w:val="center"/>
        <w:outlineLvl w:val="1"/>
      </w:pPr>
      <w:r>
        <w:rPr>
          <w:rFonts w:ascii="黑体" w:hAnsi="黑体" w:eastAsia="黑体"/>
          <w:sz w:val="32"/>
        </w:rPr>
        <w:t>第四部分 部门决算报表（见附表）</w:t>
      </w:r>
    </w:p>
    <w:p w14:paraId="0AD8EF88">
      <w:pPr>
        <w:spacing w:line="240" w:lineRule="auto"/>
        <w:ind w:firstLine="640"/>
        <w:jc w:val="both"/>
      </w:pPr>
      <w:r>
        <w:rPr>
          <w:rFonts w:ascii="仿宋_GB2312" w:hAnsi="仿宋_GB2312" w:eastAsia="仿宋_GB2312"/>
          <w:b w:val="0"/>
          <w:sz w:val="32"/>
        </w:rPr>
        <w:t>一、《收入支出决算总表》</w:t>
      </w:r>
    </w:p>
    <w:p w14:paraId="60BD4812">
      <w:pPr>
        <w:spacing w:line="240" w:lineRule="auto"/>
        <w:ind w:firstLine="640"/>
        <w:jc w:val="both"/>
      </w:pPr>
      <w:r>
        <w:rPr>
          <w:rFonts w:ascii="仿宋_GB2312" w:hAnsi="仿宋_GB2312" w:eastAsia="仿宋_GB2312"/>
          <w:b w:val="0"/>
          <w:sz w:val="32"/>
        </w:rPr>
        <w:t>二、《收入决算表》</w:t>
      </w:r>
    </w:p>
    <w:p w14:paraId="63A64FA9">
      <w:pPr>
        <w:spacing w:line="240" w:lineRule="auto"/>
        <w:ind w:firstLine="640"/>
        <w:jc w:val="both"/>
      </w:pPr>
      <w:r>
        <w:rPr>
          <w:rFonts w:ascii="仿宋_GB2312" w:hAnsi="仿宋_GB2312" w:eastAsia="仿宋_GB2312"/>
          <w:b w:val="0"/>
          <w:sz w:val="32"/>
        </w:rPr>
        <w:t>三、《支出决算表》</w:t>
      </w:r>
    </w:p>
    <w:p w14:paraId="3F62057E">
      <w:pPr>
        <w:spacing w:line="240" w:lineRule="auto"/>
        <w:ind w:firstLine="640"/>
        <w:jc w:val="both"/>
      </w:pPr>
      <w:r>
        <w:rPr>
          <w:rFonts w:ascii="仿宋_GB2312" w:hAnsi="仿宋_GB2312" w:eastAsia="仿宋_GB2312"/>
          <w:b w:val="0"/>
          <w:sz w:val="32"/>
        </w:rPr>
        <w:t>四、《财政拨款收入支出决算总表》</w:t>
      </w:r>
    </w:p>
    <w:p w14:paraId="45E170A5">
      <w:pPr>
        <w:spacing w:line="240" w:lineRule="auto"/>
        <w:ind w:firstLine="640"/>
        <w:jc w:val="both"/>
      </w:pPr>
      <w:r>
        <w:rPr>
          <w:rFonts w:ascii="仿宋_GB2312" w:hAnsi="仿宋_GB2312" w:eastAsia="仿宋_GB2312"/>
          <w:b w:val="0"/>
          <w:sz w:val="32"/>
        </w:rPr>
        <w:t>五、《一般公共预算财政拨款支出决算表》</w:t>
      </w:r>
    </w:p>
    <w:p w14:paraId="5A581FC9">
      <w:pPr>
        <w:spacing w:line="240" w:lineRule="auto"/>
        <w:ind w:firstLine="640"/>
        <w:jc w:val="both"/>
      </w:pPr>
      <w:r>
        <w:rPr>
          <w:rFonts w:ascii="仿宋_GB2312" w:hAnsi="仿宋_GB2312" w:eastAsia="仿宋_GB2312"/>
          <w:b w:val="0"/>
          <w:sz w:val="32"/>
        </w:rPr>
        <w:t>六、《一般公共预算财政拨款基本支出决算表》</w:t>
      </w:r>
    </w:p>
    <w:p w14:paraId="41452830">
      <w:pPr>
        <w:spacing w:line="240" w:lineRule="auto"/>
        <w:ind w:firstLine="640"/>
        <w:jc w:val="both"/>
      </w:pPr>
      <w:r>
        <w:rPr>
          <w:rFonts w:ascii="仿宋_GB2312" w:hAnsi="仿宋_GB2312" w:eastAsia="仿宋_GB2312"/>
          <w:b w:val="0"/>
          <w:sz w:val="32"/>
        </w:rPr>
        <w:t>七、《政府性基金预算财政拨款收入支出决算表》</w:t>
      </w:r>
    </w:p>
    <w:p w14:paraId="0FC80C8A">
      <w:pPr>
        <w:spacing w:line="240" w:lineRule="auto"/>
        <w:ind w:firstLine="640"/>
        <w:jc w:val="both"/>
      </w:pPr>
      <w:r>
        <w:rPr>
          <w:rFonts w:ascii="仿宋_GB2312" w:hAnsi="仿宋_GB2312" w:eastAsia="仿宋_GB2312"/>
          <w:b w:val="0"/>
          <w:sz w:val="32"/>
        </w:rPr>
        <w:t>八、《国有资本经营预算财政拨款收入支出决算表》</w:t>
      </w:r>
    </w:p>
    <w:p w14:paraId="5D8DC4D0">
      <w:pPr>
        <w:spacing w:line="240" w:lineRule="auto"/>
        <w:ind w:firstLine="640"/>
        <w:jc w:val="both"/>
      </w:pPr>
      <w:r>
        <w:rPr>
          <w:rFonts w:ascii="仿宋_GB2312" w:hAnsi="仿宋_GB2312" w:eastAsia="仿宋_GB2312"/>
          <w:b w:val="0"/>
          <w:sz w:val="32"/>
        </w:rPr>
        <w:t>九、《财政拨款“三公”经费支出决算表》</w:t>
      </w:r>
    </w:p>
    <w:p w14:paraId="070DDE93">
      <w:pPr>
        <w:spacing w:line="240" w:lineRule="auto"/>
        <w:ind w:firstLine="640"/>
        <w:jc w:val="both"/>
      </w:pPr>
    </w:p>
    <w:p w14:paraId="02BC010F">
      <w:pPr>
        <w:spacing w:line="240" w:lineRule="auto"/>
        <w:ind w:firstLine="640"/>
        <w:jc w:val="both"/>
      </w:pPr>
    </w:p>
    <w:p w14:paraId="7E5FB7F5">
      <w:pPr>
        <w:spacing w:line="240" w:lineRule="auto"/>
        <w:ind w:firstLine="640"/>
        <w:jc w:val="both"/>
      </w:pPr>
    </w:p>
    <w:p w14:paraId="398DC533">
      <w:pPr>
        <w:spacing w:line="240" w:lineRule="auto"/>
        <w:ind w:firstLine="640"/>
        <w:jc w:val="both"/>
      </w:pPr>
    </w:p>
    <w:p w14:paraId="68EEB72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F2163D0-ED9E-4978-A630-08E1708564E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77063BAE-E864-419B-8E14-C300CE6C0164}"/>
  </w:font>
  <w:font w:name="仿宋_GB2312">
    <w:panose1 w:val="02010609030101010101"/>
    <w:charset w:val="86"/>
    <w:family w:val="modern"/>
    <w:pitch w:val="default"/>
    <w:sig w:usb0="00000001" w:usb1="080E0000" w:usb2="00000000" w:usb3="00000000" w:csb0="00040000" w:csb1="00000000"/>
    <w:embedRegular r:id="rId3" w:fontKey="{04F1C5DE-DD13-4795-BB8F-98F1AAD23E94}"/>
  </w:font>
  <w:font w:name="楷体_GB2312">
    <w:panose1 w:val="02010609030101010101"/>
    <w:charset w:val="86"/>
    <w:family w:val="auto"/>
    <w:pitch w:val="default"/>
    <w:sig w:usb0="00000001" w:usb1="080E0000" w:usb2="00000000" w:usb3="00000000" w:csb0="00040000" w:csb1="00000000"/>
    <w:embedRegular r:id="rId4" w:fontKey="{1141BAC5-56FF-432D-8694-F3849DFA177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9B6785"/>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6EB307AD"/>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8187</Words>
  <Characters>9539</Characters>
  <Lines>0</Lines>
  <Paragraphs>0</Paragraphs>
  <TotalTime>18</TotalTime>
  <ScaleCrop>false</ScaleCrop>
  <LinksUpToDate>false</LinksUpToDate>
  <CharactersWithSpaces>9547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2025-09-30T03:27:05Z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