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731CAB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叶城县吐古其乡人民政府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7C65989">
      <w:r>
        <w:br w:type="page"/>
      </w:r>
    </w:p>
    <w:p w14:paraId="1BF8BC83">
      <w:pPr>
        <w:spacing w:line="640" w:lineRule="exact"/>
        <w:jc w:val="center"/>
        <w:outlineLvl w:val="1"/>
      </w:pPr>
      <w:r>
        <w:rPr>
          <w:rFonts w:ascii="黑体" w:hAnsi="黑体" w:eastAsia="黑体"/>
          <w:sz w:val="32"/>
        </w:rPr>
        <w:t>第一部分 单位概况</w:t>
      </w:r>
    </w:p>
    <w:p w14:paraId="3A40DBBC">
      <w:pPr>
        <w:spacing w:line="640" w:lineRule="exact"/>
        <w:ind w:firstLine="640"/>
        <w:jc w:val="both"/>
        <w:outlineLvl w:val="2"/>
      </w:pPr>
      <w:r>
        <w:rPr>
          <w:rFonts w:ascii="黑体" w:hAnsi="黑体" w:eastAsia="黑体"/>
          <w:sz w:val="32"/>
        </w:rPr>
        <w:t>一、主要职能</w:t>
      </w:r>
    </w:p>
    <w:p w14:paraId="06C62558">
      <w:pPr>
        <w:spacing w:line="580" w:lineRule="exact"/>
        <w:ind w:firstLine="640"/>
        <w:jc w:val="both"/>
      </w:pPr>
      <w:r>
        <w:rPr>
          <w:rFonts w:ascii="仿宋_GB2312" w:hAnsi="仿宋_GB2312" w:eastAsia="仿宋_GB2312"/>
          <w:sz w:val="32"/>
        </w:rPr>
        <w:t>作为乡镇党政机关，其主要职能为：负责全乡党政行政管理事务坚决贯彻县委、县人民政府各项指示，负责全乡经济社会发展、社会事务管理、基层组织建设等全面工作。以乡村振兴为引领实现社会发展“总目标”，不断铸牢全乡经济社会发展基础，为全乡各族群众提供社会服务。</w:t>
      </w:r>
    </w:p>
    <w:p w14:paraId="057DDCFE">
      <w:pPr>
        <w:spacing w:line="640" w:lineRule="exact"/>
        <w:ind w:firstLine="640"/>
        <w:jc w:val="both"/>
        <w:outlineLvl w:val="2"/>
      </w:pPr>
      <w:r>
        <w:rPr>
          <w:rFonts w:ascii="黑体" w:hAnsi="黑体" w:eastAsia="黑体"/>
          <w:sz w:val="32"/>
        </w:rPr>
        <w:t>二、机构设置及人员情况</w:t>
      </w:r>
    </w:p>
    <w:p w14:paraId="3DE598D2">
      <w:pPr>
        <w:spacing w:line="580" w:lineRule="exact"/>
        <w:ind w:firstLine="640"/>
        <w:jc w:val="both"/>
      </w:pPr>
      <w:r>
        <w:rPr>
          <w:rFonts w:ascii="仿宋_GB2312" w:hAnsi="仿宋_GB2312" w:eastAsia="仿宋_GB2312"/>
          <w:sz w:val="32"/>
        </w:rPr>
        <w:t>叶城县吐古其乡人民政府2024年度，实有人数121人，其中：在职人员103人，减少7人；离休人员0人，增加0人；退休人员18人,增加6人。</w:t>
      </w:r>
    </w:p>
    <w:p w14:paraId="144E34FB">
      <w:pPr>
        <w:spacing w:line="580" w:lineRule="exact"/>
        <w:ind w:firstLine="640"/>
        <w:jc w:val="both"/>
      </w:pPr>
      <w:r>
        <w:rPr>
          <w:rFonts w:ascii="仿宋_GB2312" w:hAnsi="仿宋_GB2312" w:eastAsia="仿宋_GB2312"/>
          <w:sz w:val="32"/>
        </w:rPr>
        <w:t>叶城县吐古其乡人民政府无下属预算单位，下设5个科室，分别是：党政办、社会事务办、综治办、党建办、经济发展办。</w:t>
      </w:r>
    </w:p>
    <w:p w14:paraId="5C49B8FD">
      <w:r>
        <w:br w:type="page"/>
      </w:r>
    </w:p>
    <w:p w14:paraId="24A3EFA0">
      <w:pPr>
        <w:spacing w:line="240" w:lineRule="auto"/>
        <w:jc w:val="center"/>
        <w:outlineLvl w:val="1"/>
      </w:pPr>
      <w:r>
        <w:rPr>
          <w:rFonts w:ascii="黑体" w:hAnsi="黑体" w:eastAsia="黑体"/>
          <w:sz w:val="32"/>
        </w:rPr>
        <w:t>第二部分 部门决算情况说明</w:t>
      </w:r>
    </w:p>
    <w:p w14:paraId="2D2CC806">
      <w:pPr>
        <w:spacing w:line="640" w:lineRule="exact"/>
        <w:ind w:firstLine="640"/>
        <w:jc w:val="both"/>
        <w:outlineLvl w:val="2"/>
      </w:pPr>
      <w:r>
        <w:rPr>
          <w:rFonts w:ascii="黑体" w:hAnsi="黑体" w:eastAsia="黑体"/>
          <w:sz w:val="32"/>
        </w:rPr>
        <w:t>一、收入支出决算总体情况说明</w:t>
      </w:r>
    </w:p>
    <w:p w14:paraId="08C61B04">
      <w:pPr>
        <w:spacing w:line="580" w:lineRule="exact"/>
        <w:ind w:firstLine="640"/>
        <w:jc w:val="both"/>
      </w:pPr>
      <w:r>
        <w:rPr>
          <w:rFonts w:ascii="仿宋_GB2312" w:hAnsi="仿宋_GB2312" w:eastAsia="仿宋_GB2312"/>
          <w:b/>
          <w:sz w:val="32"/>
        </w:rPr>
        <w:t>2024年度收入总计12,621.43万元，</w:t>
      </w:r>
      <w:r>
        <w:rPr>
          <w:rFonts w:ascii="仿宋_GB2312" w:hAnsi="仿宋_GB2312" w:eastAsia="仿宋_GB2312"/>
          <w:b w:val="0"/>
          <w:sz w:val="32"/>
        </w:rPr>
        <w:t>其中：本年收入合计12,621.43万元，使用非财政拨款结余（含专用结余）0.00万元，年初结转和结余0.00万元。</w:t>
      </w:r>
    </w:p>
    <w:p w14:paraId="6E916A99">
      <w:pPr>
        <w:spacing w:line="580" w:lineRule="exact"/>
        <w:ind w:firstLine="640"/>
        <w:jc w:val="both"/>
      </w:pPr>
      <w:r>
        <w:rPr>
          <w:rFonts w:ascii="仿宋_GB2312" w:hAnsi="仿宋_GB2312" w:eastAsia="仿宋_GB2312"/>
          <w:b/>
          <w:sz w:val="32"/>
        </w:rPr>
        <w:t>2024年度支出总计12,621.43万元，</w:t>
      </w:r>
      <w:r>
        <w:rPr>
          <w:rFonts w:ascii="仿宋_GB2312" w:hAnsi="仿宋_GB2312" w:eastAsia="仿宋_GB2312"/>
          <w:b w:val="0"/>
          <w:sz w:val="32"/>
        </w:rPr>
        <w:t>其中：本年支出合计12,621.43万元，结余分配0.00万元，年末结转和结余0.00万元。</w:t>
      </w:r>
    </w:p>
    <w:p w14:paraId="2199F49E">
      <w:pPr>
        <w:spacing w:line="580" w:lineRule="exact"/>
        <w:ind w:firstLine="640"/>
        <w:jc w:val="both"/>
      </w:pPr>
      <w:r>
        <w:rPr>
          <w:rFonts w:ascii="仿宋_GB2312" w:hAnsi="仿宋_GB2312" w:eastAsia="仿宋_GB2312"/>
          <w:b w:val="0"/>
          <w:sz w:val="32"/>
        </w:rPr>
        <w:t>收入支出总体与上年相比，增加7,045.07万元，增长126.34%，主要原因是：本年增加叶城县2024年吐古其乡14村重点示范村乡村建设项目、温室大棚建设项目、叶城县2024年吐古其乡土地碎片化整理项目、叶城县2024年吐古其乡高效节水设施配套项目、新疆煤改电二期工程补助第二标段项目、叶城县吐古其乡8村、吐古其乡2村农村综合改革项目。</w:t>
      </w:r>
    </w:p>
    <w:p w14:paraId="3F61826D">
      <w:pPr>
        <w:spacing w:line="640" w:lineRule="exact"/>
        <w:ind w:firstLine="640"/>
        <w:jc w:val="both"/>
        <w:outlineLvl w:val="2"/>
      </w:pPr>
      <w:r>
        <w:rPr>
          <w:rFonts w:ascii="黑体" w:hAnsi="黑体" w:eastAsia="黑体"/>
          <w:sz w:val="32"/>
        </w:rPr>
        <w:t>二、收入决算情况说明</w:t>
      </w:r>
    </w:p>
    <w:p w14:paraId="1DE9D215">
      <w:pPr>
        <w:spacing w:line="580" w:lineRule="exact"/>
        <w:ind w:firstLine="640"/>
        <w:jc w:val="both"/>
      </w:pPr>
      <w:r>
        <w:rPr>
          <w:rFonts w:ascii="仿宋_GB2312" w:hAnsi="仿宋_GB2312" w:eastAsia="仿宋_GB2312"/>
          <w:b/>
          <w:sz w:val="32"/>
        </w:rPr>
        <w:t>本年收入12,621.43万元，</w:t>
      </w:r>
      <w:r>
        <w:rPr>
          <w:rFonts w:ascii="仿宋_GB2312" w:hAnsi="仿宋_GB2312" w:eastAsia="仿宋_GB2312"/>
          <w:b w:val="0"/>
          <w:sz w:val="32"/>
        </w:rPr>
        <w:t>其中：财政拨款收入12,592.64万元，占99.77%；上级补助收入0.00万元，占0.00%；事业收入0.00万元，占0.00%；经营收入0.00万元，占0.00%；附属单位上缴收入0.00万元，占0.00%；其他收入28.80万元，占0.23%。</w:t>
      </w:r>
    </w:p>
    <w:p w14:paraId="04526F07">
      <w:pPr>
        <w:spacing w:line="640" w:lineRule="exact"/>
        <w:ind w:firstLine="640"/>
        <w:jc w:val="both"/>
        <w:outlineLvl w:val="2"/>
      </w:pPr>
      <w:r>
        <w:rPr>
          <w:rFonts w:ascii="黑体" w:hAnsi="黑体" w:eastAsia="黑体"/>
          <w:sz w:val="32"/>
        </w:rPr>
        <w:t>三、支出决算情况说明</w:t>
      </w:r>
    </w:p>
    <w:p w14:paraId="1F9B482A">
      <w:pPr>
        <w:spacing w:line="580" w:lineRule="exact"/>
        <w:ind w:firstLine="640"/>
        <w:jc w:val="both"/>
      </w:pPr>
      <w:r>
        <w:rPr>
          <w:rFonts w:ascii="仿宋_GB2312" w:hAnsi="仿宋_GB2312" w:eastAsia="仿宋_GB2312"/>
          <w:b/>
          <w:sz w:val="32"/>
        </w:rPr>
        <w:t>本年支出12,621.43万元，</w:t>
      </w:r>
      <w:r>
        <w:rPr>
          <w:rFonts w:ascii="仿宋_GB2312" w:hAnsi="仿宋_GB2312" w:eastAsia="仿宋_GB2312"/>
          <w:b w:val="0"/>
          <w:sz w:val="32"/>
        </w:rPr>
        <w:t>其中：基本支出2,247.51万元，占17.81%；项目支出10,373.93万元，占82.19%；上缴上级支出0.00万元，占0.00%；经营支出0.00万元，占0.00%；对附属单位补助支出0.00万元，占0.00%。</w:t>
      </w:r>
    </w:p>
    <w:p w14:paraId="4941A02B">
      <w:pPr>
        <w:spacing w:line="640" w:lineRule="exact"/>
        <w:ind w:firstLine="640"/>
        <w:jc w:val="both"/>
        <w:outlineLvl w:val="2"/>
      </w:pPr>
      <w:r>
        <w:rPr>
          <w:rFonts w:ascii="黑体" w:hAnsi="黑体" w:eastAsia="黑体"/>
          <w:sz w:val="32"/>
        </w:rPr>
        <w:t>四、财政拨款收入支出决算总体情况说明</w:t>
      </w:r>
    </w:p>
    <w:p w14:paraId="714A7E12">
      <w:pPr>
        <w:spacing w:line="580" w:lineRule="exact"/>
        <w:ind w:firstLine="640"/>
        <w:jc w:val="both"/>
      </w:pPr>
      <w:r>
        <w:rPr>
          <w:rFonts w:ascii="仿宋_GB2312" w:hAnsi="仿宋_GB2312" w:eastAsia="仿宋_GB2312"/>
          <w:b/>
          <w:sz w:val="32"/>
        </w:rPr>
        <w:t>2024年度财政拨款收入总计12,592.64万元，</w:t>
      </w:r>
      <w:r>
        <w:rPr>
          <w:rFonts w:ascii="仿宋_GB2312" w:hAnsi="仿宋_GB2312" w:eastAsia="仿宋_GB2312"/>
          <w:b w:val="0"/>
          <w:sz w:val="32"/>
        </w:rPr>
        <w:t>其中：年初财政拨款结转和结余0.00万元，本年财政拨款收入12,592.64万元。</w:t>
      </w:r>
      <w:r>
        <w:rPr>
          <w:rFonts w:ascii="仿宋_GB2312" w:hAnsi="仿宋_GB2312" w:eastAsia="仿宋_GB2312"/>
          <w:b/>
          <w:sz w:val="32"/>
        </w:rPr>
        <w:t>财政拨款支出总计12,592.64万元，</w:t>
      </w:r>
      <w:r>
        <w:rPr>
          <w:rFonts w:ascii="仿宋_GB2312" w:hAnsi="仿宋_GB2312" w:eastAsia="仿宋_GB2312"/>
          <w:b w:val="0"/>
          <w:sz w:val="32"/>
        </w:rPr>
        <w:t>其中：年末财政拨款结转和结余0.00万元，本年财政拨款支出12,592.64万元。</w:t>
      </w:r>
    </w:p>
    <w:p w14:paraId="4CB507F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7,017.32万元，增长125.86%，主要原因是：本年增加叶城县2024年吐古其乡14村重点示范村乡村建设项目、温室大棚建设项目、叶城县2024年吐古其乡土地碎片化整理项目、叶城县2024年吐古其乡高效节水设施配套项目、新疆煤改电二期工程补助第二标段项目、叶城县吐古其乡8村、吐古其乡2村农村综合改革项目。</w:t>
      </w:r>
      <w:r>
        <w:rPr>
          <w:rFonts w:ascii="仿宋_GB2312" w:hAnsi="仿宋_GB2312" w:eastAsia="仿宋_GB2312"/>
          <w:b/>
          <w:sz w:val="32"/>
        </w:rPr>
        <w:t>与年初预算相比，</w:t>
      </w:r>
      <w:r>
        <w:rPr>
          <w:rFonts w:ascii="仿宋_GB2312" w:hAnsi="仿宋_GB2312" w:eastAsia="仿宋_GB2312"/>
          <w:b w:val="0"/>
          <w:sz w:val="32"/>
        </w:rPr>
        <w:t>年初预算数2,484.72万元，决算数12,592.64万元，预决算差异率406.80%，主要原因是：年中追加人员工资、社保、公积金基数调增部分资金及叶城县2024年吐古其乡种植业基地配套建设项目、叶城县2024年吐古其乡示范村建设项目、叶城县吐古温室大棚等项目，导致预决算存在差异。</w:t>
      </w:r>
    </w:p>
    <w:p w14:paraId="6F6391C6">
      <w:pPr>
        <w:spacing w:line="640" w:lineRule="exact"/>
        <w:ind w:firstLine="640"/>
        <w:jc w:val="both"/>
        <w:outlineLvl w:val="2"/>
      </w:pPr>
      <w:r>
        <w:rPr>
          <w:rFonts w:ascii="黑体" w:hAnsi="黑体" w:eastAsia="黑体"/>
          <w:sz w:val="32"/>
        </w:rPr>
        <w:t>五、一般公共预算财政拨款支出决算情况说明</w:t>
      </w:r>
    </w:p>
    <w:p w14:paraId="5997D4E3">
      <w:pPr>
        <w:spacing w:line="640" w:lineRule="exact"/>
        <w:ind w:firstLine="640"/>
        <w:jc w:val="both"/>
        <w:outlineLvl w:val="3"/>
      </w:pPr>
      <w:r>
        <w:rPr>
          <w:rFonts w:ascii="楷体_GB2312" w:hAnsi="楷体_GB2312" w:eastAsia="楷体_GB2312"/>
          <w:b/>
          <w:sz w:val="32"/>
        </w:rPr>
        <w:t>（一）一般公共预算财政拨款支出决算总体情况</w:t>
      </w:r>
    </w:p>
    <w:p w14:paraId="4A05507D">
      <w:pPr>
        <w:spacing w:line="580" w:lineRule="exact"/>
        <w:ind w:firstLine="640"/>
        <w:jc w:val="both"/>
      </w:pPr>
      <w:r>
        <w:rPr>
          <w:rFonts w:ascii="仿宋_GB2312" w:hAnsi="仿宋_GB2312" w:eastAsia="仿宋_GB2312"/>
          <w:b/>
          <w:sz w:val="32"/>
        </w:rPr>
        <w:t>2024年度一般公共预算财政拨款支出12,592.64万元，</w:t>
      </w:r>
      <w:r>
        <w:rPr>
          <w:rFonts w:ascii="仿宋_GB2312" w:hAnsi="仿宋_GB2312" w:eastAsia="仿宋_GB2312"/>
          <w:b w:val="0"/>
          <w:sz w:val="32"/>
        </w:rPr>
        <w:t>占本年支出合计的99.77%。</w:t>
      </w:r>
      <w:r>
        <w:rPr>
          <w:rFonts w:ascii="仿宋_GB2312" w:hAnsi="仿宋_GB2312" w:eastAsia="仿宋_GB2312"/>
          <w:b/>
          <w:sz w:val="32"/>
        </w:rPr>
        <w:t>与上年相比，</w:t>
      </w:r>
      <w:r>
        <w:rPr>
          <w:rFonts w:ascii="仿宋_GB2312" w:hAnsi="仿宋_GB2312" w:eastAsia="仿宋_GB2312"/>
          <w:b w:val="0"/>
          <w:sz w:val="32"/>
        </w:rPr>
        <w:t>增加7,017.32万元，增长125.86%，主要原因是：本年增加叶城县2024年吐古其乡14村重点示范村乡村建设项目、温室大棚建设项目、叶城县2024年吐古其乡土地碎片化整理项目、叶城县2024年吐古其乡高效节水设施配套项目、新疆煤改电二期工程补助第二标段项目、叶城县吐古其乡8村、吐古其乡2村农村综合改革项目。</w:t>
      </w:r>
      <w:r>
        <w:rPr>
          <w:rFonts w:ascii="仿宋_GB2312" w:hAnsi="仿宋_GB2312" w:eastAsia="仿宋_GB2312"/>
          <w:b/>
          <w:sz w:val="32"/>
        </w:rPr>
        <w:t>与年初预算相比,</w:t>
      </w:r>
      <w:r>
        <w:rPr>
          <w:rFonts w:ascii="仿宋_GB2312" w:hAnsi="仿宋_GB2312" w:eastAsia="仿宋_GB2312"/>
          <w:b w:val="0"/>
          <w:sz w:val="32"/>
        </w:rPr>
        <w:t>年初预算数2,484.72万元，决算数12,592.64万元，预决算差异率406.80%，主要原因是：年中追加人员工资、社保、公积金基数调增部分资金及叶城县2024年吐古其乡种植业基地配套建设项目、叶城县2024年吐古其乡示范村建设项目、叶城县吐古温室大棚等项目，导致预决算存在差异。</w:t>
      </w:r>
    </w:p>
    <w:p w14:paraId="6AF82FB9">
      <w:pPr>
        <w:spacing w:line="640" w:lineRule="exact"/>
        <w:ind w:firstLine="640"/>
        <w:jc w:val="both"/>
        <w:outlineLvl w:val="3"/>
      </w:pPr>
      <w:r>
        <w:rPr>
          <w:rFonts w:ascii="楷体_GB2312" w:hAnsi="楷体_GB2312" w:eastAsia="楷体_GB2312"/>
          <w:b/>
          <w:sz w:val="32"/>
        </w:rPr>
        <w:t>（二）一般公共预算财政拨款支出决算结构情况</w:t>
      </w:r>
    </w:p>
    <w:p w14:paraId="4016DD9B">
      <w:pPr>
        <w:spacing w:line="580" w:lineRule="exact"/>
        <w:ind w:firstLine="640"/>
        <w:jc w:val="both"/>
      </w:pPr>
      <w:r>
        <w:rPr>
          <w:rFonts w:ascii="仿宋_GB2312" w:hAnsi="仿宋_GB2312" w:eastAsia="仿宋_GB2312"/>
          <w:b w:val="0"/>
          <w:sz w:val="32"/>
        </w:rPr>
        <w:t>1.一般公共服务支出(类)1,954.97万元,占15.52%。</w:t>
      </w:r>
    </w:p>
    <w:p w14:paraId="0EF88283">
      <w:pPr>
        <w:spacing w:line="580" w:lineRule="exact"/>
        <w:ind w:firstLine="640"/>
        <w:jc w:val="both"/>
      </w:pPr>
      <w:r>
        <w:rPr>
          <w:rFonts w:ascii="仿宋_GB2312" w:hAnsi="仿宋_GB2312" w:eastAsia="仿宋_GB2312"/>
          <w:b w:val="0"/>
          <w:sz w:val="32"/>
        </w:rPr>
        <w:t>2.公共安全支出(类)5.50万元,占0.04%。</w:t>
      </w:r>
    </w:p>
    <w:p w14:paraId="03CCD02E">
      <w:pPr>
        <w:spacing w:line="580" w:lineRule="exact"/>
        <w:ind w:firstLine="640"/>
        <w:jc w:val="both"/>
      </w:pPr>
      <w:r>
        <w:rPr>
          <w:rFonts w:ascii="仿宋_GB2312" w:hAnsi="仿宋_GB2312" w:eastAsia="仿宋_GB2312"/>
          <w:b w:val="0"/>
          <w:sz w:val="32"/>
        </w:rPr>
        <w:t>3.文化旅游体育与传媒支出(类)3.92万元,占0.03%。</w:t>
      </w:r>
    </w:p>
    <w:p w14:paraId="7D5B9F4B">
      <w:pPr>
        <w:spacing w:line="580" w:lineRule="exact"/>
        <w:ind w:firstLine="640"/>
        <w:jc w:val="both"/>
      </w:pPr>
      <w:r>
        <w:rPr>
          <w:rFonts w:ascii="仿宋_GB2312" w:hAnsi="仿宋_GB2312" w:eastAsia="仿宋_GB2312"/>
          <w:b w:val="0"/>
          <w:sz w:val="32"/>
        </w:rPr>
        <w:t>4.社会保障和就业支出(类)266.34万元,占2.12%。</w:t>
      </w:r>
    </w:p>
    <w:p w14:paraId="64A0E443">
      <w:pPr>
        <w:spacing w:line="580" w:lineRule="exact"/>
        <w:ind w:firstLine="640"/>
        <w:jc w:val="both"/>
      </w:pPr>
      <w:r>
        <w:rPr>
          <w:rFonts w:ascii="仿宋_GB2312" w:hAnsi="仿宋_GB2312" w:eastAsia="仿宋_GB2312"/>
          <w:b w:val="0"/>
          <w:sz w:val="32"/>
        </w:rPr>
        <w:t>5.卫生健康支出(类)117.27万元,占0.93%。</w:t>
      </w:r>
    </w:p>
    <w:p w14:paraId="1995402B">
      <w:pPr>
        <w:spacing w:line="580" w:lineRule="exact"/>
        <w:ind w:firstLine="640"/>
        <w:jc w:val="both"/>
      </w:pPr>
      <w:r>
        <w:rPr>
          <w:rFonts w:ascii="仿宋_GB2312" w:hAnsi="仿宋_GB2312" w:eastAsia="仿宋_GB2312"/>
          <w:b w:val="0"/>
          <w:sz w:val="32"/>
        </w:rPr>
        <w:t>6.节能环保支出(类)818.19万元,占6.50%。</w:t>
      </w:r>
    </w:p>
    <w:p w14:paraId="1874E28A">
      <w:pPr>
        <w:spacing w:line="580" w:lineRule="exact"/>
        <w:ind w:firstLine="640"/>
        <w:jc w:val="both"/>
      </w:pPr>
      <w:r>
        <w:rPr>
          <w:rFonts w:ascii="仿宋_GB2312" w:hAnsi="仿宋_GB2312" w:eastAsia="仿宋_GB2312"/>
          <w:b w:val="0"/>
          <w:sz w:val="32"/>
        </w:rPr>
        <w:t>7.农林水支出(类)9,249.79万元,占73.45%。</w:t>
      </w:r>
    </w:p>
    <w:p w14:paraId="4472D146">
      <w:pPr>
        <w:spacing w:line="580" w:lineRule="exact"/>
        <w:ind w:firstLine="640"/>
        <w:jc w:val="both"/>
      </w:pPr>
      <w:r>
        <w:rPr>
          <w:rFonts w:ascii="仿宋_GB2312" w:hAnsi="仿宋_GB2312" w:eastAsia="仿宋_GB2312"/>
          <w:b w:val="0"/>
          <w:sz w:val="32"/>
        </w:rPr>
        <w:t>8.交通运输支出(类)0.12万元,占0.001%。</w:t>
      </w:r>
    </w:p>
    <w:p w14:paraId="6DD5B344">
      <w:pPr>
        <w:spacing w:line="580" w:lineRule="exact"/>
        <w:ind w:firstLine="640"/>
        <w:jc w:val="both"/>
      </w:pPr>
      <w:r>
        <w:rPr>
          <w:rFonts w:ascii="仿宋_GB2312" w:hAnsi="仿宋_GB2312" w:eastAsia="仿宋_GB2312"/>
          <w:b w:val="0"/>
          <w:sz w:val="32"/>
        </w:rPr>
        <w:t>9.住房保障支出(类)176.53万元,占1.40%。</w:t>
      </w:r>
    </w:p>
    <w:p w14:paraId="40EB899B">
      <w:pPr>
        <w:spacing w:line="640" w:lineRule="exact"/>
        <w:ind w:firstLine="640"/>
        <w:jc w:val="both"/>
        <w:outlineLvl w:val="3"/>
      </w:pPr>
      <w:r>
        <w:rPr>
          <w:rFonts w:ascii="楷体_GB2312" w:hAnsi="楷体_GB2312" w:eastAsia="楷体_GB2312"/>
          <w:b/>
          <w:sz w:val="32"/>
        </w:rPr>
        <w:t>（三）一般公共预算财政拨款支出决算具体情况</w:t>
      </w:r>
    </w:p>
    <w:p w14:paraId="4FA873DB">
      <w:pPr>
        <w:spacing w:line="580" w:lineRule="exact"/>
        <w:ind w:firstLine="640"/>
        <w:jc w:val="both"/>
      </w:pPr>
      <w:r>
        <w:rPr>
          <w:rFonts w:ascii="仿宋_GB2312" w:hAnsi="仿宋_GB2312" w:eastAsia="仿宋_GB2312"/>
          <w:b w:val="0"/>
          <w:sz w:val="32"/>
        </w:rPr>
        <w:t>1.一般公共服务支出(类)人大事务(款)代表工作(项):支出决算数为0.40万元，比上年决算减少3.72万元，下降90.29%,主要原因是：本年减少人大经费支出。</w:t>
      </w:r>
    </w:p>
    <w:p w14:paraId="1FCD4D8E">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2.一般公共服务支出(类)人大事务(款)其他人大事务支出(项):支出决算数为0.00万元，比上年决算减少2.03万元，下降100.00%,主要原因是：本年减少自治区人大活动经费项目。</w:t>
      </w:r>
    </w:p>
    <w:p w14:paraId="1F797493">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3.一般公共服务支出(类)政府办公厅（室）及相关机构事务(款)行政运行(项):支出决算数为1,692.36万元，比上年决算减少99.73万元，下降5.57%,主要原因是：本年在职人员减少，相关人员经费支出减少。</w:t>
      </w:r>
    </w:p>
    <w:p w14:paraId="1DC15EC7">
      <w:pPr>
        <w:spacing w:line="580" w:lineRule="exact"/>
        <w:ind w:firstLine="640"/>
        <w:jc w:val="both"/>
      </w:pPr>
      <w:r>
        <w:rPr>
          <w:rFonts w:ascii="仿宋_GB2312" w:hAnsi="仿宋_GB2312" w:eastAsia="仿宋_GB2312"/>
          <w:b w:val="0"/>
          <w:sz w:val="32"/>
        </w:rPr>
        <w:t>4.一般公共服务支出(类)政府办公厅（室）及相关机构事务(款)一般行政管理事务(项):支出决算数为28.90万元，比上年决算减少5.94万元，下降17.05%,主要原因是：本年乡镇工作经费项目资金减少。</w:t>
      </w:r>
    </w:p>
    <w:p w14:paraId="115159D0">
      <w:pPr>
        <w:spacing w:line="580" w:lineRule="exact"/>
        <w:ind w:firstLine="640"/>
        <w:jc w:val="both"/>
      </w:pPr>
      <w:r>
        <w:rPr>
          <w:rFonts w:ascii="仿宋_GB2312" w:hAnsi="仿宋_GB2312" w:eastAsia="仿宋_GB2312"/>
          <w:b w:val="0"/>
          <w:sz w:val="32"/>
        </w:rPr>
        <w:t>5.一般公共服务支出(类)纪检监察事务(款)行政运行(项):支出决算数为0.00万元，比上年决算减少6.05万元，下降100.00%,主要原因是：本年功能科目调整，行政运行安排的医疗保险缴费上年度单独列支，本年在主科目列支，导致经费较上年减少。</w:t>
      </w:r>
    </w:p>
    <w:p w14:paraId="22198973">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6.一般公共服务支出(类)纪检监察事务(款)其他纪检监察事务支出(项):支出决算数为2.00万元，比上年决算增加1.00万元，增长100.00%,主要原因是：本年度增加纪检经费。</w:t>
      </w:r>
    </w:p>
    <w:p w14:paraId="3F9F8B81">
      <w:pPr>
        <w:spacing w:line="580" w:lineRule="exact"/>
        <w:ind w:firstLine="640"/>
        <w:jc w:val="both"/>
      </w:pPr>
      <w:r>
        <w:rPr>
          <w:rFonts w:ascii="仿宋_GB2312" w:hAnsi="仿宋_GB2312" w:eastAsia="仿宋_GB2312"/>
          <w:b w:val="0"/>
          <w:sz w:val="32"/>
        </w:rPr>
        <w:t>7.一般公共服务支出(类)组织事务(款)其他组织事务支出(项):支出决算数为231.31万元，比上年决算增加74.37万元，增长47.39%,主要原因是：本年增加村运转经费支出。</w:t>
      </w:r>
    </w:p>
    <w:p w14:paraId="745443D6">
      <w:pPr>
        <w:spacing w:line="580" w:lineRule="exact"/>
        <w:ind w:firstLine="640"/>
        <w:jc w:val="both"/>
      </w:pPr>
      <w:r>
        <w:rPr>
          <w:rFonts w:ascii="仿宋_GB2312" w:hAnsi="仿宋_GB2312" w:eastAsia="仿宋_GB2312"/>
          <w:b w:val="0"/>
          <w:sz w:val="32"/>
        </w:rPr>
        <w:t>8.一般公共服务支出(类)统战事务(款)其他统战事务支出(项):支出决算数为0.00万元，比上年决算减少7.00万元，下降100.00%,主要原因是：本年减少宗朗乡2024年度管委会经费项目。</w:t>
      </w:r>
    </w:p>
    <w:p w14:paraId="5C3A313C">
      <w:pPr>
        <w:spacing w:line="580" w:lineRule="exact"/>
        <w:ind w:firstLine="640"/>
        <w:jc w:val="both"/>
      </w:pPr>
      <w:r>
        <w:rPr>
          <w:rFonts w:ascii="仿宋_GB2312" w:hAnsi="仿宋_GB2312" w:eastAsia="仿宋_GB2312"/>
          <w:b w:val="0"/>
          <w:sz w:val="32"/>
        </w:rPr>
        <w:t>9.公共安全支出(类)其他公共安全支出(款)其他公共安全支出(项):支出决算数为5.50万元，比上年决算减少4.50万元，下降45.00%,主要原因是：本年度减少乡镇信息奖励经费。</w:t>
      </w:r>
    </w:p>
    <w:p w14:paraId="7FA5C224">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10.文化旅游体育与传媒支出(类)文化和旅游(款)其他文化和旅游支出(项):支出决算数为0.00万元，比上年决算减少5.00万元，下降100.00%,主要原因是：本年减少文化站免费开放补助资金。</w:t>
      </w:r>
    </w:p>
    <w:p w14:paraId="38E95B9B">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3.92万元，比上年决算减少35.60万元，下降90.08%,主要原因是：本年中央补助地方公共服务体系建设补助资金较上年减少。</w:t>
      </w:r>
    </w:p>
    <w:p w14:paraId="6893E2E7">
      <w:pPr>
        <w:spacing w:line="580" w:lineRule="exact"/>
        <w:ind w:firstLine="640"/>
        <w:jc w:val="both"/>
      </w:pPr>
      <w:r>
        <w:rPr>
          <w:rFonts w:ascii="仿宋_GB2312" w:hAnsi="仿宋_GB2312" w:eastAsia="仿宋_GB2312"/>
          <w:b w:val="0"/>
          <w:sz w:val="32"/>
        </w:rPr>
        <w:t>12.社会保障和就业支出(类)民政管理事务(款)其他民政管理事务支出(项):支出决算数为5.00万元，比上年决算增加0.00万元，增长0.00%,主要原因是：本年自治区农村幸福大院补助资金支出与上年一致，无变化。</w:t>
      </w:r>
    </w:p>
    <w:p w14:paraId="4E93B6DF">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13.社会保障和就业支出(类)行政事业单位养老支出(款)行政单位离退休(项):支出决算数为17.79万元，比上年决算减少0.31万元，下降1.71%,主要原因是：本年减少退休人员生活补助经费，行政单位退休经费支出减少。</w:t>
      </w:r>
    </w:p>
    <w:p w14:paraId="1FBBC579">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225.12万元，比上年决算增加61.01万元，增长37.18%,主要原因是：本年在职人员工资基数调增，养老缴费基数上涨，相应支出增加。</w:t>
      </w:r>
    </w:p>
    <w:p w14:paraId="4920379B">
      <w:pPr>
        <w:spacing w:line="580" w:lineRule="exact"/>
        <w:ind w:firstLine="640"/>
        <w:jc w:val="both"/>
      </w:pPr>
      <w:r>
        <w:rPr>
          <w:rFonts w:ascii="仿宋_GB2312" w:hAnsi="仿宋_GB2312" w:eastAsia="仿宋_GB2312"/>
          <w:b w:val="0"/>
          <w:sz w:val="32"/>
        </w:rPr>
        <w:t>15.社会保障和就业支出(类)行政事业单位养老支出(款)机关事业单位职业年金缴费支出(项):支出决算数为18.43万元，比上年决算增加4.95万元，增长36.72%,主要原因是：本年新增退休人员，职业年金缴费支出增加。</w:t>
      </w:r>
    </w:p>
    <w:p w14:paraId="4CAEDBBD">
      <w:pPr>
        <w:spacing w:line="580" w:lineRule="exact"/>
        <w:ind w:firstLine="640"/>
        <w:jc w:val="both"/>
      </w:pPr>
      <w:r>
        <w:rPr>
          <w:rFonts w:ascii="仿宋_GB2312" w:hAnsi="仿宋_GB2312" w:eastAsia="仿宋_GB2312"/>
          <w:b w:val="0"/>
          <w:sz w:val="32"/>
        </w:rPr>
        <w:t>16.卫生健康支出(类)行政事业单位医疗(款)行政单位医疗(项):支出决算数为95.80万元，比上年决算增加31.88万元，增长49.87%,主要原因是：本年在职人员工资基数调增，医疗缴费基数上涨，相应支出增加。</w:t>
      </w:r>
    </w:p>
    <w:p w14:paraId="22C4DB96">
      <w:pPr>
        <w:spacing w:line="580" w:lineRule="exact"/>
        <w:ind w:firstLine="640"/>
        <w:jc w:val="both"/>
      </w:pPr>
      <w:r>
        <w:rPr>
          <w:rFonts w:ascii="仿宋_GB2312" w:hAnsi="仿宋_GB2312" w:eastAsia="仿宋_GB2312"/>
          <w:b w:val="0"/>
          <w:sz w:val="32"/>
        </w:rPr>
        <w:t>17.卫生健康支出(类)行政事业单位医疗(款)公务员医疗补助(项):支出决算数为21.47万元，比上年决算增加5.66万元，增长35.80%,主要原因是：本年在职人员工资基数调增，医疗缴费基数上涨，相应支出增加。</w:t>
      </w:r>
    </w:p>
    <w:p w14:paraId="4F60C133">
      <w:pPr>
        <w:spacing w:line="580" w:lineRule="exact"/>
        <w:ind w:firstLine="640"/>
        <w:jc w:val="both"/>
      </w:pPr>
      <w:r>
        <w:rPr>
          <w:rFonts w:ascii="仿宋_GB2312" w:hAnsi="仿宋_GB2312" w:eastAsia="仿宋_GB2312"/>
          <w:b w:val="0"/>
          <w:sz w:val="32"/>
        </w:rPr>
        <w:t>18.节能环保支出(类)能源节约利用(款)能源节约利用(项):支出决算数为818.19万元，比上年决算增加693.04万元，增长553.77%,主要原因是：本年增加新疆煤改电二期工程补助第二标段项目。</w:t>
      </w:r>
    </w:p>
    <w:p w14:paraId="497586F3">
      <w:pPr>
        <w:spacing w:line="580" w:lineRule="exact"/>
        <w:ind w:firstLine="640"/>
        <w:jc w:val="both"/>
      </w:pPr>
      <w:r>
        <w:rPr>
          <w:rFonts w:ascii="仿宋_GB2312" w:hAnsi="仿宋_GB2312" w:eastAsia="仿宋_GB2312"/>
          <w:b w:val="0"/>
          <w:sz w:val="32"/>
        </w:rPr>
        <w:t>19.农林水支出(类)农业农村(款)行政运行(项):支出决算数为0.00万元，比上年决算减少59.62万元，下降100.00%,主要原因是：本年科目调整，津贴补贴上年单独列支，本年在主款列支，经费减少。</w:t>
      </w:r>
    </w:p>
    <w:p w14:paraId="0DE0A582">
      <w:pPr>
        <w:spacing w:line="580" w:lineRule="exact"/>
        <w:ind w:firstLine="640"/>
        <w:jc w:val="both"/>
      </w:pPr>
      <w:r>
        <w:rPr>
          <w:rFonts w:ascii="仿宋_GB2312" w:hAnsi="仿宋_GB2312" w:eastAsia="仿宋_GB2312"/>
          <w:b w:val="0"/>
          <w:sz w:val="32"/>
        </w:rPr>
        <w:t>20.农林水支出(类)农业农村(款)农业生产发展(项):支出决算数为3.52万元，比上年决算增加3.52万元，增长100.00%,主要原因是：本年度新增宗朗乡高素质农民培育项目-13村，14村项目。</w:t>
      </w:r>
    </w:p>
    <w:p w14:paraId="0838D768">
      <w:pPr>
        <w:spacing w:line="580" w:lineRule="exact"/>
        <w:ind w:firstLine="640"/>
        <w:jc w:val="both"/>
      </w:pPr>
      <w:r>
        <w:rPr>
          <w:rFonts w:ascii="仿宋_GB2312" w:hAnsi="仿宋_GB2312" w:eastAsia="仿宋_GB2312"/>
          <w:b w:val="0"/>
          <w:sz w:val="32"/>
        </w:rPr>
        <w:t>21.农林水支出(类)巩固脱贫攻坚成果衔接乡村振兴(款)农村基础设施建设(项):支出决算数为10.00万元，比上年决算增加10.00万元，增长100.00%,主要原因是：本年增加综合发展与环境改善工程项目。</w:t>
      </w:r>
    </w:p>
    <w:p w14:paraId="3C74CBA8">
      <w:pPr>
        <w:spacing w:line="580" w:lineRule="exact"/>
        <w:ind w:firstLine="640"/>
        <w:jc w:val="both"/>
      </w:pPr>
      <w:r>
        <w:rPr>
          <w:rFonts w:ascii="仿宋_GB2312" w:hAnsi="仿宋_GB2312" w:eastAsia="仿宋_GB2312"/>
          <w:b w:val="0"/>
          <w:sz w:val="32"/>
        </w:rPr>
        <w:t>22.农林水支出(类)巩固脱贫攻坚成果衔接乡村振兴(款)生产发展(项):支出决算数为9,161.27万元，比上年决算增加6,232.81万元，增长212.84%,主要原因是：本年增加叶城县2024年吐古其乡14村重点示范村乡村建设项目、温室大棚建设项目、叶城县2024年吐古其乡土地碎片化整理项目、叶城县2024年吐古其乡高效节水设施配套项目。</w:t>
      </w:r>
    </w:p>
    <w:p w14:paraId="24C03262">
      <w:pPr>
        <w:spacing w:line="580" w:lineRule="exact"/>
        <w:ind w:firstLine="640"/>
        <w:jc w:val="both"/>
      </w:pPr>
      <w:r>
        <w:rPr>
          <w:rFonts w:ascii="仿宋_GB2312" w:hAnsi="仿宋_GB2312" w:eastAsia="仿宋_GB2312"/>
          <w:b w:val="0"/>
          <w:sz w:val="32"/>
        </w:rPr>
        <w:t>23.农林水支出(类)农村综合改革(款)对村级公益事业建设的补助(项):支出决算数为75.00万元，比上年决算增加75.00万元，增长100.00%,主要原因是：本年增加叶城县吐古其乡8村、吐古其乡2村农村综合改革项目。</w:t>
      </w:r>
    </w:p>
    <w:p w14:paraId="14FB1601">
      <w:pPr>
        <w:spacing w:line="580" w:lineRule="exact"/>
        <w:ind w:firstLine="640"/>
        <w:jc w:val="both"/>
      </w:pPr>
      <w:r>
        <w:rPr>
          <w:rFonts w:ascii="仿宋_GB2312" w:hAnsi="仿宋_GB2312" w:eastAsia="仿宋_GB2312"/>
          <w:b w:val="0"/>
          <w:sz w:val="32"/>
        </w:rPr>
        <w:t>24.交通运输支出(类)邮政业支出(款)邮政普遍服务与特殊服务(项):支出决算数为0.12万元，比上年决算增加0.00万元，增长0.00%,主要原因是：2024年农牧区投递员专项补贴资金与上年一致，无变化。</w:t>
      </w:r>
    </w:p>
    <w:p w14:paraId="3FFEAF27">
      <w:pPr>
        <w:spacing w:line="580" w:lineRule="exact"/>
        <w:ind w:firstLine="640"/>
        <w:jc w:val="both"/>
      </w:pPr>
      <w:r>
        <w:rPr>
          <w:rFonts w:ascii="仿宋_GB2312" w:hAnsi="仿宋_GB2312" w:eastAsia="仿宋_GB2312"/>
          <w:b w:val="0"/>
          <w:sz w:val="32"/>
        </w:rPr>
        <w:t>25.住房保障支出(类)住房改革支出(款)住房公积金(项):支出决算数为176.53万元，比上年决算增加53.59万元，增长43.59%,主要原因是：本年在职人员工资基数调增，公积金缴费基数上涨，相应支出增加。</w:t>
      </w:r>
    </w:p>
    <w:p w14:paraId="1EEEE6AA">
      <w:pPr>
        <w:spacing w:line="640" w:lineRule="exact"/>
        <w:ind w:firstLine="640"/>
        <w:jc w:val="both"/>
        <w:outlineLvl w:val="2"/>
      </w:pPr>
      <w:r>
        <w:rPr>
          <w:rFonts w:ascii="黑体" w:hAnsi="黑体" w:eastAsia="黑体"/>
          <w:sz w:val="32"/>
        </w:rPr>
        <w:t>六、一般公共预算财政拨款基本支出决算情况说明</w:t>
      </w:r>
    </w:p>
    <w:p w14:paraId="5561B10A">
      <w:pPr>
        <w:spacing w:line="580" w:lineRule="exact"/>
        <w:ind w:firstLine="640"/>
        <w:jc w:val="both"/>
      </w:pPr>
      <w:r>
        <w:rPr>
          <w:rFonts w:ascii="仿宋_GB2312" w:hAnsi="仿宋_GB2312" w:eastAsia="仿宋_GB2312"/>
          <w:b w:val="0"/>
          <w:sz w:val="32"/>
        </w:rPr>
        <w:t>2024年度一般公共预算财政拨款基本支出2,247.51万元，其中：</w:t>
      </w:r>
      <w:r>
        <w:rPr>
          <w:rFonts w:ascii="仿宋_GB2312" w:hAnsi="仿宋_GB2312" w:eastAsia="仿宋_GB2312"/>
          <w:b/>
          <w:sz w:val="32"/>
        </w:rPr>
        <w:t>人员经费2,190.10万元，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0FE7B21B">
      <w:pPr>
        <w:spacing w:line="580" w:lineRule="exact"/>
        <w:ind w:firstLine="640"/>
        <w:jc w:val="both"/>
      </w:pPr>
      <w:r>
        <w:rPr>
          <w:rFonts w:ascii="仿宋_GB2312" w:hAnsi="仿宋_GB2312" w:eastAsia="仿宋_GB2312"/>
          <w:b/>
          <w:sz w:val="32"/>
        </w:rPr>
        <w:t>公用经费57.40万元，</w:t>
      </w:r>
      <w:r>
        <w:rPr>
          <w:rFonts w:ascii="仿宋_GB2312" w:hAnsi="仿宋_GB2312" w:eastAsia="仿宋_GB2312"/>
          <w:b w:val="0"/>
          <w:sz w:val="32"/>
        </w:rPr>
        <w:t>包括：办公费、水费、电费、邮电费、取暖费、差旅费、维修（护）费、劳务费、委托业务费、公务用车运行维护费、其他交通费用。</w:t>
      </w:r>
    </w:p>
    <w:p w14:paraId="0353DCB8">
      <w:pPr>
        <w:spacing w:line="640" w:lineRule="exact"/>
        <w:ind w:firstLine="640"/>
        <w:jc w:val="both"/>
        <w:outlineLvl w:val="2"/>
      </w:pPr>
      <w:r>
        <w:rPr>
          <w:rFonts w:ascii="黑体" w:hAnsi="黑体" w:eastAsia="黑体"/>
          <w:sz w:val="32"/>
        </w:rPr>
        <w:t>七、政府性基金预算财政拨款收入支出决算情况说明</w:t>
      </w:r>
    </w:p>
    <w:p w14:paraId="33E27C2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236C4C1">
      <w:pPr>
        <w:spacing w:line="640" w:lineRule="exact"/>
        <w:ind w:firstLine="640"/>
        <w:jc w:val="both"/>
        <w:outlineLvl w:val="2"/>
      </w:pPr>
      <w:r>
        <w:rPr>
          <w:rFonts w:ascii="黑体" w:hAnsi="黑体" w:eastAsia="黑体"/>
          <w:sz w:val="32"/>
        </w:rPr>
        <w:t>八、国有资本经营预算财政拨款收入支出决算情况说明</w:t>
      </w:r>
    </w:p>
    <w:p w14:paraId="56EBA00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4CD2BC5">
      <w:pPr>
        <w:spacing w:line="640" w:lineRule="exact"/>
        <w:ind w:firstLine="640"/>
        <w:jc w:val="both"/>
        <w:outlineLvl w:val="2"/>
      </w:pPr>
      <w:r>
        <w:rPr>
          <w:rFonts w:ascii="黑体" w:hAnsi="黑体" w:eastAsia="黑体"/>
          <w:sz w:val="32"/>
        </w:rPr>
        <w:t>九、财政拨款“三公”经费支出决算情况说明</w:t>
      </w:r>
    </w:p>
    <w:p w14:paraId="3E4D1E64">
      <w:pPr>
        <w:spacing w:line="580" w:lineRule="exact"/>
        <w:ind w:firstLine="640"/>
        <w:jc w:val="both"/>
      </w:pPr>
      <w:r>
        <w:rPr>
          <w:rFonts w:ascii="仿宋_GB2312" w:hAnsi="仿宋_GB2312" w:eastAsia="仿宋_GB2312"/>
          <w:b/>
          <w:sz w:val="32"/>
        </w:rPr>
        <w:t>2024年度财政拨款“三公”经费支出2.84万元，</w:t>
      </w:r>
      <w:r>
        <w:rPr>
          <w:rFonts w:ascii="仿宋_GB2312" w:hAnsi="仿宋_GB2312" w:eastAsia="仿宋_GB2312"/>
          <w:b w:val="0"/>
          <w:sz w:val="32"/>
        </w:rPr>
        <w:t>比上年减少1.41万元，下降33.18%，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2.84万元，占100.00%，比上年减少1.41万元，下降33.18%，主要原因是：严格落实中央八项规定精神，厉行节约，减少公务用车运行维护费。公务接待费支出0.00万元，占0.00%，比上年增加0.00万元，增长0.00%，主要原因是：2023年与2024年均未安排公务接待费支出。</w:t>
      </w:r>
    </w:p>
    <w:p w14:paraId="4181E550">
      <w:pPr>
        <w:spacing w:line="580" w:lineRule="exact"/>
        <w:ind w:firstLine="640"/>
        <w:jc w:val="both"/>
      </w:pPr>
      <w:r>
        <w:rPr>
          <w:rFonts w:ascii="仿宋_GB2312" w:hAnsi="仿宋_GB2312" w:eastAsia="仿宋_GB2312"/>
          <w:b/>
          <w:sz w:val="32"/>
        </w:rPr>
        <w:t>具体情况如下：</w:t>
      </w:r>
    </w:p>
    <w:p w14:paraId="7C1CDD4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C85B198">
      <w:pPr>
        <w:spacing w:line="580" w:lineRule="exact"/>
        <w:ind w:firstLine="640"/>
        <w:jc w:val="both"/>
      </w:pPr>
      <w:r>
        <w:rPr>
          <w:rFonts w:ascii="仿宋_GB2312" w:hAnsi="仿宋_GB2312" w:eastAsia="仿宋_GB2312"/>
          <w:b w:val="0"/>
          <w:sz w:val="32"/>
        </w:rPr>
        <w:t>公务用车购置及运行维护费2.84万元，其中：公务用车购置费0.00万元，公务用车运行维护费2.84万元。公务用车运行维护费开支内容包括车辆加油费、维修费、保险费、审车费。公务用车购置数0辆，公务用车保有量2辆。国有资产占用情况中固定资产车辆4辆，与公务用车保有量差异原因是：差异车辆为一般业务用车，预算未安排公务用车运行维护费。</w:t>
      </w:r>
    </w:p>
    <w:p w14:paraId="1DCDDE8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CABAD6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2.84万元，决算数2.84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2.84万元，决算数2.84万元，预决算差异率0.00%，主要原因是：严格按照预算执行，预决算无差异。公务接待费全年预算数0.00万元，决算数0.00万元，预决算差异率0.00%，主要原因是：本单位无公务接待费。</w:t>
      </w:r>
    </w:p>
    <w:p w14:paraId="5139BF71">
      <w:pPr>
        <w:spacing w:line="640" w:lineRule="exact"/>
        <w:ind w:firstLine="640"/>
        <w:jc w:val="both"/>
        <w:outlineLvl w:val="2"/>
      </w:pPr>
      <w:r>
        <w:rPr>
          <w:rFonts w:ascii="黑体" w:hAnsi="黑体" w:eastAsia="黑体"/>
          <w:sz w:val="32"/>
        </w:rPr>
        <w:t>十、其他重要事项的情况说明</w:t>
      </w:r>
    </w:p>
    <w:p w14:paraId="2D4894A5">
      <w:pPr>
        <w:spacing w:line="640" w:lineRule="exact"/>
        <w:ind w:firstLine="640"/>
        <w:jc w:val="both"/>
        <w:outlineLvl w:val="3"/>
      </w:pPr>
      <w:r>
        <w:rPr>
          <w:rFonts w:ascii="楷体_GB2312" w:hAnsi="楷体_GB2312" w:eastAsia="楷体_GB2312"/>
          <w:b/>
          <w:sz w:val="32"/>
        </w:rPr>
        <w:t>（一）机关运行经费及公用经费支出情况</w:t>
      </w:r>
    </w:p>
    <w:p w14:paraId="24BE0A88">
      <w:pPr>
        <w:spacing w:line="580" w:lineRule="exact"/>
        <w:ind w:firstLine="640"/>
        <w:jc w:val="both"/>
      </w:pPr>
      <w:r>
        <w:rPr>
          <w:rFonts w:ascii="仿宋_GB2312" w:hAnsi="仿宋_GB2312" w:eastAsia="仿宋_GB2312"/>
          <w:b w:val="0"/>
          <w:sz w:val="32"/>
        </w:rPr>
        <w:t>2024年度叶城县吐古其乡人民政府（行政单位和参照公务员法管理事业单位）机关运行经费支出57.40万元，比上年增加19.78万元，增长52.58%，主要原因是：本年电费、劳务费支出增加，导致机关运行经费支出增加。</w:t>
      </w:r>
    </w:p>
    <w:p w14:paraId="58544B9C">
      <w:pPr>
        <w:spacing w:line="640" w:lineRule="exact"/>
        <w:ind w:firstLine="640"/>
        <w:jc w:val="both"/>
        <w:outlineLvl w:val="3"/>
      </w:pPr>
      <w:r>
        <w:rPr>
          <w:rFonts w:ascii="楷体_GB2312" w:hAnsi="楷体_GB2312" w:eastAsia="楷体_GB2312"/>
          <w:b/>
          <w:sz w:val="32"/>
        </w:rPr>
        <w:t>（二）政府采购情况</w:t>
      </w:r>
    </w:p>
    <w:p w14:paraId="48C0C144">
      <w:pPr>
        <w:spacing w:line="580" w:lineRule="exact"/>
        <w:ind w:firstLine="640"/>
        <w:jc w:val="both"/>
      </w:pPr>
      <w:r>
        <w:rPr>
          <w:rFonts w:ascii="仿宋_GB2312" w:hAnsi="仿宋_GB2312" w:eastAsia="仿宋_GB2312"/>
          <w:b w:val="0"/>
          <w:sz w:val="32"/>
        </w:rPr>
        <w:t>2024年度政府采购支出总额240.96万元，其中：政府采购货物支出193.50万元、政府采购工程支出14.95万元、政府采购服务支出32.52万元。</w:t>
      </w:r>
    </w:p>
    <w:p w14:paraId="4168A5B6">
      <w:pPr>
        <w:spacing w:line="580" w:lineRule="exact"/>
        <w:ind w:firstLine="640"/>
        <w:jc w:val="both"/>
      </w:pPr>
      <w:r>
        <w:rPr>
          <w:rFonts w:ascii="仿宋_GB2312" w:hAnsi="仿宋_GB2312" w:eastAsia="仿宋_GB2312"/>
          <w:b w:val="0"/>
          <w:sz w:val="32"/>
        </w:rPr>
        <w:t>授予中小企业合同金额238.66万元，占政府采购支出总额的99.05%，其中：授予小微企业合同金额237.81万元，占政府采购支出总额的98.69%。</w:t>
      </w:r>
    </w:p>
    <w:p w14:paraId="1BFB4721">
      <w:pPr>
        <w:spacing w:line="640" w:lineRule="exact"/>
        <w:ind w:firstLine="640"/>
        <w:jc w:val="both"/>
        <w:outlineLvl w:val="3"/>
      </w:pPr>
      <w:r>
        <w:rPr>
          <w:rFonts w:ascii="楷体_GB2312" w:hAnsi="楷体_GB2312" w:eastAsia="楷体_GB2312"/>
          <w:b/>
          <w:sz w:val="32"/>
        </w:rPr>
        <w:t>（三）国有资产占用情况说明</w:t>
      </w:r>
    </w:p>
    <w:p w14:paraId="5DD7AB58">
      <w:pPr>
        <w:spacing w:line="580" w:lineRule="exact"/>
        <w:ind w:firstLine="640"/>
        <w:jc w:val="both"/>
      </w:pPr>
      <w:r>
        <w:rPr>
          <w:rFonts w:ascii="仿宋_GB2312" w:hAnsi="仿宋_GB2312" w:eastAsia="仿宋_GB2312"/>
          <w:b w:val="0"/>
          <w:sz w:val="32"/>
        </w:rPr>
        <w:t>截至2024年12月31日，房屋9,536.96平方米，价值607.93万元。车辆4辆，价值39.91万元，其中：副部（省）级及以上领导用车0辆、主要负责人用车0辆、机要通信用车0辆、应急保障用车0辆、执法执勤用车0辆、特种专业技术用车0辆、离退休干部服务用车0辆、其他用车4辆，其他用车主要是：一般公务用车和单位业务用车。单价100万元（含）以上设备（不含车辆）0台（套）。</w:t>
      </w:r>
    </w:p>
    <w:p w14:paraId="07D0DF69">
      <w:pPr>
        <w:spacing w:line="640" w:lineRule="exact"/>
        <w:ind w:firstLine="640"/>
        <w:jc w:val="both"/>
        <w:outlineLvl w:val="2"/>
      </w:pPr>
      <w:r>
        <w:rPr>
          <w:rFonts w:ascii="黑体" w:hAnsi="黑体" w:eastAsia="黑体"/>
          <w:sz w:val="32"/>
        </w:rPr>
        <w:t>十一、预算绩效的情况说明</w:t>
      </w:r>
    </w:p>
    <w:p w14:paraId="4BA7D27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12,621.43万元，实际执行总额12,621.43万元；预算绩效评价项目3个，全年预算数1,125.75万元，全年执行数854.04万元。预算绩效管理取得的成效：一是健全管理制度，本单位为加强预算管理，规范财务行为已制定《叶城县吐古其乡人民政府预算绩效管理工作实施办法》《叶城县吐古其乡人民政府财务管理制度》等健全完整的各项管理制度，有效保障了</w:t>
      </w:r>
      <w:r>
        <w:rPr>
          <w:rFonts w:hint="eastAsia" w:ascii="仿宋_GB2312" w:hAnsi="仿宋_GB2312" w:eastAsia="仿宋_GB2312"/>
          <w:b w:val="0"/>
          <w:sz w:val="32"/>
          <w:lang w:eastAsia="zh-CN"/>
        </w:rPr>
        <w:t>本单位高效地</w:t>
      </w:r>
      <w:r>
        <w:rPr>
          <w:rFonts w:ascii="仿宋_GB2312" w:hAnsi="仿宋_GB2312" w:eastAsia="仿宋_GB2312"/>
          <w:b w:val="0"/>
          <w:sz w:val="32"/>
        </w:rPr>
        <w:t>履行工作职能，较</w:t>
      </w:r>
      <w:r>
        <w:rPr>
          <w:rFonts w:hint="eastAsia" w:ascii="仿宋_GB2312" w:hAnsi="仿宋_GB2312" w:eastAsia="仿宋_GB2312"/>
          <w:b w:val="0"/>
          <w:sz w:val="32"/>
          <w:lang w:eastAsia="zh-CN"/>
        </w:rPr>
        <w:t>好地</w:t>
      </w:r>
      <w:r>
        <w:rPr>
          <w:rFonts w:ascii="仿宋_GB2312" w:hAnsi="仿宋_GB2312" w:eastAsia="仿宋_GB2312"/>
          <w:b w:val="0"/>
          <w:sz w:val="32"/>
        </w:rPr>
        <w:t>促进事业发展；二是保障资金使用合规和安全，部门预算资金使用符合国家法规和财务管理制度；预算资金拨付有完整的审批程序和手续，符合项目预算批复或合同规定的用途；不存在截留、挤占、挪用、虚列支出等情况，确保</w:t>
      </w:r>
      <w:r>
        <w:rPr>
          <w:rFonts w:hint="eastAsia" w:ascii="仿宋_GB2312" w:hAnsi="仿宋_GB2312" w:eastAsia="仿宋_GB2312"/>
          <w:b w:val="0"/>
          <w:sz w:val="32"/>
          <w:lang w:eastAsia="zh-CN"/>
        </w:rPr>
        <w:t>本单位</w:t>
      </w:r>
      <w:r>
        <w:rPr>
          <w:rFonts w:ascii="仿宋_GB2312" w:hAnsi="仿宋_GB2312" w:eastAsia="仿宋_GB2312"/>
          <w:b w:val="0"/>
          <w:sz w:val="32"/>
        </w:rPr>
        <w:t>预算资金规范运行。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w:t>
      </w:r>
      <w:r>
        <w:rPr>
          <w:rFonts w:hint="eastAsia" w:ascii="仿宋_GB2312" w:hAnsi="仿宋_GB2312" w:eastAsia="仿宋_GB2312"/>
          <w:b w:val="0"/>
          <w:sz w:val="32"/>
          <w:lang w:eastAsia="zh-CN"/>
        </w:rPr>
        <w:t>做好</w:t>
      </w:r>
      <w:r>
        <w:rPr>
          <w:rFonts w:ascii="仿宋_GB2312" w:hAnsi="仿宋_GB2312" w:eastAsia="仿宋_GB2312"/>
          <w:b w:val="0"/>
          <w:sz w:val="32"/>
        </w:rPr>
        <w:t>年度年初预算的编制，通过加强乡政府各部门的预算管理意识，严格按照预算编制相关制度和要求进行预算编制，确保年初预算的全面性、准确性、科学性；四是持续加强财务管理，加快资金支付力度。在支付报账时，严格按照预算规定的项目范围、用途及使用规则审核支付，坚决杜绝超支现象的发生；五是持续加强项目开展情况的跟踪监控，严格按照项目进度及时拨付资金，使资金使用效益最大化，减少不必要的浪费，节约成本。具体附整体支出绩效自评表，项目支出绩效自评表和评价报告。</w:t>
      </w:r>
    </w:p>
    <w:p w14:paraId="2D36322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415BBBC">
        <w:tblPrEx>
          <w:tblCellMar>
            <w:top w:w="0" w:type="dxa"/>
            <w:left w:w="108" w:type="dxa"/>
            <w:bottom w:w="0" w:type="dxa"/>
            <w:right w:w="108" w:type="dxa"/>
          </w:tblCellMar>
        </w:tblPrEx>
        <w:tc>
          <w:tcPr>
            <w:tcW w:w="8847" w:type="dxa"/>
            <w:gridSpan w:val="9"/>
            <w:vAlign w:val="center"/>
          </w:tcPr>
          <w:p w14:paraId="00AF2E10">
            <w:pPr>
              <w:jc w:val="center"/>
            </w:pPr>
            <w:r>
              <w:rPr>
                <w:rFonts w:ascii="宋体" w:hAnsi="宋体" w:eastAsia="宋体"/>
                <w:sz w:val="24"/>
              </w:rPr>
              <w:t>单位整体支出绩效自评表</w:t>
            </w:r>
          </w:p>
        </w:tc>
      </w:tr>
      <w:tr w14:paraId="26F0F584">
        <w:tblPrEx>
          <w:tblCellMar>
            <w:top w:w="0" w:type="dxa"/>
            <w:left w:w="108" w:type="dxa"/>
            <w:bottom w:w="0" w:type="dxa"/>
            <w:right w:w="108" w:type="dxa"/>
          </w:tblCellMar>
        </w:tblPrEx>
        <w:tc>
          <w:tcPr>
            <w:tcW w:w="8847" w:type="dxa"/>
            <w:gridSpan w:val="9"/>
            <w:vAlign w:val="center"/>
          </w:tcPr>
          <w:p w14:paraId="649707FB">
            <w:pPr>
              <w:jc w:val="center"/>
            </w:pPr>
            <w:r>
              <w:rPr>
                <w:rFonts w:ascii="宋体" w:hAnsi="宋体" w:eastAsia="宋体"/>
                <w:sz w:val="24"/>
              </w:rPr>
              <w:t>（2024年度）</w:t>
            </w:r>
          </w:p>
        </w:tc>
      </w:tr>
      <w:tr w14:paraId="584FFF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CE15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683BF2">
            <w:pPr>
              <w:jc w:val="center"/>
            </w:pPr>
            <w:r>
              <w:rPr>
                <w:rFonts w:ascii="宋体" w:hAnsi="宋体" w:eastAsia="宋体"/>
                <w:sz w:val="16"/>
              </w:rPr>
              <w:t>叶城县吐古其乡人民政府</w:t>
            </w:r>
          </w:p>
        </w:tc>
      </w:tr>
      <w:tr w14:paraId="406CB06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A264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8A4B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AF17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88A7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C721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F640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6467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95C9D">
            <w:pPr>
              <w:jc w:val="center"/>
            </w:pPr>
            <w:r>
              <w:rPr>
                <w:rFonts w:ascii="宋体" w:hAnsi="宋体" w:eastAsia="宋体"/>
                <w:sz w:val="16"/>
              </w:rPr>
              <w:t>得分</w:t>
            </w:r>
          </w:p>
        </w:tc>
      </w:tr>
      <w:tr w14:paraId="5D892F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05D7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BFA3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182E4">
            <w:pPr>
              <w:jc w:val="center"/>
            </w:pPr>
            <w:r>
              <w:rPr>
                <w:rFonts w:ascii="宋体" w:hAnsi="宋体" w:eastAsia="宋体"/>
                <w:sz w:val="16"/>
              </w:rPr>
              <w:t>2,484.72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B3006">
            <w:pPr>
              <w:jc w:val="center"/>
            </w:pPr>
            <w:r>
              <w:rPr>
                <w:rFonts w:ascii="宋体" w:hAnsi="宋体" w:eastAsia="宋体"/>
                <w:sz w:val="16"/>
              </w:rPr>
              <w:t>12,621.43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25C28">
            <w:pPr>
              <w:jc w:val="center"/>
            </w:pPr>
            <w:r>
              <w:rPr>
                <w:rFonts w:ascii="宋体" w:hAnsi="宋体" w:eastAsia="宋体"/>
                <w:sz w:val="16"/>
              </w:rPr>
              <w:t>12,621.43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853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A41CF">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6369F">
            <w:pPr>
              <w:jc w:val="center"/>
            </w:pPr>
            <w:r>
              <w:rPr>
                <w:rFonts w:ascii="宋体" w:hAnsi="宋体" w:eastAsia="宋体"/>
                <w:sz w:val="16"/>
              </w:rPr>
              <w:t>10</w:t>
            </w:r>
          </w:p>
        </w:tc>
      </w:tr>
      <w:tr w14:paraId="376B09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53C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C3C6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B147F">
            <w:pPr>
              <w:jc w:val="center"/>
            </w:pPr>
            <w:r>
              <w:rPr>
                <w:rFonts w:ascii="宋体" w:hAnsi="宋体" w:eastAsia="宋体"/>
                <w:sz w:val="16"/>
              </w:rPr>
              <w:t>58.50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A502D">
            <w:pPr>
              <w:jc w:val="center"/>
            </w:pPr>
            <w:r>
              <w:rPr>
                <w:rFonts w:ascii="宋体" w:hAnsi="宋体" w:eastAsia="宋体"/>
                <w:sz w:val="16"/>
              </w:rPr>
              <w:t>10,345.13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59DBF">
            <w:pPr>
              <w:jc w:val="center"/>
            </w:pPr>
            <w:r>
              <w:rPr>
                <w:rFonts w:ascii="宋体" w:hAnsi="宋体" w:eastAsia="宋体"/>
                <w:sz w:val="16"/>
              </w:rPr>
              <w:t>10,345.13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C95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5E15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D1436">
            <w:pPr>
              <w:jc w:val="center"/>
            </w:pPr>
            <w:r>
              <w:rPr>
                <w:rFonts w:ascii="宋体" w:hAnsi="宋体" w:eastAsia="宋体"/>
                <w:sz w:val="16"/>
              </w:rPr>
              <w:t>—</w:t>
            </w:r>
          </w:p>
        </w:tc>
      </w:tr>
      <w:tr w14:paraId="14C37D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904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DB8C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FA2F0">
            <w:pPr>
              <w:jc w:val="center"/>
            </w:pPr>
            <w:r>
              <w:rPr>
                <w:rFonts w:ascii="宋体" w:hAnsi="宋体" w:eastAsia="宋体"/>
                <w:sz w:val="16"/>
              </w:rPr>
              <w:t>2,426.22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5C80D">
            <w:pPr>
              <w:jc w:val="center"/>
            </w:pPr>
            <w:r>
              <w:rPr>
                <w:rFonts w:ascii="宋体" w:hAnsi="宋体" w:eastAsia="宋体"/>
                <w:sz w:val="16"/>
              </w:rPr>
              <w:t>2,247.51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FF3C0">
            <w:pPr>
              <w:jc w:val="center"/>
            </w:pPr>
            <w:r>
              <w:rPr>
                <w:rFonts w:ascii="宋体" w:hAnsi="宋体" w:eastAsia="宋体"/>
                <w:sz w:val="16"/>
              </w:rPr>
              <w:t>2,247.51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DF8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5BBF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91566">
            <w:pPr>
              <w:jc w:val="center"/>
            </w:pPr>
            <w:r>
              <w:rPr>
                <w:rFonts w:ascii="宋体" w:hAnsi="宋体" w:eastAsia="宋体"/>
                <w:sz w:val="16"/>
              </w:rPr>
              <w:t>—</w:t>
            </w:r>
          </w:p>
        </w:tc>
      </w:tr>
      <w:tr w14:paraId="7774A0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FF5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D806A">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FEC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B32BE">
            <w:pPr>
              <w:jc w:val="center"/>
            </w:pPr>
            <w:r>
              <w:rPr>
                <w:rFonts w:ascii="宋体" w:hAnsi="宋体" w:eastAsia="宋体"/>
                <w:sz w:val="16"/>
              </w:rPr>
              <w:t>28.79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55A19">
            <w:pPr>
              <w:jc w:val="center"/>
            </w:pPr>
            <w:r>
              <w:rPr>
                <w:rFonts w:ascii="宋体" w:hAnsi="宋体" w:eastAsia="宋体"/>
                <w:sz w:val="16"/>
              </w:rPr>
              <w:t>28.79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719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B3E7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03870">
            <w:pPr>
              <w:jc w:val="center"/>
            </w:pPr>
            <w:r>
              <w:rPr>
                <w:rFonts w:ascii="宋体" w:hAnsi="宋体" w:eastAsia="宋体"/>
                <w:sz w:val="16"/>
              </w:rPr>
              <w:t>—</w:t>
            </w:r>
          </w:p>
        </w:tc>
      </w:tr>
      <w:tr w14:paraId="02F1B2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F8EB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F5057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18252D">
            <w:pPr>
              <w:jc w:val="center"/>
            </w:pPr>
            <w:r>
              <w:rPr>
                <w:rFonts w:ascii="宋体" w:hAnsi="宋体" w:eastAsia="宋体"/>
                <w:sz w:val="16"/>
              </w:rPr>
              <w:t>实际完成情况</w:t>
            </w:r>
          </w:p>
        </w:tc>
      </w:tr>
      <w:tr w14:paraId="177B30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7A346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22A489">
            <w:pPr>
              <w:jc w:val="both"/>
            </w:pPr>
            <w:r>
              <w:rPr>
                <w:rFonts w:ascii="宋体" w:hAnsi="宋体" w:eastAsia="宋体"/>
                <w:sz w:val="16"/>
              </w:rPr>
              <w:t>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转移就业，增加收入，不断提高生活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370E23">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2024年全年预算支出金额共计12650.23万元，其中：基本支出为2247.51万元，主要用于保障单元正常运转、人员工资、津补贴正常发放等地方；项目支出10402.72万元，主要用于强化对乡村振兴的投入、建强基层组织、经济工作稳中求进等。</w:t>
            </w:r>
            <w:r>
              <w:rPr>
                <w:rFonts w:hint="eastAsia" w:ascii="宋体" w:hAnsi="宋体"/>
                <w:sz w:val="16"/>
                <w:lang w:eastAsia="zh-CN"/>
              </w:rPr>
              <w:t>本单位</w:t>
            </w:r>
            <w:r>
              <w:rPr>
                <w:rFonts w:ascii="宋体" w:hAnsi="宋体" w:eastAsia="宋体"/>
                <w:sz w:val="16"/>
              </w:rPr>
              <w:t>在</w:t>
            </w:r>
            <w:r>
              <w:rPr>
                <w:rFonts w:hint="eastAsia" w:ascii="宋体" w:hAnsi="宋体"/>
                <w:sz w:val="16"/>
                <w:lang w:eastAsia="zh-CN"/>
              </w:rPr>
              <w:t>保证</w:t>
            </w:r>
            <w:r>
              <w:rPr>
                <w:rFonts w:ascii="宋体" w:hAnsi="宋体" w:eastAsia="宋体"/>
                <w:sz w:val="16"/>
              </w:rPr>
              <w:t>运转经费持续稳定投入的同时，从制度、经费、人员上不断强化对乡村振兴的投入力度，确保了全镇在2023年度工作中，稳中求进，全镇经济社会长足发展，乡村振兴取得了实效，全镇人均纯收入、社会生产总值稳步提高。基层党组织不断建强，</w:t>
            </w:r>
            <w:r>
              <w:rPr>
                <w:rFonts w:hint="eastAsia" w:ascii="宋体" w:hAnsi="宋体"/>
                <w:sz w:val="16"/>
                <w:lang w:eastAsia="zh-CN"/>
              </w:rPr>
              <w:t>乡规民约</w:t>
            </w:r>
            <w:r>
              <w:rPr>
                <w:rFonts w:ascii="宋体" w:hAnsi="宋体" w:eastAsia="宋体"/>
                <w:sz w:val="16"/>
              </w:rPr>
              <w:t>、社会主义核心价值观、荣辱观全面普及，群众生活水平得以进一步提高，幸福感、获得感得以进一步增强。</w:t>
            </w:r>
          </w:p>
        </w:tc>
      </w:tr>
      <w:tr w14:paraId="5B83A7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59EA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42DF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CC81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3FBE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718B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6D62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8526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F6E6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ABC8C">
            <w:pPr>
              <w:jc w:val="center"/>
            </w:pPr>
            <w:r>
              <w:rPr>
                <w:rFonts w:ascii="宋体" w:hAnsi="宋体" w:eastAsia="宋体"/>
                <w:sz w:val="16"/>
              </w:rPr>
              <w:t>得分</w:t>
            </w:r>
          </w:p>
        </w:tc>
      </w:tr>
      <w:tr w14:paraId="55CB0F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D32A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80BA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A1D32">
            <w:pPr>
              <w:jc w:val="center"/>
            </w:pPr>
            <w:r>
              <w:rPr>
                <w:rFonts w:ascii="宋体" w:hAnsi="宋体" w:eastAsia="宋体"/>
                <w:sz w:val="16"/>
              </w:rPr>
              <w:t>建设温室大棚数量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C4873">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6F07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D27E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232BF">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151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D63F7">
            <w:pPr>
              <w:jc w:val="center"/>
            </w:pPr>
            <w:r>
              <w:rPr>
                <w:rFonts w:ascii="宋体" w:hAnsi="宋体" w:eastAsia="宋体"/>
                <w:sz w:val="16"/>
              </w:rPr>
              <w:t>18</w:t>
            </w:r>
          </w:p>
        </w:tc>
      </w:tr>
      <w:tr w14:paraId="187B47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43B0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4878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4E7A3">
            <w:pPr>
              <w:jc w:val="center"/>
            </w:pPr>
            <w:r>
              <w:rPr>
                <w:rFonts w:ascii="宋体" w:hAnsi="宋体" w:eastAsia="宋体"/>
                <w:sz w:val="16"/>
              </w:rPr>
              <w:t>建设示范村数量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DF125">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74CB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BEE2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722C2">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877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05AD2">
            <w:pPr>
              <w:jc w:val="center"/>
            </w:pPr>
            <w:r>
              <w:rPr>
                <w:rFonts w:ascii="宋体" w:hAnsi="宋体" w:eastAsia="宋体"/>
                <w:sz w:val="16"/>
              </w:rPr>
              <w:t>18</w:t>
            </w:r>
          </w:p>
        </w:tc>
      </w:tr>
      <w:tr w14:paraId="7F560F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E742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7EC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5D219">
            <w:pPr>
              <w:jc w:val="center"/>
            </w:pPr>
            <w:r>
              <w:rPr>
                <w:rFonts w:ascii="宋体" w:hAnsi="宋体" w:eastAsia="宋体"/>
                <w:sz w:val="16"/>
              </w:rPr>
              <w:t>保障职工工资人数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0327C">
            <w:pPr>
              <w:jc w:val="center"/>
            </w:pPr>
            <w:r>
              <w:rPr>
                <w:rFonts w:ascii="宋体" w:hAnsi="宋体" w:eastAsia="宋体"/>
                <w:sz w:val="16"/>
              </w:rPr>
              <w:t>&gt;=110人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4A46F">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D36E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7EAFF">
            <w:pPr>
              <w:jc w:val="center"/>
            </w:pPr>
            <w:r>
              <w:rPr>
                <w:rFonts w:ascii="宋体" w:hAnsi="宋体" w:eastAsia="宋体"/>
                <w:sz w:val="16"/>
              </w:rPr>
              <w:t>110人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6BC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24943">
            <w:pPr>
              <w:jc w:val="center"/>
            </w:pPr>
            <w:r>
              <w:rPr>
                <w:rFonts w:ascii="宋体" w:hAnsi="宋体" w:eastAsia="宋体"/>
                <w:sz w:val="16"/>
              </w:rPr>
              <w:t>18</w:t>
            </w:r>
          </w:p>
        </w:tc>
      </w:tr>
      <w:tr w14:paraId="523BD8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453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4F7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CB3D3">
            <w:pPr>
              <w:jc w:val="center"/>
            </w:pPr>
            <w:r>
              <w:rPr>
                <w:rFonts w:ascii="宋体" w:hAnsi="宋体" w:eastAsia="宋体"/>
                <w:sz w:val="16"/>
              </w:rPr>
              <w:t>建设核桃高产示范园数量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40166">
            <w:pPr>
              <w:jc w:val="center"/>
            </w:pPr>
            <w:r>
              <w:rPr>
                <w:rFonts w:ascii="宋体" w:hAnsi="宋体" w:eastAsia="宋体"/>
                <w:sz w:val="16"/>
              </w:rPr>
              <w:t>&gt;=7821.74亩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69D5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6442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01A86">
            <w:pPr>
              <w:jc w:val="center"/>
            </w:pPr>
            <w:r>
              <w:rPr>
                <w:rFonts w:ascii="宋体" w:hAnsi="宋体" w:eastAsia="宋体"/>
                <w:sz w:val="16"/>
              </w:rPr>
              <w:t>7821.74亩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CDB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DE9CA">
            <w:pPr>
              <w:jc w:val="center"/>
            </w:pPr>
            <w:r>
              <w:rPr>
                <w:rFonts w:ascii="宋体" w:hAnsi="宋体" w:eastAsia="宋体"/>
                <w:sz w:val="16"/>
              </w:rPr>
              <w:t>18</w:t>
            </w:r>
          </w:p>
        </w:tc>
      </w:tr>
      <w:tr w14:paraId="66B836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C03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FCCB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7CF65">
            <w:pPr>
              <w:jc w:val="center"/>
            </w:pPr>
            <w:r>
              <w:rPr>
                <w:rFonts w:ascii="宋体" w:hAnsi="宋体" w:eastAsia="宋体"/>
                <w:sz w:val="16"/>
              </w:rPr>
              <w:t>基层党组织建设工作完成率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C2F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8D1BF">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5A2A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10B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159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BEA30">
            <w:pPr>
              <w:jc w:val="center"/>
            </w:pPr>
            <w:r>
              <w:rPr>
                <w:rFonts w:ascii="宋体" w:hAnsi="宋体" w:eastAsia="宋体"/>
                <w:sz w:val="16"/>
              </w:rPr>
              <w:t>18</w:t>
            </w:r>
          </w:p>
        </w:tc>
      </w:tr>
    </w:tbl>
    <w:p w14:paraId="076367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58D8CBF">
        <w:tblPrEx>
          <w:tblCellMar>
            <w:top w:w="0" w:type="dxa"/>
            <w:left w:w="108" w:type="dxa"/>
            <w:bottom w:w="0" w:type="dxa"/>
            <w:right w:w="108" w:type="dxa"/>
          </w:tblCellMar>
        </w:tblPrEx>
        <w:tc>
          <w:tcPr>
            <w:tcW w:w="8848" w:type="dxa"/>
            <w:gridSpan w:val="14"/>
            <w:vAlign w:val="center"/>
          </w:tcPr>
          <w:p w14:paraId="5B05A4FD">
            <w:pPr>
              <w:jc w:val="center"/>
            </w:pPr>
            <w:r>
              <w:rPr>
                <w:rFonts w:ascii="宋体" w:hAnsi="宋体" w:eastAsia="宋体"/>
                <w:sz w:val="24"/>
              </w:rPr>
              <w:t>项目支出绩效自评表</w:t>
            </w:r>
          </w:p>
        </w:tc>
      </w:tr>
      <w:tr w14:paraId="03A06C96">
        <w:tblPrEx>
          <w:tblCellMar>
            <w:top w:w="0" w:type="dxa"/>
            <w:left w:w="108" w:type="dxa"/>
            <w:bottom w:w="0" w:type="dxa"/>
            <w:right w:w="108" w:type="dxa"/>
          </w:tblCellMar>
        </w:tblPrEx>
        <w:tc>
          <w:tcPr>
            <w:tcW w:w="8848" w:type="dxa"/>
            <w:gridSpan w:val="14"/>
            <w:vAlign w:val="center"/>
          </w:tcPr>
          <w:p w14:paraId="093D4E38">
            <w:pPr>
              <w:jc w:val="center"/>
            </w:pPr>
            <w:r>
              <w:rPr>
                <w:rFonts w:ascii="宋体" w:hAnsi="宋体" w:eastAsia="宋体"/>
                <w:sz w:val="24"/>
              </w:rPr>
              <w:t>(2024年度)</w:t>
            </w:r>
          </w:p>
        </w:tc>
      </w:tr>
      <w:tr w14:paraId="6011D8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75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0C1042">
            <w:pPr>
              <w:jc w:val="center"/>
            </w:pPr>
            <w:r>
              <w:rPr>
                <w:rFonts w:ascii="宋体" w:hAnsi="宋体" w:eastAsia="宋体"/>
                <w:sz w:val="16"/>
              </w:rPr>
              <w:t>吐古其乡2024年煤改电工程项目</w:t>
            </w:r>
          </w:p>
        </w:tc>
      </w:tr>
      <w:tr w14:paraId="5B4F2D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66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764BC4">
            <w:pPr>
              <w:jc w:val="center"/>
            </w:pPr>
            <w:r>
              <w:rPr>
                <w:rFonts w:ascii="宋体" w:hAnsi="宋体" w:eastAsia="宋体"/>
                <w:sz w:val="16"/>
              </w:rPr>
              <w:t>叶城县吐古其乡人民政</w:t>
            </w:r>
            <w:bookmarkStart w:id="0" w:name="_GoBack"/>
            <w:bookmarkEnd w:id="0"/>
            <w:r>
              <w:rPr>
                <w:rFonts w:ascii="宋体" w:hAnsi="宋体" w:eastAsia="宋体"/>
                <w:sz w:val="16"/>
              </w:rPr>
              <w:t>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97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83E5DE">
            <w:pPr>
              <w:jc w:val="center"/>
            </w:pPr>
            <w:r>
              <w:rPr>
                <w:rFonts w:ascii="宋体" w:hAnsi="宋体" w:eastAsia="宋体"/>
                <w:sz w:val="16"/>
              </w:rPr>
              <w:t>叶城县吐古其乡人民政府</w:t>
            </w:r>
          </w:p>
        </w:tc>
      </w:tr>
      <w:tr w14:paraId="66A314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89B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FAA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501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A1E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EE7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1987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A02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427C">
            <w:pPr>
              <w:jc w:val="center"/>
            </w:pPr>
            <w:r>
              <w:rPr>
                <w:rFonts w:ascii="宋体" w:hAnsi="宋体" w:eastAsia="宋体"/>
                <w:sz w:val="16"/>
              </w:rPr>
              <w:t>得分</w:t>
            </w:r>
          </w:p>
        </w:tc>
      </w:tr>
      <w:tr w14:paraId="25C30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F33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6D1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218DE">
            <w:pPr>
              <w:jc w:val="center"/>
            </w:pPr>
            <w:r>
              <w:rPr>
                <w:rFonts w:ascii="宋体" w:hAnsi="宋体" w:eastAsia="宋体"/>
                <w:sz w:val="16"/>
              </w:rPr>
              <w:t>1,086.85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3F286">
            <w:pPr>
              <w:jc w:val="center"/>
            </w:pPr>
            <w:r>
              <w:rPr>
                <w:rFonts w:ascii="宋体" w:hAnsi="宋体" w:eastAsia="宋体"/>
                <w:sz w:val="16"/>
              </w:rPr>
              <w:t>1,086.85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091D0">
            <w:pPr>
              <w:jc w:val="center"/>
            </w:pPr>
            <w:r>
              <w:rPr>
                <w:rFonts w:ascii="宋体" w:hAnsi="宋体" w:eastAsia="宋体"/>
                <w:sz w:val="16"/>
              </w:rPr>
              <w:t>815.14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E07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10D32">
            <w:pPr>
              <w:jc w:val="center"/>
            </w:pPr>
            <w:r>
              <w:rPr>
                <w:rFonts w:ascii="宋体" w:hAnsi="宋体" w:eastAsia="宋体"/>
                <w:sz w:val="16"/>
              </w:rPr>
              <w:t>75.0%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855F">
            <w:pPr>
              <w:jc w:val="center"/>
            </w:pPr>
            <w:r>
              <w:rPr>
                <w:rFonts w:ascii="宋体" w:hAnsi="宋体" w:eastAsia="宋体"/>
                <w:sz w:val="16"/>
              </w:rPr>
              <w:t>3.75分</w:t>
            </w:r>
          </w:p>
        </w:tc>
      </w:tr>
      <w:tr w14:paraId="10511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F95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9E2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45B06">
            <w:pPr>
              <w:jc w:val="center"/>
            </w:pPr>
            <w:r>
              <w:rPr>
                <w:rFonts w:ascii="宋体" w:hAnsi="宋体" w:eastAsia="宋体"/>
                <w:sz w:val="16"/>
              </w:rPr>
              <w:t>815.14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FDB49">
            <w:pPr>
              <w:jc w:val="center"/>
            </w:pPr>
            <w:r>
              <w:rPr>
                <w:rFonts w:ascii="宋体" w:hAnsi="宋体" w:eastAsia="宋体"/>
                <w:sz w:val="16"/>
              </w:rPr>
              <w:t>815.14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62C14">
            <w:pPr>
              <w:jc w:val="center"/>
            </w:pPr>
            <w:r>
              <w:rPr>
                <w:rFonts w:ascii="宋体" w:hAnsi="宋体" w:eastAsia="宋体"/>
                <w:sz w:val="16"/>
              </w:rPr>
              <w:t>815.14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389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B83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1D3B">
            <w:pPr>
              <w:jc w:val="center"/>
            </w:pPr>
            <w:r>
              <w:rPr>
                <w:rFonts w:ascii="宋体" w:hAnsi="宋体" w:eastAsia="宋体"/>
                <w:sz w:val="16"/>
              </w:rPr>
              <w:t>—</w:t>
            </w:r>
          </w:p>
        </w:tc>
      </w:tr>
      <w:tr w14:paraId="3BB88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3A2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699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79421">
            <w:pPr>
              <w:jc w:val="center"/>
            </w:pPr>
            <w:r>
              <w:rPr>
                <w:rFonts w:ascii="宋体" w:hAnsi="宋体" w:eastAsia="宋体"/>
                <w:sz w:val="16"/>
              </w:rPr>
              <w:t>271.71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71AE3">
            <w:pPr>
              <w:jc w:val="center"/>
            </w:pPr>
            <w:r>
              <w:rPr>
                <w:rFonts w:ascii="宋体" w:hAnsi="宋体" w:eastAsia="宋体"/>
                <w:sz w:val="16"/>
              </w:rPr>
              <w:t>271.71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601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45F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782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6B80">
            <w:pPr>
              <w:jc w:val="center"/>
            </w:pPr>
            <w:r>
              <w:rPr>
                <w:rFonts w:ascii="宋体" w:hAnsi="宋体" w:eastAsia="宋体"/>
                <w:sz w:val="16"/>
              </w:rPr>
              <w:t>—</w:t>
            </w:r>
          </w:p>
        </w:tc>
      </w:tr>
      <w:tr w14:paraId="7FDAFF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D31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B39D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4A0741">
            <w:pPr>
              <w:jc w:val="center"/>
            </w:pPr>
            <w:r>
              <w:rPr>
                <w:rFonts w:ascii="宋体" w:hAnsi="宋体" w:eastAsia="宋体"/>
                <w:sz w:val="16"/>
              </w:rPr>
              <w:t>实际完成情况</w:t>
            </w:r>
          </w:p>
        </w:tc>
      </w:tr>
      <w:tr w14:paraId="3230C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D59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E8BA42">
            <w:pPr>
              <w:jc w:val="both"/>
            </w:pPr>
            <w:r>
              <w:rPr>
                <w:rFonts w:ascii="宋体" w:hAnsi="宋体" w:eastAsia="宋体"/>
                <w:sz w:val="16"/>
              </w:rPr>
              <w:t>总投资1086.85万元，其中：中央财政补贴407.565万元（占投资37.5%），自治区财政补贴407.565万元（占投资的37.5%），农户自筹271.71万元（占投资的25%），对吐古其、棋盘乡3019户农户进行煤改电改造，改善农村居民生活环境和取暖条件，不断提升各族群众幸福指数，为叶城县吐古其乡、棋盘乡经济高质量发展、乡村振兴作出积极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41DEB9">
            <w:pPr>
              <w:jc w:val="both"/>
            </w:pPr>
            <w:r>
              <w:rPr>
                <w:rFonts w:hint="eastAsia" w:ascii="宋体" w:hAnsi="宋体"/>
                <w:sz w:val="16"/>
                <w:lang w:eastAsia="zh-CN"/>
              </w:rPr>
              <w:t>截至2024</w:t>
            </w:r>
            <w:r>
              <w:rPr>
                <w:rFonts w:ascii="宋体" w:hAnsi="宋体" w:eastAsia="宋体"/>
                <w:sz w:val="16"/>
              </w:rPr>
              <w:t>年12月31日，总投资1086.85万元，到位资金1086.85万元，实际支出815.14万元，用于对吐古其、棋盘乡3019户农户进行煤改电改造，改善农村居民生活环境和取暖条件，不断提升各族群众幸福指数，为叶城县吐古其乡、棋盘乡经济高质量发展、乡村振兴作出积极贡献。</w:t>
            </w:r>
          </w:p>
        </w:tc>
      </w:tr>
      <w:tr w14:paraId="18A34D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AC7D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6C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1D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DB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5E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47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B4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D5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BD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B4C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52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C9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E7DD3">
            <w:pPr>
              <w:jc w:val="center"/>
            </w:pPr>
            <w:r>
              <w:rPr>
                <w:rFonts w:ascii="宋体" w:hAnsi="宋体" w:eastAsia="宋体"/>
                <w:sz w:val="16"/>
              </w:rPr>
              <w:t>偏差原因分析及改进措施</w:t>
            </w:r>
          </w:p>
        </w:tc>
      </w:tr>
      <w:tr w14:paraId="166339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F43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D0F7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514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B388">
            <w:pPr>
              <w:jc w:val="center"/>
            </w:pPr>
            <w:r>
              <w:rPr>
                <w:rFonts w:ascii="宋体" w:hAnsi="宋体" w:eastAsia="宋体"/>
                <w:sz w:val="16"/>
              </w:rPr>
              <w:t>煤改电户数（户）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465A">
            <w:pPr>
              <w:jc w:val="center"/>
            </w:pPr>
            <w:r>
              <w:rPr>
                <w:rFonts w:ascii="宋体" w:hAnsi="宋体" w:eastAsia="宋体"/>
                <w:sz w:val="16"/>
              </w:rPr>
              <w:t>=3019户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E0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BB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1A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F9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BF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9E8D">
            <w:pPr>
              <w:jc w:val="center"/>
            </w:pPr>
            <w:r>
              <w:rPr>
                <w:rFonts w:ascii="宋体" w:hAnsi="宋体" w:eastAsia="宋体"/>
                <w:sz w:val="16"/>
              </w:rPr>
              <w:t>=3019户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4D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61006">
            <w:pPr>
              <w:jc w:val="center"/>
            </w:pPr>
          </w:p>
        </w:tc>
      </w:tr>
      <w:tr w14:paraId="2988D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53F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754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E05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526D">
            <w:pPr>
              <w:jc w:val="center"/>
            </w:pPr>
            <w:r>
              <w:rPr>
                <w:rFonts w:ascii="宋体" w:hAnsi="宋体" w:eastAsia="宋体"/>
                <w:sz w:val="16"/>
              </w:rPr>
              <w:t>覆盖乡镇（个）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CF8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8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B5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448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A9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D5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D89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29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F165F">
            <w:pPr>
              <w:jc w:val="center"/>
            </w:pPr>
          </w:p>
        </w:tc>
      </w:tr>
      <w:tr w14:paraId="3224A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B0E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F8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B4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481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6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C8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135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47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86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8E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613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B00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6E3F">
            <w:pPr>
              <w:jc w:val="center"/>
            </w:pPr>
            <w:r>
              <w:rPr>
                <w:rFonts w:ascii="宋体" w:hAnsi="宋体" w:eastAsia="宋体"/>
                <w:sz w:val="16"/>
              </w:rPr>
              <w:t>偏差原因：项目未验收。整改措施：项目完工后及时进行验收，确保高质量完成。</w:t>
            </w:r>
          </w:p>
        </w:tc>
      </w:tr>
      <w:tr w14:paraId="34DC5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57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4B2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75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8FBE">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11BD">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B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27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6F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F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C4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350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A88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78AD8">
            <w:pPr>
              <w:jc w:val="center"/>
            </w:pPr>
            <w:r>
              <w:rPr>
                <w:rFonts w:ascii="宋体" w:hAnsi="宋体" w:eastAsia="宋体"/>
                <w:sz w:val="16"/>
              </w:rPr>
              <w:t>偏差原因：项目未能按时节点完工，导致有偏差。整改措施：做好年初预算，督促施工进度。</w:t>
            </w:r>
          </w:p>
        </w:tc>
      </w:tr>
      <w:tr w14:paraId="05955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B4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8D9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57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363C">
            <w:pPr>
              <w:jc w:val="center"/>
            </w:pPr>
            <w:r>
              <w:rPr>
                <w:rFonts w:ascii="宋体" w:hAnsi="宋体" w:eastAsia="宋体"/>
                <w:sz w:val="16"/>
              </w:rPr>
              <w:t>煤改电改造成本（万元/户）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F53D">
            <w:pPr>
              <w:jc w:val="center"/>
            </w:pPr>
            <w:r>
              <w:rPr>
                <w:rFonts w:ascii="宋体" w:hAnsi="宋体" w:eastAsia="宋体"/>
                <w:sz w:val="16"/>
              </w:rPr>
              <w:t>&lt;=0.36万元/户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E3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8D6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D4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EC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4C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8B27">
            <w:pPr>
              <w:jc w:val="center"/>
            </w:pPr>
            <w:r>
              <w:rPr>
                <w:rFonts w:ascii="宋体" w:hAnsi="宋体" w:eastAsia="宋体"/>
                <w:sz w:val="16"/>
              </w:rPr>
              <w:t>=0.27万元/户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1878">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6F8C4">
            <w:pPr>
              <w:jc w:val="center"/>
            </w:pPr>
            <w:r>
              <w:rPr>
                <w:rFonts w:ascii="宋体" w:hAnsi="宋体" w:eastAsia="宋体"/>
                <w:sz w:val="16"/>
              </w:rPr>
              <w:t>偏差原因：项目未完工导致没能按时拨付。整改措施：项目完工后加快支付进度。</w:t>
            </w:r>
          </w:p>
        </w:tc>
      </w:tr>
      <w:tr w14:paraId="65EE2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A2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172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22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E9C9">
            <w:pPr>
              <w:jc w:val="center"/>
            </w:pPr>
            <w:r>
              <w:rPr>
                <w:rFonts w:ascii="宋体" w:hAnsi="宋体" w:eastAsia="宋体"/>
                <w:sz w:val="16"/>
              </w:rPr>
              <w:t>改善村民取暖条件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AD5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7C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D2E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57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1F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FD3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299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3C9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D4BFA">
            <w:pPr>
              <w:jc w:val="center"/>
            </w:pPr>
          </w:p>
        </w:tc>
      </w:tr>
      <w:tr w14:paraId="3DC42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6CE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B5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7E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CC42">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4C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8E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3B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8E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20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F0C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F1E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1E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74282">
            <w:pPr>
              <w:jc w:val="center"/>
            </w:pPr>
          </w:p>
        </w:tc>
      </w:tr>
      <w:tr w14:paraId="17A9D80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FCBB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C38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FA90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AB83">
            <w:pPr>
              <w:jc w:val="center"/>
            </w:pPr>
            <w:r>
              <w:rPr>
                <w:rFonts w:ascii="宋体" w:hAnsi="宋体" w:eastAsia="宋体"/>
                <w:sz w:val="16"/>
              </w:rPr>
              <w:t>61.25分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DCBCA7"/>
        </w:tc>
      </w:tr>
    </w:tbl>
    <w:p w14:paraId="1EAA100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27D54FE5">
        <w:tblPrEx>
          <w:tblCellMar>
            <w:top w:w="0" w:type="dxa"/>
            <w:left w:w="108" w:type="dxa"/>
            <w:bottom w:w="0" w:type="dxa"/>
            <w:right w:w="108" w:type="dxa"/>
          </w:tblCellMar>
        </w:tblPrEx>
        <w:tc>
          <w:tcPr>
            <w:tcW w:w="8848" w:type="dxa"/>
            <w:gridSpan w:val="14"/>
            <w:vAlign w:val="center"/>
          </w:tcPr>
          <w:p w14:paraId="693AC17C">
            <w:pPr>
              <w:jc w:val="center"/>
            </w:pPr>
            <w:r>
              <w:rPr>
                <w:rFonts w:ascii="宋体" w:hAnsi="宋体" w:eastAsia="宋体"/>
                <w:sz w:val="24"/>
              </w:rPr>
              <w:t>项目支出绩效自评表</w:t>
            </w:r>
          </w:p>
        </w:tc>
      </w:tr>
      <w:tr w14:paraId="70A7C717">
        <w:tblPrEx>
          <w:tblCellMar>
            <w:top w:w="0" w:type="dxa"/>
            <w:left w:w="108" w:type="dxa"/>
            <w:bottom w:w="0" w:type="dxa"/>
            <w:right w:w="108" w:type="dxa"/>
          </w:tblCellMar>
        </w:tblPrEx>
        <w:tc>
          <w:tcPr>
            <w:tcW w:w="8848" w:type="dxa"/>
            <w:gridSpan w:val="14"/>
            <w:vAlign w:val="center"/>
          </w:tcPr>
          <w:p w14:paraId="05DA531B">
            <w:pPr>
              <w:jc w:val="center"/>
            </w:pPr>
            <w:r>
              <w:rPr>
                <w:rFonts w:ascii="宋体" w:hAnsi="宋体" w:eastAsia="宋体"/>
                <w:sz w:val="24"/>
              </w:rPr>
              <w:t>(2024年度)</w:t>
            </w:r>
          </w:p>
        </w:tc>
      </w:tr>
      <w:tr w14:paraId="2E9B70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58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EE31E9">
            <w:pPr>
              <w:jc w:val="center"/>
            </w:pPr>
            <w:r>
              <w:rPr>
                <w:rFonts w:ascii="宋体" w:hAnsi="宋体" w:eastAsia="宋体"/>
                <w:sz w:val="16"/>
              </w:rPr>
              <w:t>吐古其乡2024年县级专项公用经费项目</w:t>
            </w:r>
          </w:p>
        </w:tc>
      </w:tr>
      <w:tr w14:paraId="11D472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EB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AF61D">
            <w:pPr>
              <w:jc w:val="center"/>
            </w:pPr>
            <w:r>
              <w:rPr>
                <w:rFonts w:ascii="宋体" w:hAnsi="宋体" w:eastAsia="宋体"/>
                <w:sz w:val="16"/>
              </w:rPr>
              <w:t>叶城县吐古其乡人民政府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4B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3EF04E">
            <w:pPr>
              <w:jc w:val="center"/>
            </w:pPr>
            <w:r>
              <w:rPr>
                <w:rFonts w:ascii="宋体" w:hAnsi="宋体" w:eastAsia="宋体"/>
                <w:sz w:val="16"/>
              </w:rPr>
              <w:t>叶城县吐古其乡人民政府</w:t>
            </w:r>
          </w:p>
        </w:tc>
      </w:tr>
      <w:tr w14:paraId="19CFC5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271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804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826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5FF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FC2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492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0AC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2F72">
            <w:pPr>
              <w:jc w:val="center"/>
            </w:pPr>
            <w:r>
              <w:rPr>
                <w:rFonts w:ascii="宋体" w:hAnsi="宋体" w:eastAsia="宋体"/>
                <w:sz w:val="16"/>
              </w:rPr>
              <w:t>得分</w:t>
            </w:r>
          </w:p>
        </w:tc>
      </w:tr>
      <w:tr w14:paraId="771B8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6EB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57D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E3AD5">
            <w:pPr>
              <w:jc w:val="center"/>
            </w:pPr>
            <w:r>
              <w:rPr>
                <w:rFonts w:ascii="宋体" w:hAnsi="宋体" w:eastAsia="宋体"/>
                <w:sz w:val="16"/>
              </w:rPr>
              <w:t>28.90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8B207">
            <w:pPr>
              <w:jc w:val="center"/>
            </w:pPr>
            <w:r>
              <w:rPr>
                <w:rFonts w:ascii="宋体" w:hAnsi="宋体" w:eastAsia="宋体"/>
                <w:sz w:val="16"/>
              </w:rPr>
              <w:t>28.90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8DE7B">
            <w:pPr>
              <w:jc w:val="center"/>
            </w:pPr>
            <w:r>
              <w:rPr>
                <w:rFonts w:ascii="宋体" w:hAnsi="宋体" w:eastAsia="宋体"/>
                <w:sz w:val="16"/>
              </w:rPr>
              <w:t>28.90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2D9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0B0A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3443">
            <w:pPr>
              <w:jc w:val="center"/>
            </w:pPr>
            <w:r>
              <w:rPr>
                <w:rFonts w:ascii="宋体" w:hAnsi="宋体" w:eastAsia="宋体"/>
                <w:sz w:val="16"/>
              </w:rPr>
              <w:t>10.00分</w:t>
            </w:r>
          </w:p>
        </w:tc>
      </w:tr>
      <w:tr w14:paraId="21291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EF4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D6C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CC768">
            <w:pPr>
              <w:jc w:val="center"/>
            </w:pPr>
            <w:r>
              <w:rPr>
                <w:rFonts w:ascii="宋体" w:hAnsi="宋体" w:eastAsia="宋体"/>
                <w:sz w:val="16"/>
              </w:rPr>
              <w:t>28.90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B2A90">
            <w:pPr>
              <w:jc w:val="center"/>
            </w:pPr>
            <w:r>
              <w:rPr>
                <w:rFonts w:ascii="宋体" w:hAnsi="宋体" w:eastAsia="宋体"/>
                <w:sz w:val="16"/>
              </w:rPr>
              <w:t>28.90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7B863">
            <w:pPr>
              <w:jc w:val="center"/>
            </w:pPr>
            <w:r>
              <w:rPr>
                <w:rFonts w:ascii="宋体" w:hAnsi="宋体" w:eastAsia="宋体"/>
                <w:sz w:val="16"/>
              </w:rPr>
              <w:t>28.90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A80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A9A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8FAF">
            <w:pPr>
              <w:jc w:val="center"/>
            </w:pPr>
            <w:r>
              <w:rPr>
                <w:rFonts w:ascii="宋体" w:hAnsi="宋体" w:eastAsia="宋体"/>
                <w:sz w:val="16"/>
              </w:rPr>
              <w:t>—</w:t>
            </w:r>
          </w:p>
        </w:tc>
      </w:tr>
      <w:tr w14:paraId="70CD3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0D5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F1C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E0B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688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0C1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1EB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2F0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5B93">
            <w:pPr>
              <w:jc w:val="center"/>
            </w:pPr>
            <w:r>
              <w:rPr>
                <w:rFonts w:ascii="宋体" w:hAnsi="宋体" w:eastAsia="宋体"/>
                <w:sz w:val="16"/>
              </w:rPr>
              <w:t>—</w:t>
            </w:r>
          </w:p>
        </w:tc>
      </w:tr>
      <w:tr w14:paraId="0AC72D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BC33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682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6DE4BC">
            <w:pPr>
              <w:jc w:val="center"/>
            </w:pPr>
            <w:r>
              <w:rPr>
                <w:rFonts w:ascii="宋体" w:hAnsi="宋体" w:eastAsia="宋体"/>
                <w:sz w:val="16"/>
              </w:rPr>
              <w:t>实际完成情况</w:t>
            </w:r>
          </w:p>
        </w:tc>
      </w:tr>
      <w:tr w14:paraId="24FB3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D3F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D27A1D">
            <w:pPr>
              <w:jc w:val="both"/>
            </w:pPr>
            <w:r>
              <w:rPr>
                <w:rFonts w:ascii="宋体" w:hAnsi="宋体" w:eastAsia="宋体"/>
                <w:sz w:val="16"/>
              </w:rPr>
              <w:t>项目资金28.9万元，主要用于乡机关日常办公用品采购工作和根据实际情况支付乡本级往期各类费用，保障乡机关办公运转，提高为民服务能力。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D0AD76">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预算资金28.9万元，到位资金28.9万元，已支付28.9万元，主要用于乡机关日常办公用品采购工作和根据实际情况支付乡本级往期各类费用，保障乡机关办公运转，提高为民服务能力，提高群众幸福感。</w:t>
            </w:r>
          </w:p>
        </w:tc>
      </w:tr>
      <w:tr w14:paraId="686AA6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A99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64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04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8F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1F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08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1A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F7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9F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F76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14C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CD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7EE10">
            <w:pPr>
              <w:jc w:val="center"/>
            </w:pPr>
            <w:r>
              <w:rPr>
                <w:rFonts w:ascii="宋体" w:hAnsi="宋体" w:eastAsia="宋体"/>
                <w:sz w:val="16"/>
              </w:rPr>
              <w:t>偏差原因分析及改进措施</w:t>
            </w:r>
          </w:p>
        </w:tc>
      </w:tr>
      <w:tr w14:paraId="637C71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BC0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FD0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DF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578F">
            <w:pPr>
              <w:jc w:val="center"/>
            </w:pPr>
            <w:r>
              <w:rPr>
                <w:rFonts w:ascii="宋体" w:hAnsi="宋体" w:eastAsia="宋体"/>
                <w:sz w:val="16"/>
              </w:rPr>
              <w:t>保障单位个数（个）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962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7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2F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80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AF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07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0A7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99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1B122">
            <w:pPr>
              <w:jc w:val="center"/>
            </w:pPr>
          </w:p>
        </w:tc>
      </w:tr>
      <w:tr w14:paraId="3BD26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FE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232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7F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D62C">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5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B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3C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99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B0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1E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3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9A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29D73">
            <w:pPr>
              <w:jc w:val="center"/>
            </w:pPr>
          </w:p>
        </w:tc>
      </w:tr>
      <w:tr w14:paraId="587DE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C7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994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3DE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C885">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F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F84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D2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C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19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D5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F99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2A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3C08E">
            <w:pPr>
              <w:jc w:val="center"/>
            </w:pPr>
          </w:p>
        </w:tc>
      </w:tr>
      <w:tr w14:paraId="4AB09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F0A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8C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9CC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49E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04F1">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F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DF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A0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7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95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E5F5">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D1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D3AE3">
            <w:pPr>
              <w:jc w:val="center"/>
            </w:pPr>
          </w:p>
        </w:tc>
      </w:tr>
      <w:tr w14:paraId="3CFD6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A84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3E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F2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D755">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4842">
            <w:pPr>
              <w:jc w:val="center"/>
            </w:pPr>
            <w:r>
              <w:rPr>
                <w:rFonts w:ascii="宋体" w:hAnsi="宋体" w:eastAsia="宋体"/>
                <w:sz w:val="16"/>
              </w:rPr>
              <w:t>&lt;=28.90万元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44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72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CC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5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95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5DBB">
            <w:pPr>
              <w:jc w:val="center"/>
            </w:pPr>
            <w:r>
              <w:rPr>
                <w:rFonts w:ascii="宋体" w:hAnsi="宋体" w:eastAsia="宋体"/>
                <w:sz w:val="16"/>
              </w:rPr>
              <w:t>=28.9万元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FC2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B6AB2">
            <w:pPr>
              <w:jc w:val="center"/>
            </w:pPr>
          </w:p>
        </w:tc>
      </w:tr>
      <w:tr w14:paraId="58010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EF7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13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87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DBC8">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4AF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13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3F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79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08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188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548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A7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3D6A7">
            <w:pPr>
              <w:jc w:val="center"/>
            </w:pPr>
          </w:p>
        </w:tc>
      </w:tr>
      <w:tr w14:paraId="5E8E9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B5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AF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D7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B58C">
            <w:pPr>
              <w:jc w:val="center"/>
            </w:pPr>
            <w:r>
              <w:rPr>
                <w:rFonts w:ascii="宋体" w:hAnsi="宋体" w:eastAsia="宋体"/>
                <w:sz w:val="16"/>
              </w:rPr>
              <w:t>受益单位工作人员满意度（%）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F1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5B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49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80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BE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078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33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B3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ABF6A">
            <w:pPr>
              <w:jc w:val="center"/>
            </w:pPr>
          </w:p>
        </w:tc>
      </w:tr>
      <w:tr w14:paraId="2283507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4B47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085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3A86F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475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9DDB63"/>
        </w:tc>
      </w:tr>
    </w:tbl>
    <w:p w14:paraId="20194A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A1F4D8A">
        <w:tblPrEx>
          <w:tblCellMar>
            <w:top w:w="0" w:type="dxa"/>
            <w:left w:w="108" w:type="dxa"/>
            <w:bottom w:w="0" w:type="dxa"/>
            <w:right w:w="108" w:type="dxa"/>
          </w:tblCellMar>
        </w:tblPrEx>
        <w:tc>
          <w:tcPr>
            <w:tcW w:w="8848" w:type="dxa"/>
            <w:gridSpan w:val="14"/>
            <w:vAlign w:val="center"/>
          </w:tcPr>
          <w:p w14:paraId="0FD80DC8">
            <w:pPr>
              <w:jc w:val="center"/>
            </w:pPr>
            <w:r>
              <w:rPr>
                <w:rFonts w:ascii="宋体" w:hAnsi="宋体" w:eastAsia="宋体"/>
                <w:sz w:val="24"/>
              </w:rPr>
              <w:t>项目支出绩效自评表</w:t>
            </w:r>
          </w:p>
        </w:tc>
      </w:tr>
      <w:tr w14:paraId="523064B9">
        <w:tblPrEx>
          <w:tblCellMar>
            <w:top w:w="0" w:type="dxa"/>
            <w:left w:w="108" w:type="dxa"/>
            <w:bottom w:w="0" w:type="dxa"/>
            <w:right w:w="108" w:type="dxa"/>
          </w:tblCellMar>
        </w:tblPrEx>
        <w:tc>
          <w:tcPr>
            <w:tcW w:w="8848" w:type="dxa"/>
            <w:gridSpan w:val="14"/>
            <w:vAlign w:val="center"/>
          </w:tcPr>
          <w:p w14:paraId="2842651C">
            <w:pPr>
              <w:jc w:val="center"/>
            </w:pPr>
            <w:r>
              <w:rPr>
                <w:rFonts w:ascii="宋体" w:hAnsi="宋体" w:eastAsia="宋体"/>
                <w:sz w:val="24"/>
              </w:rPr>
              <w:t>(2024年度)</w:t>
            </w:r>
          </w:p>
        </w:tc>
      </w:tr>
      <w:tr w14:paraId="236D1F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38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B58DD4">
            <w:pPr>
              <w:jc w:val="center"/>
            </w:pPr>
            <w:r>
              <w:rPr>
                <w:rFonts w:ascii="宋体" w:hAnsi="宋体" w:eastAsia="宋体"/>
                <w:sz w:val="16"/>
              </w:rPr>
              <w:t>吐古其乡2024年综合发展与环境改善工程项目</w:t>
            </w:r>
          </w:p>
        </w:tc>
      </w:tr>
      <w:tr w14:paraId="7ACBAC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39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8AE2A4">
            <w:pPr>
              <w:jc w:val="center"/>
            </w:pPr>
            <w:r>
              <w:rPr>
                <w:rFonts w:ascii="宋体" w:hAnsi="宋体" w:eastAsia="宋体"/>
                <w:sz w:val="16"/>
              </w:rPr>
              <w:t>叶城县吐古其乡人民政府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5E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07FB1A">
            <w:pPr>
              <w:jc w:val="center"/>
            </w:pPr>
            <w:r>
              <w:rPr>
                <w:rFonts w:ascii="宋体" w:hAnsi="宋体" w:eastAsia="宋体"/>
                <w:sz w:val="16"/>
              </w:rPr>
              <w:t>叶城县吐古其乡人民政府</w:t>
            </w:r>
          </w:p>
        </w:tc>
      </w:tr>
      <w:tr w14:paraId="44DE0D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556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929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6BE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3EF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ABC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3D8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082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B010">
            <w:pPr>
              <w:jc w:val="center"/>
            </w:pPr>
            <w:r>
              <w:rPr>
                <w:rFonts w:ascii="宋体" w:hAnsi="宋体" w:eastAsia="宋体"/>
                <w:sz w:val="16"/>
              </w:rPr>
              <w:t>得分</w:t>
            </w:r>
          </w:p>
        </w:tc>
      </w:tr>
      <w:tr w14:paraId="674A5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4BD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207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FAE8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0435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042F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92F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1F85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1705">
            <w:pPr>
              <w:jc w:val="center"/>
            </w:pPr>
            <w:r>
              <w:rPr>
                <w:rFonts w:ascii="宋体" w:hAnsi="宋体" w:eastAsia="宋体"/>
                <w:sz w:val="16"/>
              </w:rPr>
              <w:t>10.00分</w:t>
            </w:r>
          </w:p>
        </w:tc>
      </w:tr>
      <w:tr w14:paraId="236CE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E02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A88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34CB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B0FA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EE42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F98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E0E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0147">
            <w:pPr>
              <w:jc w:val="center"/>
            </w:pPr>
            <w:r>
              <w:rPr>
                <w:rFonts w:ascii="宋体" w:hAnsi="宋体" w:eastAsia="宋体"/>
                <w:sz w:val="16"/>
              </w:rPr>
              <w:t>—</w:t>
            </w:r>
          </w:p>
        </w:tc>
      </w:tr>
      <w:tr w14:paraId="50200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191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077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1A7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907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913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B06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427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D539">
            <w:pPr>
              <w:jc w:val="center"/>
            </w:pPr>
            <w:r>
              <w:rPr>
                <w:rFonts w:ascii="宋体" w:hAnsi="宋体" w:eastAsia="宋体"/>
                <w:sz w:val="16"/>
              </w:rPr>
              <w:t>—</w:t>
            </w:r>
          </w:p>
        </w:tc>
      </w:tr>
      <w:tr w14:paraId="7ADF58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4E5E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AB67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A9A7BC">
            <w:pPr>
              <w:jc w:val="center"/>
            </w:pPr>
            <w:r>
              <w:rPr>
                <w:rFonts w:ascii="宋体" w:hAnsi="宋体" w:eastAsia="宋体"/>
                <w:sz w:val="16"/>
              </w:rPr>
              <w:t>实际完成情况</w:t>
            </w:r>
          </w:p>
        </w:tc>
      </w:tr>
      <w:tr w14:paraId="47A31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3DD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B5857A">
            <w:pPr>
              <w:jc w:val="both"/>
            </w:pPr>
            <w:r>
              <w:rPr>
                <w:rFonts w:ascii="宋体" w:hAnsi="宋体" w:eastAsia="宋体"/>
                <w:sz w:val="16"/>
              </w:rPr>
              <w:t>项目投资10万元，吐古其乡欧吐拉库木巴（14）村道路硬化约700平方米，对村民活动中心附属配套提升改造建设，通过项目实施改善项目区人居环境，提升村民幸福感、获得感。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9D3555">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年12月31日，该项目预算资金10万元，到位资金10万元，已支付10万元，项目的实施有效保障文物及相关设施安全，营造社会公众参与文物保护的良好社会氛围。</w:t>
            </w:r>
            <w:r>
              <w:rPr>
                <w:rFonts w:ascii="宋体" w:hAnsi="宋体" w:eastAsia="宋体"/>
                <w:sz w:val="16"/>
              </w:rPr>
              <w:br w:type="textWrapping"/>
            </w:r>
          </w:p>
        </w:tc>
      </w:tr>
      <w:tr w14:paraId="6B6375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5302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30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F8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6F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2A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56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6E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7F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09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C2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2C8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C6C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64AE1">
            <w:pPr>
              <w:jc w:val="center"/>
            </w:pPr>
            <w:r>
              <w:rPr>
                <w:rFonts w:ascii="宋体" w:hAnsi="宋体" w:eastAsia="宋体"/>
                <w:sz w:val="16"/>
              </w:rPr>
              <w:t>偏差原因分析及改进措施</w:t>
            </w:r>
          </w:p>
        </w:tc>
      </w:tr>
      <w:tr w14:paraId="0B037F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1A2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8488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17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C6E5">
            <w:pPr>
              <w:jc w:val="center"/>
            </w:pPr>
            <w:r>
              <w:rPr>
                <w:rFonts w:ascii="宋体" w:hAnsi="宋体" w:eastAsia="宋体"/>
                <w:sz w:val="16"/>
              </w:rPr>
              <w:t>道路硬化（平方米）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C222">
            <w:pPr>
              <w:jc w:val="center"/>
            </w:pPr>
            <w:r>
              <w:rPr>
                <w:rFonts w:ascii="宋体" w:hAnsi="宋体" w:eastAsia="宋体"/>
                <w:sz w:val="16"/>
              </w:rPr>
              <w:t>=700平方米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C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B4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E4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0F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E8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4B9F">
            <w:pPr>
              <w:jc w:val="center"/>
            </w:pPr>
            <w:r>
              <w:rPr>
                <w:rFonts w:ascii="宋体" w:hAnsi="宋体" w:eastAsia="宋体"/>
                <w:sz w:val="16"/>
              </w:rPr>
              <w:t>=700平方米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62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E3171">
            <w:pPr>
              <w:jc w:val="center"/>
            </w:pPr>
          </w:p>
        </w:tc>
      </w:tr>
      <w:tr w14:paraId="1A8C4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3E3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87B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EE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479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B2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2D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73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1E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D2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8E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0F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2D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09AB4">
            <w:pPr>
              <w:jc w:val="center"/>
            </w:pPr>
          </w:p>
        </w:tc>
      </w:tr>
      <w:tr w14:paraId="24D4D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CB3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DC1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7A7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B34B">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C4B1">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1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1D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79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D5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FA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6BE0">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E6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D4F62">
            <w:pPr>
              <w:jc w:val="center"/>
            </w:pPr>
          </w:p>
        </w:tc>
      </w:tr>
      <w:tr w14:paraId="6A953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92C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5F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F9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D4C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EF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B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0D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35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55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D7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2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B6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F8BE6">
            <w:pPr>
              <w:jc w:val="center"/>
            </w:pPr>
          </w:p>
        </w:tc>
      </w:tr>
      <w:tr w14:paraId="25C89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C2A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9EC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58C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ED79">
            <w:pPr>
              <w:jc w:val="center"/>
            </w:pPr>
            <w:r>
              <w:rPr>
                <w:rFonts w:ascii="宋体" w:hAnsi="宋体" w:eastAsia="宋体"/>
                <w:sz w:val="16"/>
              </w:rPr>
              <w:t>地坪硬化（万元）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A06B">
            <w:pPr>
              <w:jc w:val="center"/>
            </w:pPr>
            <w:r>
              <w:rPr>
                <w:rFonts w:ascii="宋体" w:hAnsi="宋体" w:eastAsia="宋体"/>
                <w:sz w:val="16"/>
              </w:rPr>
              <w:t>&lt;=8.04万元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45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E3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DA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E6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F6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403A">
            <w:pPr>
              <w:jc w:val="center"/>
            </w:pPr>
            <w:r>
              <w:rPr>
                <w:rFonts w:ascii="宋体" w:hAnsi="宋体" w:eastAsia="宋体"/>
                <w:sz w:val="16"/>
              </w:rPr>
              <w:t>=8.04万元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3E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1BB35">
            <w:pPr>
              <w:jc w:val="center"/>
            </w:pPr>
          </w:p>
        </w:tc>
      </w:tr>
      <w:tr w14:paraId="760469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D6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D3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AD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1709">
            <w:pPr>
              <w:jc w:val="center"/>
            </w:pPr>
            <w:r>
              <w:rPr>
                <w:rFonts w:ascii="宋体" w:hAnsi="宋体" w:eastAsia="宋体"/>
                <w:sz w:val="16"/>
              </w:rPr>
              <w:t>装修改造（万元）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5662">
            <w:pPr>
              <w:jc w:val="center"/>
            </w:pPr>
            <w:r>
              <w:rPr>
                <w:rFonts w:ascii="宋体" w:hAnsi="宋体" w:eastAsia="宋体"/>
                <w:sz w:val="16"/>
              </w:rPr>
              <w:t>&lt;=1.96万元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FF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6D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D7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B6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AF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3502">
            <w:pPr>
              <w:jc w:val="center"/>
            </w:pPr>
            <w:r>
              <w:rPr>
                <w:rFonts w:ascii="宋体" w:hAnsi="宋体" w:eastAsia="宋体"/>
                <w:sz w:val="16"/>
              </w:rPr>
              <w:t>=1.96万元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1D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C90B2">
            <w:pPr>
              <w:jc w:val="center"/>
            </w:pPr>
          </w:p>
        </w:tc>
      </w:tr>
      <w:tr w14:paraId="0A66E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03F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E1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34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4B28">
            <w:pPr>
              <w:jc w:val="center"/>
            </w:pPr>
            <w:r>
              <w:rPr>
                <w:rFonts w:ascii="宋体" w:hAnsi="宋体" w:eastAsia="宋体"/>
                <w:sz w:val="16"/>
              </w:rPr>
              <w:t>改善农村人居环境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8A0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FC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74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1D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95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510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C54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5F1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4057E">
            <w:pPr>
              <w:jc w:val="center"/>
            </w:pPr>
          </w:p>
        </w:tc>
      </w:tr>
      <w:tr w14:paraId="6ED91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F1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1D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12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AB73">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32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3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B9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70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44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721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C96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5B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0B86F">
            <w:pPr>
              <w:jc w:val="center"/>
            </w:pPr>
          </w:p>
        </w:tc>
      </w:tr>
      <w:tr w14:paraId="4652A9C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B9FF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DB0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3734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443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C59621F"/>
        </w:tc>
      </w:tr>
    </w:tbl>
    <w:p w14:paraId="70EE5189">
      <w:r>
        <w:br w:type="page"/>
      </w:r>
    </w:p>
    <w:p w14:paraId="27505162">
      <w:pPr>
        <w:spacing w:line="640" w:lineRule="exact"/>
        <w:ind w:firstLine="640"/>
        <w:jc w:val="both"/>
        <w:outlineLvl w:val="2"/>
      </w:pPr>
      <w:r>
        <w:rPr>
          <w:rFonts w:ascii="黑体" w:hAnsi="黑体" w:eastAsia="黑体"/>
          <w:sz w:val="32"/>
        </w:rPr>
        <w:t>十二、其他需说明的事项</w:t>
      </w:r>
    </w:p>
    <w:p w14:paraId="255DD565">
      <w:pPr>
        <w:spacing w:line="580" w:lineRule="exact"/>
        <w:ind w:firstLine="640"/>
        <w:jc w:val="both"/>
      </w:pPr>
      <w:r>
        <w:rPr>
          <w:rFonts w:ascii="仿宋_GB2312" w:hAnsi="仿宋_GB2312" w:eastAsia="仿宋_GB2312"/>
          <w:b w:val="0"/>
          <w:sz w:val="32"/>
        </w:rPr>
        <w:t>本单位无其他需说明的事项。</w:t>
      </w:r>
    </w:p>
    <w:p w14:paraId="0073DA09">
      <w:r>
        <w:br w:type="page"/>
      </w:r>
    </w:p>
    <w:p w14:paraId="09E02532">
      <w:pPr>
        <w:spacing w:line="240" w:lineRule="auto"/>
        <w:jc w:val="center"/>
        <w:outlineLvl w:val="1"/>
      </w:pPr>
      <w:r>
        <w:rPr>
          <w:rFonts w:ascii="黑体" w:hAnsi="黑体" w:eastAsia="黑体"/>
          <w:sz w:val="32"/>
        </w:rPr>
        <w:t>第三部分 专业名词解释</w:t>
      </w:r>
    </w:p>
    <w:p w14:paraId="3F24C95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54D367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4BFA0D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B4919D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774DC2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6A74DA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FD6612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4722D5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6BF49B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2C6B95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A45FDE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8C1369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2F9163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B61FC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62DDF51">
      <w:r>
        <w:br w:type="page"/>
      </w:r>
    </w:p>
    <w:p w14:paraId="2D77D178">
      <w:pPr>
        <w:spacing w:line="240" w:lineRule="auto"/>
        <w:jc w:val="center"/>
        <w:outlineLvl w:val="1"/>
      </w:pPr>
      <w:r>
        <w:rPr>
          <w:rFonts w:ascii="黑体" w:hAnsi="黑体" w:eastAsia="黑体"/>
          <w:sz w:val="32"/>
        </w:rPr>
        <w:t>第四部分 部门决算报表（见附表）</w:t>
      </w:r>
    </w:p>
    <w:p w14:paraId="2427212B">
      <w:pPr>
        <w:spacing w:line="240" w:lineRule="auto"/>
        <w:ind w:firstLine="640"/>
        <w:jc w:val="both"/>
      </w:pPr>
      <w:r>
        <w:rPr>
          <w:rFonts w:ascii="仿宋_GB2312" w:hAnsi="仿宋_GB2312" w:eastAsia="仿宋_GB2312"/>
          <w:b w:val="0"/>
          <w:sz w:val="32"/>
        </w:rPr>
        <w:t>一、《收入支出决算总表》</w:t>
      </w:r>
    </w:p>
    <w:p w14:paraId="3B9F861E">
      <w:pPr>
        <w:spacing w:line="240" w:lineRule="auto"/>
        <w:ind w:firstLine="640"/>
        <w:jc w:val="both"/>
      </w:pPr>
      <w:r>
        <w:rPr>
          <w:rFonts w:ascii="仿宋_GB2312" w:hAnsi="仿宋_GB2312" w:eastAsia="仿宋_GB2312"/>
          <w:b w:val="0"/>
          <w:sz w:val="32"/>
        </w:rPr>
        <w:t>二、《收入决算表》</w:t>
      </w:r>
    </w:p>
    <w:p w14:paraId="331DA268">
      <w:pPr>
        <w:spacing w:line="240" w:lineRule="auto"/>
        <w:ind w:firstLine="640"/>
        <w:jc w:val="both"/>
      </w:pPr>
      <w:r>
        <w:rPr>
          <w:rFonts w:ascii="仿宋_GB2312" w:hAnsi="仿宋_GB2312" w:eastAsia="仿宋_GB2312"/>
          <w:b w:val="0"/>
          <w:sz w:val="32"/>
        </w:rPr>
        <w:t>三、《支出决算表》</w:t>
      </w:r>
    </w:p>
    <w:p w14:paraId="50C01119">
      <w:pPr>
        <w:spacing w:line="240" w:lineRule="auto"/>
        <w:ind w:firstLine="640"/>
        <w:jc w:val="both"/>
      </w:pPr>
      <w:r>
        <w:rPr>
          <w:rFonts w:ascii="仿宋_GB2312" w:hAnsi="仿宋_GB2312" w:eastAsia="仿宋_GB2312"/>
          <w:b w:val="0"/>
          <w:sz w:val="32"/>
        </w:rPr>
        <w:t>四、《财政拨款收入支出决算总表》</w:t>
      </w:r>
    </w:p>
    <w:p w14:paraId="25690A00">
      <w:pPr>
        <w:spacing w:line="240" w:lineRule="auto"/>
        <w:ind w:firstLine="640"/>
        <w:jc w:val="both"/>
      </w:pPr>
      <w:r>
        <w:rPr>
          <w:rFonts w:ascii="仿宋_GB2312" w:hAnsi="仿宋_GB2312" w:eastAsia="仿宋_GB2312"/>
          <w:b w:val="0"/>
          <w:sz w:val="32"/>
        </w:rPr>
        <w:t>五、《一般公共预算财政拨款支出决算表》</w:t>
      </w:r>
    </w:p>
    <w:p w14:paraId="42B74774">
      <w:pPr>
        <w:spacing w:line="240" w:lineRule="auto"/>
        <w:ind w:firstLine="640"/>
        <w:jc w:val="both"/>
      </w:pPr>
      <w:r>
        <w:rPr>
          <w:rFonts w:ascii="仿宋_GB2312" w:hAnsi="仿宋_GB2312" w:eastAsia="仿宋_GB2312"/>
          <w:b w:val="0"/>
          <w:sz w:val="32"/>
        </w:rPr>
        <w:t>六、《一般公共预算财政拨款基本支出决算表》</w:t>
      </w:r>
    </w:p>
    <w:p w14:paraId="096B36AE">
      <w:pPr>
        <w:spacing w:line="240" w:lineRule="auto"/>
        <w:ind w:firstLine="640"/>
        <w:jc w:val="both"/>
      </w:pPr>
      <w:r>
        <w:rPr>
          <w:rFonts w:ascii="仿宋_GB2312" w:hAnsi="仿宋_GB2312" w:eastAsia="仿宋_GB2312"/>
          <w:b w:val="0"/>
          <w:sz w:val="32"/>
        </w:rPr>
        <w:t>七、《政府性基金预算财政拨款收入支出决算表》</w:t>
      </w:r>
    </w:p>
    <w:p w14:paraId="7826BB00">
      <w:pPr>
        <w:spacing w:line="240" w:lineRule="auto"/>
        <w:ind w:firstLine="640"/>
        <w:jc w:val="both"/>
      </w:pPr>
      <w:r>
        <w:rPr>
          <w:rFonts w:ascii="仿宋_GB2312" w:hAnsi="仿宋_GB2312" w:eastAsia="仿宋_GB2312"/>
          <w:b w:val="0"/>
          <w:sz w:val="32"/>
        </w:rPr>
        <w:t>八、《国有资本经营预算财政拨款收入支出决算表》</w:t>
      </w:r>
    </w:p>
    <w:p w14:paraId="4A91CA9E">
      <w:pPr>
        <w:spacing w:line="240" w:lineRule="auto"/>
        <w:ind w:firstLine="640"/>
        <w:jc w:val="both"/>
      </w:pPr>
      <w:r>
        <w:rPr>
          <w:rFonts w:ascii="仿宋_GB2312" w:hAnsi="仿宋_GB2312" w:eastAsia="仿宋_GB2312"/>
          <w:b w:val="0"/>
          <w:sz w:val="32"/>
        </w:rPr>
        <w:t>九、《财政拨款“三公”经费支出决算表》</w:t>
      </w:r>
    </w:p>
    <w:p w14:paraId="71814370">
      <w:pPr>
        <w:spacing w:line="240" w:lineRule="auto"/>
        <w:ind w:firstLine="640"/>
        <w:jc w:val="both"/>
      </w:pPr>
    </w:p>
    <w:p w14:paraId="4C97FD96">
      <w:pPr>
        <w:spacing w:line="240" w:lineRule="auto"/>
        <w:ind w:firstLine="640"/>
        <w:jc w:val="both"/>
      </w:pPr>
    </w:p>
    <w:p w14:paraId="5003C51B">
      <w:pPr>
        <w:spacing w:line="240" w:lineRule="auto"/>
        <w:ind w:firstLine="640"/>
        <w:jc w:val="both"/>
      </w:pPr>
    </w:p>
    <w:p w14:paraId="54261BB7">
      <w:pPr>
        <w:spacing w:line="240" w:lineRule="auto"/>
        <w:ind w:firstLine="640"/>
        <w:jc w:val="both"/>
      </w:pPr>
    </w:p>
    <w:p w14:paraId="6397DC1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9C1B7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626D07"/>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7555</Words>
  <Characters>8875</Characters>
  <Lines>0</Lines>
  <Paragraphs>0</Paragraphs>
  <TotalTime>8</TotalTime>
  <ScaleCrop>false</ScaleCrop>
  <LinksUpToDate>false</LinksUpToDate>
  <CharactersWithSpaces>8883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2025-09-30T04:16:14Z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