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529B07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叶城县夏合甫乡人民政府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7EECF53">
      <w:r>
        <w:br w:type="page"/>
      </w:r>
    </w:p>
    <w:p w14:paraId="1C831CCC">
      <w:pPr>
        <w:spacing w:line="640" w:lineRule="exact"/>
        <w:jc w:val="center"/>
        <w:outlineLvl w:val="1"/>
      </w:pPr>
      <w:r>
        <w:rPr>
          <w:rFonts w:ascii="黑体" w:hAnsi="黑体" w:eastAsia="黑体"/>
          <w:sz w:val="32"/>
        </w:rPr>
        <w:t>第一部分 单位概况</w:t>
      </w:r>
    </w:p>
    <w:p w14:paraId="09BECAB3">
      <w:pPr>
        <w:spacing w:line="640" w:lineRule="exact"/>
        <w:ind w:firstLine="640"/>
        <w:jc w:val="both"/>
        <w:outlineLvl w:val="2"/>
      </w:pPr>
      <w:r>
        <w:rPr>
          <w:rFonts w:ascii="黑体" w:hAnsi="黑体" w:eastAsia="黑体"/>
          <w:sz w:val="32"/>
        </w:rPr>
        <w:t>一、主要职能</w:t>
      </w:r>
    </w:p>
    <w:p w14:paraId="2D64E603">
      <w:pPr>
        <w:spacing w:line="580" w:lineRule="exact"/>
        <w:ind w:firstLine="640"/>
        <w:jc w:val="both"/>
      </w:pPr>
      <w:r>
        <w:rPr>
          <w:rFonts w:ascii="仿宋_GB2312" w:hAnsi="仿宋_GB2312" w:eastAsia="仿宋_GB2312"/>
          <w:sz w:val="32"/>
        </w:rPr>
        <w:t>1.认真贯彻新时代党的路线、方针、政策，促进职能转变，巩固加强基层政权建设，建设健全适应新农村经济发展体制机制。</w:t>
      </w:r>
    </w:p>
    <w:p w14:paraId="6D8CA1DE">
      <w:pPr>
        <w:spacing w:line="580" w:lineRule="exact"/>
        <w:ind w:firstLine="640"/>
        <w:jc w:val="both"/>
      </w:pPr>
      <w:r>
        <w:rPr>
          <w:rFonts w:ascii="仿宋_GB2312" w:hAnsi="仿宋_GB2312" w:eastAsia="仿宋_GB2312"/>
          <w:sz w:val="32"/>
        </w:rPr>
        <w:t>2.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完善农村基本经营制度，探索集体经济有效实现形式，引导农民珍惜土地，增加投入，发展集约经营。落实强农惠农措施，确保农民受益。促进民营经济发展，引导农民多渠道转移就业，增加收入，不断提高生活水平。</w:t>
      </w:r>
    </w:p>
    <w:p w14:paraId="0B1EB63A">
      <w:pPr>
        <w:spacing w:line="580" w:lineRule="exact"/>
        <w:ind w:firstLine="640"/>
        <w:jc w:val="both"/>
      </w:pPr>
      <w:r>
        <w:rPr>
          <w:rFonts w:ascii="仿宋_GB2312" w:hAnsi="仿宋_GB2312" w:eastAsia="仿宋_GB2312"/>
          <w:sz w:val="32"/>
        </w:rPr>
        <w:t>3.不断强化公共服务，着力保障改善民生。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改善群众生产生活条件。做好外出务工人员技能培训服务工作，促进农村劳动力平等就业。完善农村公共服务体系，努力建设产业兴旺、生态宜居、乡风文明、治理有效、生活富裕的新农村。</w:t>
      </w:r>
    </w:p>
    <w:p w14:paraId="25DBC938">
      <w:pPr>
        <w:spacing w:line="580" w:lineRule="exact"/>
        <w:ind w:firstLine="640"/>
        <w:jc w:val="both"/>
      </w:pPr>
      <w:r>
        <w:rPr>
          <w:rFonts w:ascii="仿宋_GB2312" w:hAnsi="仿宋_GB2312" w:eastAsia="仿宋_GB2312"/>
          <w:sz w:val="32"/>
        </w:rPr>
        <w:t>4.加强社会管理，加大民主法治宣传教育，加强社会治安综合治理，完善农村治安防控体系，保障人民生命财产安全。做好农村信访工作，畅通诉求渠道，及时掌握社情民意，排查化解矛盾纠纷，妥善处理人民内部矛盾。建立健全农村应急管理体制，提高应急处理能力。维护社会公平正义，确保社会长治久安。</w:t>
      </w:r>
    </w:p>
    <w:p w14:paraId="22D6DDFA">
      <w:pPr>
        <w:spacing w:line="580" w:lineRule="exact"/>
        <w:ind w:firstLine="640"/>
        <w:jc w:val="both"/>
      </w:pPr>
      <w:r>
        <w:rPr>
          <w:rFonts w:ascii="仿宋_GB2312" w:hAnsi="仿宋_GB2312" w:eastAsia="仿宋_GB2312"/>
          <w:sz w:val="32"/>
        </w:rPr>
        <w:t>5.推动</w:t>
      </w:r>
      <w:r>
        <w:rPr>
          <w:rFonts w:hint="eastAsia" w:ascii="仿宋_GB2312" w:hAnsi="仿宋_GB2312" w:eastAsia="仿宋_GB2312"/>
          <w:sz w:val="32"/>
          <w:lang w:eastAsia="zh-CN"/>
        </w:rPr>
        <w:t>基层</w:t>
      </w:r>
      <w:r>
        <w:rPr>
          <w:rFonts w:ascii="仿宋_GB2312" w:hAnsi="仿宋_GB2312" w:eastAsia="仿宋_GB2312"/>
          <w:sz w:val="32"/>
        </w:rPr>
        <w:t>民主，促进农村和谐。加强农村党的基础组织建设、农村基层干部队伍建设、农村党员队伍建设。做好乡人大、群团、国防教育、兵役、民兵等工作。指导村民自治、完善民主议事制度，推进党务公开、村务公开、财务公开，引导农民有序参与村级事务管理，促进社会组织健康发展，增强社会自治功能。</w:t>
      </w:r>
    </w:p>
    <w:p w14:paraId="0A3B8272">
      <w:pPr>
        <w:spacing w:line="580" w:lineRule="exact"/>
        <w:ind w:firstLine="640"/>
        <w:jc w:val="both"/>
      </w:pPr>
      <w:r>
        <w:rPr>
          <w:rFonts w:ascii="仿宋_GB2312" w:hAnsi="仿宋_GB2312" w:eastAsia="仿宋_GB2312"/>
          <w:sz w:val="32"/>
        </w:rPr>
        <w:t>6.加强所属事业单位的管理，协同主管单位抓好其他事业站所的管理。</w:t>
      </w:r>
    </w:p>
    <w:p w14:paraId="4E13C97B">
      <w:pPr>
        <w:spacing w:line="580" w:lineRule="exact"/>
        <w:ind w:firstLine="640"/>
        <w:jc w:val="both"/>
      </w:pPr>
      <w:r>
        <w:rPr>
          <w:rFonts w:ascii="仿宋_GB2312" w:hAnsi="仿宋_GB2312" w:eastAsia="仿宋_GB2312"/>
          <w:sz w:val="32"/>
        </w:rPr>
        <w:t>7.完成县委、县人民政府交办的其他工作。</w:t>
      </w:r>
    </w:p>
    <w:p w14:paraId="4E02CFD6">
      <w:pPr>
        <w:spacing w:line="640" w:lineRule="exact"/>
        <w:ind w:firstLine="640"/>
        <w:jc w:val="both"/>
        <w:outlineLvl w:val="2"/>
      </w:pPr>
      <w:r>
        <w:rPr>
          <w:rFonts w:ascii="黑体" w:hAnsi="黑体" w:eastAsia="黑体"/>
          <w:sz w:val="32"/>
        </w:rPr>
        <w:t>二、机构设置及人员情况</w:t>
      </w:r>
    </w:p>
    <w:p w14:paraId="16F13EB7">
      <w:pPr>
        <w:spacing w:line="580" w:lineRule="exact"/>
        <w:ind w:firstLine="640"/>
        <w:jc w:val="both"/>
      </w:pPr>
      <w:r>
        <w:rPr>
          <w:rFonts w:ascii="仿宋_GB2312" w:hAnsi="仿宋_GB2312" w:eastAsia="仿宋_GB2312"/>
          <w:sz w:val="32"/>
        </w:rPr>
        <w:t>叶城县夏合甫乡人民政府2024年度，实有人数130人，其中：在职人员116人，增加1人；离休人员0人，增加0人；退休人员14人,减少1人。</w:t>
      </w:r>
    </w:p>
    <w:p w14:paraId="55EA7C91">
      <w:pPr>
        <w:spacing w:line="580" w:lineRule="exact"/>
        <w:ind w:firstLine="640"/>
        <w:jc w:val="both"/>
      </w:pPr>
      <w:r>
        <w:rPr>
          <w:rFonts w:ascii="仿宋_GB2312" w:hAnsi="仿宋_GB2312" w:eastAsia="仿宋_GB2312"/>
          <w:sz w:val="32"/>
        </w:rPr>
        <w:t>叶城县夏合甫乡人民政府无下属预算单位，下设5个科室，分别是：党政综合办公室、党建工作办公室、经济发展和财政办公室、社会事务办公室（退役军人服务站）、综合执法办公室。</w:t>
      </w:r>
    </w:p>
    <w:p w14:paraId="22DCBFC4">
      <w:r>
        <w:br w:type="page"/>
      </w:r>
    </w:p>
    <w:p w14:paraId="43A92A88">
      <w:pPr>
        <w:spacing w:line="240" w:lineRule="auto"/>
        <w:jc w:val="center"/>
        <w:outlineLvl w:val="1"/>
      </w:pPr>
      <w:r>
        <w:rPr>
          <w:rFonts w:ascii="黑体" w:hAnsi="黑体" w:eastAsia="黑体"/>
          <w:sz w:val="32"/>
        </w:rPr>
        <w:t>第二部分 部门决算情况说明</w:t>
      </w:r>
    </w:p>
    <w:p w14:paraId="13E61FD7">
      <w:pPr>
        <w:spacing w:line="640" w:lineRule="exact"/>
        <w:ind w:firstLine="640"/>
        <w:jc w:val="both"/>
        <w:outlineLvl w:val="2"/>
      </w:pPr>
      <w:r>
        <w:rPr>
          <w:rFonts w:ascii="黑体" w:hAnsi="黑体" w:eastAsia="黑体"/>
          <w:sz w:val="32"/>
        </w:rPr>
        <w:t>一、收入支出决算总体情况说明</w:t>
      </w:r>
    </w:p>
    <w:p w14:paraId="76DEBF0A">
      <w:pPr>
        <w:spacing w:line="580" w:lineRule="exact"/>
        <w:ind w:firstLine="640"/>
        <w:jc w:val="both"/>
      </w:pPr>
      <w:r>
        <w:rPr>
          <w:rFonts w:ascii="仿宋_GB2312" w:hAnsi="仿宋_GB2312" w:eastAsia="仿宋_GB2312"/>
          <w:b/>
          <w:sz w:val="32"/>
        </w:rPr>
        <w:t>2024年度收入总计6,407.69万元，</w:t>
      </w:r>
      <w:r>
        <w:rPr>
          <w:rFonts w:ascii="仿宋_GB2312" w:hAnsi="仿宋_GB2312" w:eastAsia="仿宋_GB2312"/>
          <w:b w:val="0"/>
          <w:sz w:val="32"/>
        </w:rPr>
        <w:t>其中：本年收入合计6,407.69万元，使用非财政拨款结余（含专用结余）0.00万元，年初结转和结余0.00万元。</w:t>
      </w:r>
    </w:p>
    <w:p w14:paraId="36C2B7F0">
      <w:pPr>
        <w:spacing w:line="580" w:lineRule="exact"/>
        <w:ind w:firstLine="640"/>
        <w:jc w:val="both"/>
      </w:pPr>
      <w:r>
        <w:rPr>
          <w:rFonts w:ascii="仿宋_GB2312" w:hAnsi="仿宋_GB2312" w:eastAsia="仿宋_GB2312"/>
          <w:b/>
          <w:sz w:val="32"/>
        </w:rPr>
        <w:t>2024年度支出总计6,407.69万元，</w:t>
      </w:r>
      <w:r>
        <w:rPr>
          <w:rFonts w:ascii="仿宋_GB2312" w:hAnsi="仿宋_GB2312" w:eastAsia="仿宋_GB2312"/>
          <w:b w:val="0"/>
          <w:sz w:val="32"/>
        </w:rPr>
        <w:t>其中：本年支出合计6,407.69万元，结余分配0.00万元，年末结转和结余0.00万元。</w:t>
      </w:r>
    </w:p>
    <w:p w14:paraId="78E925B5">
      <w:pPr>
        <w:spacing w:line="580" w:lineRule="exact"/>
        <w:ind w:firstLine="640"/>
        <w:jc w:val="both"/>
      </w:pPr>
      <w:r>
        <w:rPr>
          <w:rFonts w:ascii="仿宋_GB2312" w:hAnsi="仿宋_GB2312" w:eastAsia="仿宋_GB2312"/>
          <w:b w:val="0"/>
          <w:sz w:val="32"/>
        </w:rPr>
        <w:t>收入支出总体与上年相比，减少4,583.91万元，下降41.70%，主要原因是：一是本年度减少防渗渠建设项目，温室大棚建设项目，产业就业基地建设项目，脱水蔬菜污水处理项目，其瓦（14）村乡村示范村建设项目，尤喀托喀依（13）村消防水池建设项目；二是本年煤改电项目资金减少。</w:t>
      </w:r>
    </w:p>
    <w:p w14:paraId="2F007829">
      <w:pPr>
        <w:spacing w:line="640" w:lineRule="exact"/>
        <w:ind w:firstLine="640"/>
        <w:jc w:val="both"/>
        <w:outlineLvl w:val="2"/>
      </w:pPr>
      <w:r>
        <w:rPr>
          <w:rFonts w:ascii="黑体" w:hAnsi="黑体" w:eastAsia="黑体"/>
          <w:sz w:val="32"/>
        </w:rPr>
        <w:t>二、收入决算情况说明</w:t>
      </w:r>
    </w:p>
    <w:p w14:paraId="5104BC52">
      <w:pPr>
        <w:spacing w:line="580" w:lineRule="exact"/>
        <w:ind w:firstLine="640"/>
        <w:jc w:val="both"/>
      </w:pPr>
      <w:r>
        <w:rPr>
          <w:rFonts w:ascii="仿宋_GB2312" w:hAnsi="仿宋_GB2312" w:eastAsia="仿宋_GB2312"/>
          <w:b/>
          <w:sz w:val="32"/>
        </w:rPr>
        <w:t>本年收入6,407.69万元，</w:t>
      </w:r>
      <w:r>
        <w:rPr>
          <w:rFonts w:ascii="仿宋_GB2312" w:hAnsi="仿宋_GB2312" w:eastAsia="仿宋_GB2312"/>
          <w:b w:val="0"/>
          <w:sz w:val="32"/>
        </w:rPr>
        <w:t>其中：财政拨款收入6,390.79万元，占99.74%；上级补助收入0.00万元，占0.00%；事业收入0.00万元，占0.00%；经营收入0.00万元，占0.00%；附属单位上缴收入0.00万元，占0.00%；其他收入16.91万元，占0.26%。</w:t>
      </w:r>
    </w:p>
    <w:p w14:paraId="4F200CB1">
      <w:pPr>
        <w:spacing w:line="640" w:lineRule="exact"/>
        <w:ind w:firstLine="640"/>
        <w:jc w:val="both"/>
        <w:outlineLvl w:val="2"/>
      </w:pPr>
      <w:r>
        <w:rPr>
          <w:rFonts w:ascii="黑体" w:hAnsi="黑体" w:eastAsia="黑体"/>
          <w:sz w:val="32"/>
        </w:rPr>
        <w:t>三、支出决算情况说明</w:t>
      </w:r>
    </w:p>
    <w:p w14:paraId="1FAD67D1">
      <w:pPr>
        <w:spacing w:line="580" w:lineRule="exact"/>
        <w:ind w:firstLine="640"/>
        <w:jc w:val="both"/>
      </w:pPr>
      <w:r>
        <w:rPr>
          <w:rFonts w:ascii="仿宋_GB2312" w:hAnsi="仿宋_GB2312" w:eastAsia="仿宋_GB2312"/>
          <w:b/>
          <w:sz w:val="32"/>
        </w:rPr>
        <w:t>本年支出6,407.69万元，</w:t>
      </w:r>
      <w:r>
        <w:rPr>
          <w:rFonts w:ascii="仿宋_GB2312" w:hAnsi="仿宋_GB2312" w:eastAsia="仿宋_GB2312"/>
          <w:b w:val="0"/>
          <w:sz w:val="32"/>
        </w:rPr>
        <w:t>其中：基本支出2,366.48万元，占36.93%；项目支出4,041.22万元，占63.07%；上缴上级支出0.00万元，占0.00%；经营支出0.00万元，占0.00%；对附属单位补助支出0.00万元，占0.00%。</w:t>
      </w:r>
    </w:p>
    <w:p w14:paraId="7A89C669">
      <w:pPr>
        <w:spacing w:line="640" w:lineRule="exact"/>
        <w:ind w:firstLine="640"/>
        <w:jc w:val="both"/>
        <w:outlineLvl w:val="2"/>
      </w:pPr>
      <w:r>
        <w:rPr>
          <w:rFonts w:ascii="黑体" w:hAnsi="黑体" w:eastAsia="黑体"/>
          <w:sz w:val="32"/>
        </w:rPr>
        <w:t>四、财政拨款收入支出决算总体情况说明</w:t>
      </w:r>
    </w:p>
    <w:p w14:paraId="6690BB24">
      <w:pPr>
        <w:spacing w:line="580" w:lineRule="exact"/>
        <w:ind w:firstLine="640"/>
        <w:jc w:val="both"/>
      </w:pPr>
      <w:r>
        <w:rPr>
          <w:rFonts w:ascii="仿宋_GB2312" w:hAnsi="仿宋_GB2312" w:eastAsia="仿宋_GB2312"/>
          <w:b/>
          <w:sz w:val="32"/>
        </w:rPr>
        <w:t>2024年度财政拨款收入总计6,390.79万元，</w:t>
      </w:r>
      <w:r>
        <w:rPr>
          <w:rFonts w:ascii="仿宋_GB2312" w:hAnsi="仿宋_GB2312" w:eastAsia="仿宋_GB2312"/>
          <w:b w:val="0"/>
          <w:sz w:val="32"/>
        </w:rPr>
        <w:t>其中：年初财政拨款结转和结余0.00万元，本年财政拨款收入6,390.79万元。</w:t>
      </w:r>
      <w:r>
        <w:rPr>
          <w:rFonts w:ascii="仿宋_GB2312" w:hAnsi="仿宋_GB2312" w:eastAsia="仿宋_GB2312"/>
          <w:b/>
          <w:sz w:val="32"/>
        </w:rPr>
        <w:t>财政拨款支出总计6,390.79万元，</w:t>
      </w:r>
      <w:r>
        <w:rPr>
          <w:rFonts w:ascii="仿宋_GB2312" w:hAnsi="仿宋_GB2312" w:eastAsia="仿宋_GB2312"/>
          <w:b w:val="0"/>
          <w:sz w:val="32"/>
        </w:rPr>
        <w:t>其中：年末财政拨款结转和结余0.00万元，本年财政拨款支出6,390.79万元。</w:t>
      </w:r>
    </w:p>
    <w:p w14:paraId="1152C67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4,600.22万元，下降41.85%，主要原因是：一是本年度减少防渗渠建设项目，温室大棚建设项目，产业就业基地建设项目，脱水蔬菜污水处理项目，其瓦（14）村乡村示范村建设项目，尤喀托喀依（13）村消防水池建设项目；二是本年煤改电项目资金减少。</w:t>
      </w:r>
      <w:r>
        <w:rPr>
          <w:rFonts w:ascii="仿宋_GB2312" w:hAnsi="仿宋_GB2312" w:eastAsia="仿宋_GB2312"/>
          <w:b/>
          <w:sz w:val="32"/>
        </w:rPr>
        <w:t>与年初预算相比，</w:t>
      </w:r>
      <w:r>
        <w:rPr>
          <w:rFonts w:ascii="仿宋_GB2312" w:hAnsi="仿宋_GB2312" w:eastAsia="仿宋_GB2312"/>
          <w:b w:val="0"/>
          <w:sz w:val="32"/>
        </w:rPr>
        <w:t>年初预算数2,712.73万元，决算数6,390.79万元，预决算差异率135.59%，主要原因是：年中追加叶城县2024年夏合甫乡13村重点示范村乡村</w:t>
      </w:r>
      <w:r>
        <w:rPr>
          <w:rFonts w:hint="eastAsia" w:ascii="仿宋_GB2312" w:hAnsi="仿宋_GB2312" w:eastAsia="仿宋_GB2312"/>
          <w:b w:val="0"/>
          <w:sz w:val="32"/>
          <w:lang w:eastAsia="zh-CN"/>
        </w:rPr>
        <w:t>建设</w:t>
      </w:r>
      <w:r>
        <w:rPr>
          <w:rFonts w:ascii="仿宋_GB2312" w:hAnsi="仿宋_GB2312" w:eastAsia="仿宋_GB2312"/>
          <w:b w:val="0"/>
          <w:sz w:val="32"/>
        </w:rPr>
        <w:t>项目、叶城县2024年保鲜冷藏库改造项目、叶城县2024年夏合甫乡园艺社区农村污水处理建设项目、叶城县夏合甫乡农村水利基础设施建设2024年中央财政以工代赈项目、叶城县2024奶奶林粮间作节水设施配套项目，导致预决算存在差异。</w:t>
      </w:r>
    </w:p>
    <w:p w14:paraId="24979015">
      <w:pPr>
        <w:spacing w:line="640" w:lineRule="exact"/>
        <w:ind w:firstLine="640"/>
        <w:jc w:val="both"/>
        <w:outlineLvl w:val="2"/>
      </w:pPr>
      <w:r>
        <w:rPr>
          <w:rFonts w:ascii="黑体" w:hAnsi="黑体" w:eastAsia="黑体"/>
          <w:sz w:val="32"/>
        </w:rPr>
        <w:t>五、一般公共预算财政拨款支出决算情况说明</w:t>
      </w:r>
    </w:p>
    <w:p w14:paraId="429512B8">
      <w:pPr>
        <w:spacing w:line="640" w:lineRule="exact"/>
        <w:ind w:firstLine="640"/>
        <w:jc w:val="both"/>
        <w:outlineLvl w:val="3"/>
      </w:pPr>
      <w:r>
        <w:rPr>
          <w:rFonts w:ascii="楷体_GB2312" w:hAnsi="楷体_GB2312" w:eastAsia="楷体_GB2312"/>
          <w:b/>
          <w:sz w:val="32"/>
        </w:rPr>
        <w:t>（一）一般公共预算财政拨款支出决算总体情况</w:t>
      </w:r>
    </w:p>
    <w:p w14:paraId="345E51B0">
      <w:pPr>
        <w:spacing w:line="580" w:lineRule="exact"/>
        <w:ind w:firstLine="640"/>
        <w:jc w:val="both"/>
      </w:pPr>
      <w:r>
        <w:rPr>
          <w:rFonts w:ascii="仿宋_GB2312" w:hAnsi="仿宋_GB2312" w:eastAsia="仿宋_GB2312"/>
          <w:b/>
          <w:sz w:val="32"/>
        </w:rPr>
        <w:t>2024年度一般公共预算财政拨款支出6,390.79万元，</w:t>
      </w:r>
      <w:r>
        <w:rPr>
          <w:rFonts w:ascii="仿宋_GB2312" w:hAnsi="仿宋_GB2312" w:eastAsia="仿宋_GB2312"/>
          <w:b w:val="0"/>
          <w:sz w:val="32"/>
        </w:rPr>
        <w:t>占本年支出合计的99.74%。</w:t>
      </w:r>
      <w:r>
        <w:rPr>
          <w:rFonts w:ascii="仿宋_GB2312" w:hAnsi="仿宋_GB2312" w:eastAsia="仿宋_GB2312"/>
          <w:b/>
          <w:sz w:val="32"/>
        </w:rPr>
        <w:t>与上年相比，</w:t>
      </w:r>
      <w:r>
        <w:rPr>
          <w:rFonts w:ascii="仿宋_GB2312" w:hAnsi="仿宋_GB2312" w:eastAsia="仿宋_GB2312"/>
          <w:b w:val="0"/>
          <w:sz w:val="32"/>
        </w:rPr>
        <w:t>减少4,600.22万元，下降41.85%，主要原因是：一是本年度减少防渗渠建设项目，温室大棚建设项目，产业就业基地建设项目，脱水蔬菜污水处理项目，其瓦（14）村乡村示范村建设项目，尤喀托喀依（13）村消防水池建设项目；二是本年煤改电项目资金减少。</w:t>
      </w:r>
      <w:r>
        <w:rPr>
          <w:rFonts w:ascii="仿宋_GB2312" w:hAnsi="仿宋_GB2312" w:eastAsia="仿宋_GB2312"/>
          <w:b/>
          <w:sz w:val="32"/>
        </w:rPr>
        <w:t>与年初预算相比,</w:t>
      </w:r>
      <w:r>
        <w:rPr>
          <w:rFonts w:ascii="仿宋_GB2312" w:hAnsi="仿宋_GB2312" w:eastAsia="仿宋_GB2312"/>
          <w:b w:val="0"/>
          <w:sz w:val="32"/>
        </w:rPr>
        <w:t>年初预算数2,712.73万元，决算数6,390.79万元，预决算差异率135.59%，主要原因是：年中追加叶城县2024年夏合甫乡13村重点示范村乡村</w:t>
      </w:r>
      <w:r>
        <w:rPr>
          <w:rFonts w:hint="eastAsia" w:ascii="仿宋_GB2312" w:hAnsi="仿宋_GB2312" w:eastAsia="仿宋_GB2312"/>
          <w:b w:val="0"/>
          <w:sz w:val="32"/>
          <w:lang w:eastAsia="zh-CN"/>
        </w:rPr>
        <w:t>建设</w:t>
      </w:r>
      <w:r>
        <w:rPr>
          <w:rFonts w:ascii="仿宋_GB2312" w:hAnsi="仿宋_GB2312" w:eastAsia="仿宋_GB2312"/>
          <w:b w:val="0"/>
          <w:sz w:val="32"/>
        </w:rPr>
        <w:t>项目、叶城县2024年保鲜冷藏库改造项目、叶城县2024年夏合甫乡园艺社区农村污水处理建设项目、叶城县夏合甫乡农村水利基础设施建设2024年中央财政以工代赈项目、叶城县2024奶奶林粮间作节水设施配套项目，导致预决算存在差异。</w:t>
      </w:r>
    </w:p>
    <w:p w14:paraId="410E1FC8">
      <w:pPr>
        <w:spacing w:line="640" w:lineRule="exact"/>
        <w:ind w:firstLine="640"/>
        <w:jc w:val="both"/>
        <w:outlineLvl w:val="3"/>
      </w:pPr>
      <w:r>
        <w:rPr>
          <w:rFonts w:ascii="楷体_GB2312" w:hAnsi="楷体_GB2312" w:eastAsia="楷体_GB2312"/>
          <w:b/>
          <w:sz w:val="32"/>
        </w:rPr>
        <w:t>（二）一般公共预算财政拨款支出决算结构情况</w:t>
      </w:r>
    </w:p>
    <w:p w14:paraId="6BFFBF75">
      <w:pPr>
        <w:spacing w:line="580" w:lineRule="exact"/>
        <w:ind w:firstLine="640"/>
        <w:jc w:val="both"/>
      </w:pPr>
      <w:r>
        <w:rPr>
          <w:rFonts w:ascii="仿宋_GB2312" w:hAnsi="仿宋_GB2312" w:eastAsia="仿宋_GB2312"/>
          <w:b w:val="0"/>
          <w:sz w:val="32"/>
        </w:rPr>
        <w:t>1.一般公共服务支出(类)2,098.90万元,占32.84%。</w:t>
      </w:r>
    </w:p>
    <w:p w14:paraId="780F509C">
      <w:pPr>
        <w:spacing w:line="580" w:lineRule="exact"/>
        <w:ind w:firstLine="640"/>
        <w:jc w:val="both"/>
      </w:pPr>
      <w:r>
        <w:rPr>
          <w:rFonts w:ascii="仿宋_GB2312" w:hAnsi="仿宋_GB2312" w:eastAsia="仿宋_GB2312"/>
          <w:b w:val="0"/>
          <w:sz w:val="32"/>
        </w:rPr>
        <w:t>2.公共安全支出(类)6.00万元,占0.09%。</w:t>
      </w:r>
    </w:p>
    <w:p w14:paraId="637C2C63">
      <w:pPr>
        <w:spacing w:line="580" w:lineRule="exact"/>
        <w:ind w:firstLine="640"/>
        <w:jc w:val="both"/>
      </w:pPr>
      <w:r>
        <w:rPr>
          <w:rFonts w:ascii="仿宋_GB2312" w:hAnsi="仿宋_GB2312" w:eastAsia="仿宋_GB2312"/>
          <w:b w:val="0"/>
          <w:sz w:val="32"/>
        </w:rPr>
        <w:t>3.文化旅游体育与传媒支出(类)18.29万元,占0.29%。</w:t>
      </w:r>
    </w:p>
    <w:p w14:paraId="15A0E147">
      <w:pPr>
        <w:spacing w:line="580" w:lineRule="exact"/>
        <w:ind w:firstLine="640"/>
        <w:jc w:val="both"/>
      </w:pPr>
      <w:r>
        <w:rPr>
          <w:rFonts w:ascii="仿宋_GB2312" w:hAnsi="仿宋_GB2312" w:eastAsia="仿宋_GB2312"/>
          <w:b w:val="0"/>
          <w:sz w:val="32"/>
        </w:rPr>
        <w:t>4.社会保障和就业支出(类)265.15万元,占4.15%。</w:t>
      </w:r>
    </w:p>
    <w:p w14:paraId="466D9F23">
      <w:pPr>
        <w:spacing w:line="580" w:lineRule="exact"/>
        <w:ind w:firstLine="640"/>
        <w:jc w:val="both"/>
      </w:pPr>
      <w:r>
        <w:rPr>
          <w:rFonts w:ascii="仿宋_GB2312" w:hAnsi="仿宋_GB2312" w:eastAsia="仿宋_GB2312"/>
          <w:b w:val="0"/>
          <w:sz w:val="32"/>
        </w:rPr>
        <w:t>5.卫生健康支出(类)126.17万元,占1.97%。</w:t>
      </w:r>
    </w:p>
    <w:p w14:paraId="20F84653">
      <w:pPr>
        <w:spacing w:line="580" w:lineRule="exact"/>
        <w:ind w:firstLine="640"/>
        <w:jc w:val="both"/>
      </w:pPr>
      <w:r>
        <w:rPr>
          <w:rFonts w:ascii="仿宋_GB2312" w:hAnsi="仿宋_GB2312" w:eastAsia="仿宋_GB2312"/>
          <w:b w:val="0"/>
          <w:sz w:val="32"/>
        </w:rPr>
        <w:t>6.节能环保支出(类)21.85万元,占0.34%。</w:t>
      </w:r>
    </w:p>
    <w:p w14:paraId="7D7F17D8">
      <w:pPr>
        <w:spacing w:line="580" w:lineRule="exact"/>
        <w:ind w:firstLine="640"/>
        <w:jc w:val="both"/>
      </w:pPr>
      <w:r>
        <w:rPr>
          <w:rFonts w:ascii="仿宋_GB2312" w:hAnsi="仿宋_GB2312" w:eastAsia="仿宋_GB2312"/>
          <w:b w:val="0"/>
          <w:sz w:val="32"/>
        </w:rPr>
        <w:t>7.农林水支出(类)3,664.85万元,占57.35%。</w:t>
      </w:r>
    </w:p>
    <w:p w14:paraId="0F69BBD4">
      <w:pPr>
        <w:spacing w:line="580" w:lineRule="exact"/>
        <w:ind w:firstLine="640"/>
        <w:jc w:val="both"/>
      </w:pPr>
      <w:r>
        <w:rPr>
          <w:rFonts w:ascii="仿宋_GB2312" w:hAnsi="仿宋_GB2312" w:eastAsia="仿宋_GB2312"/>
          <w:b w:val="0"/>
          <w:sz w:val="32"/>
        </w:rPr>
        <w:t>8.交通运输支出(类)0.12万元,占0.002%。</w:t>
      </w:r>
    </w:p>
    <w:p w14:paraId="51A0A54C">
      <w:pPr>
        <w:spacing w:line="580" w:lineRule="exact"/>
        <w:ind w:firstLine="640"/>
        <w:jc w:val="both"/>
      </w:pPr>
      <w:r>
        <w:rPr>
          <w:rFonts w:ascii="仿宋_GB2312" w:hAnsi="仿宋_GB2312" w:eastAsia="仿宋_GB2312"/>
          <w:b w:val="0"/>
          <w:sz w:val="32"/>
        </w:rPr>
        <w:t>9.住房保障支出(类)189.44万元,占2.96%。</w:t>
      </w:r>
    </w:p>
    <w:p w14:paraId="6A694713">
      <w:pPr>
        <w:spacing w:line="640" w:lineRule="exact"/>
        <w:ind w:firstLine="640"/>
        <w:jc w:val="both"/>
        <w:outlineLvl w:val="3"/>
      </w:pPr>
      <w:r>
        <w:rPr>
          <w:rFonts w:ascii="楷体_GB2312" w:hAnsi="楷体_GB2312" w:eastAsia="楷体_GB2312"/>
          <w:b/>
          <w:sz w:val="32"/>
        </w:rPr>
        <w:t>（三）一般公共预算财政拨款支出决算具体情况</w:t>
      </w:r>
    </w:p>
    <w:p w14:paraId="43152FE6">
      <w:pPr>
        <w:spacing w:line="580" w:lineRule="exact"/>
        <w:ind w:firstLine="640"/>
        <w:jc w:val="both"/>
      </w:pPr>
      <w:r>
        <w:rPr>
          <w:rFonts w:ascii="仿宋_GB2312" w:hAnsi="仿宋_GB2312" w:eastAsia="仿宋_GB2312"/>
          <w:b w:val="0"/>
          <w:sz w:val="32"/>
        </w:rPr>
        <w:t>1.一般公共服务支出(类)人大事务(款)行政运行(项):支出决算数为27.50万元，比上年决算增加27.50万元，增长100.00%,主要原因是：本年新增此科目，用于支付部分人员津贴补贴，导致经费增加。</w:t>
      </w:r>
    </w:p>
    <w:p w14:paraId="4E53AD52">
      <w:pPr>
        <w:spacing w:line="580" w:lineRule="exact"/>
        <w:ind w:firstLine="640"/>
        <w:jc w:val="both"/>
      </w:pPr>
      <w:r>
        <w:rPr>
          <w:rFonts w:ascii="仿宋_GB2312" w:hAnsi="仿宋_GB2312" w:eastAsia="仿宋_GB2312"/>
          <w:b w:val="0"/>
          <w:sz w:val="32"/>
        </w:rPr>
        <w:t>2.一般公共服务支出(类)人大事务(款)代表工作(项):支出决算数为1.03万元，比上年决算减少2.42万元，下降70.14%,主要原因是：本年度人大活动经费减少，导致经费较上年减少。</w:t>
      </w:r>
    </w:p>
    <w:p w14:paraId="5618ADF4">
      <w:pPr>
        <w:spacing w:line="580" w:lineRule="exact"/>
        <w:ind w:firstLine="640"/>
        <w:jc w:val="both"/>
      </w:pPr>
      <w:r>
        <w:rPr>
          <w:rFonts w:ascii="仿宋_GB2312" w:hAnsi="仿宋_GB2312" w:eastAsia="仿宋_GB2312"/>
          <w:b w:val="0"/>
          <w:sz w:val="32"/>
        </w:rPr>
        <w:t>3.一般公共服务支出(类)人大事务(款)其他人大事务支出(项):支出决算数为0.00万元，比上年决算减少1.46万元，下降100.00%,主要原因是：本年度人大活动经费减少，导致经费较上年减少。</w:t>
      </w:r>
    </w:p>
    <w:p w14:paraId="62678CFD">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1,763.21万元，比上年决算减少66.25万元，下降3.62%,主要原因是：本年在职人员调入调出，人员职级不同，工资基数不同，导致人员经费较上年减少。</w:t>
      </w:r>
    </w:p>
    <w:p w14:paraId="1EBF3BEB">
      <w:pPr>
        <w:spacing w:line="580" w:lineRule="exact"/>
        <w:ind w:firstLine="640"/>
        <w:jc w:val="both"/>
      </w:pPr>
      <w:r>
        <w:rPr>
          <w:rFonts w:ascii="仿宋_GB2312" w:hAnsi="仿宋_GB2312" w:eastAsia="仿宋_GB2312"/>
          <w:b w:val="0"/>
          <w:sz w:val="32"/>
        </w:rPr>
        <w:t>5.一般公共服务支出(类)政府办公厅（室）及相关机构事务(款)一般行政管理事务(项):支出决算数为58.50万元，比上年决算增加28.56万元，增长95.39%,主要原因是：本年度工作经费增加，用于解决历史遗留问题，日常公用经费增加，导致经费较上年增加。</w:t>
      </w:r>
    </w:p>
    <w:p w14:paraId="0C5373D6">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6.一般公共服务支出(类)纪检监察事务(款)其他纪检监察事务支出(项):支出决算数为2.00万元，比上年决算增加2.00万元，增长100.00%,主要原因是：本年安排叶城县纪检工作经费，导致经费较上年增加。</w:t>
      </w:r>
    </w:p>
    <w:p w14:paraId="7007DA92">
      <w:pPr>
        <w:spacing w:line="580" w:lineRule="exact"/>
        <w:ind w:firstLine="640"/>
        <w:jc w:val="both"/>
      </w:pPr>
      <w:r>
        <w:rPr>
          <w:rFonts w:ascii="仿宋_GB2312" w:hAnsi="仿宋_GB2312" w:eastAsia="仿宋_GB2312"/>
          <w:b w:val="0"/>
          <w:sz w:val="32"/>
        </w:rPr>
        <w:t>7.一般公共服务支出(类)组织事务(款)其他组织事务支出(项):支出决算数为231.66万元，比上年决算减少33.57万元，下降12.66%,主要原因是：本年度村级运转经费和为民办实事经费减少，导致经费较上年减少。</w:t>
      </w:r>
    </w:p>
    <w:p w14:paraId="3C2D98A3">
      <w:pPr>
        <w:spacing w:line="580" w:lineRule="exact"/>
        <w:ind w:firstLine="640"/>
        <w:jc w:val="both"/>
      </w:pPr>
      <w:r>
        <w:rPr>
          <w:rFonts w:ascii="仿宋_GB2312" w:hAnsi="仿宋_GB2312" w:eastAsia="仿宋_GB2312"/>
          <w:b w:val="0"/>
          <w:sz w:val="32"/>
        </w:rPr>
        <w:t>8.一般公共服务支出(类)统战事务(款)宗教事务(项):支出决算数为14.00万元，比上年决算增加14.00万元，增长100.00%,主要原因是：本年度增加统战工作经费，修缮费，导致经费较上年增加。</w:t>
      </w:r>
    </w:p>
    <w:p w14:paraId="3D7696C1">
      <w:pPr>
        <w:spacing w:line="580" w:lineRule="exact"/>
        <w:ind w:firstLine="640"/>
        <w:jc w:val="both"/>
      </w:pPr>
      <w:r>
        <w:rPr>
          <w:rFonts w:ascii="仿宋_GB2312" w:hAnsi="仿宋_GB2312" w:eastAsia="仿宋_GB2312"/>
          <w:b w:val="0"/>
          <w:sz w:val="32"/>
        </w:rPr>
        <w:t>9.一般公共服务支出(类)统战事务(款)其他统战事务支出(项):支出决算数为1.00万元，比上年决算减少9.60万元，下降90.57%,主要原因是：本年度管委会经费减少，导致经费较上年减少。</w:t>
      </w:r>
    </w:p>
    <w:p w14:paraId="69C60D0A">
      <w:pPr>
        <w:spacing w:line="580" w:lineRule="exact"/>
        <w:ind w:firstLine="640"/>
        <w:jc w:val="both"/>
      </w:pPr>
      <w:r>
        <w:rPr>
          <w:rFonts w:ascii="仿宋_GB2312" w:hAnsi="仿宋_GB2312" w:eastAsia="仿宋_GB2312"/>
          <w:b w:val="0"/>
          <w:sz w:val="32"/>
        </w:rPr>
        <w:t>10.公共安全支出(类)其他公共安全支出(款)其他公共安全支出(项):支出决算数为6.00万元，比上年决算减少9.00万元，下降60.00%,主要原因是：本年度2024年信息奖励经费项目资金减少，导致经费较上年减少。</w:t>
      </w:r>
    </w:p>
    <w:p w14:paraId="58F9308A">
      <w:pPr>
        <w:spacing w:line="580" w:lineRule="exact"/>
        <w:ind w:firstLine="640"/>
        <w:jc w:val="both"/>
      </w:pPr>
      <w:r>
        <w:rPr>
          <w:rFonts w:ascii="仿宋_GB2312" w:hAnsi="仿宋_GB2312" w:eastAsia="仿宋_GB2312"/>
          <w:b w:val="0"/>
          <w:sz w:val="32"/>
        </w:rPr>
        <w:t>11.文化旅游体育与传媒支出(类)文化和旅游(款)其他文化和旅游支出(项):支出决算数为0.71万元，比上年决算减少3.58万元，下降83.45%,主要原因是：本年文化站免费开放补助资金减少。</w:t>
      </w:r>
    </w:p>
    <w:p w14:paraId="32AC65DF">
      <w:pPr>
        <w:spacing w:line="580" w:lineRule="exact"/>
        <w:ind w:firstLine="640"/>
        <w:jc w:val="both"/>
      </w:pPr>
      <w:r>
        <w:rPr>
          <w:rFonts w:ascii="仿宋_GB2312" w:hAnsi="仿宋_GB2312" w:eastAsia="仿宋_GB2312"/>
          <w:b w:val="0"/>
          <w:sz w:val="32"/>
        </w:rPr>
        <w:t>12.文化旅游体育与传媒支出(类)其他文化旅游体育与传媒支出(款)其他文化旅游体育与传媒支出(项):支出决算数为17.58万元，比上年决算减少5.48万元，下降23.76%,主要原因是：本年中央补助地方公共文化服务体系建设补助资金减少。</w:t>
      </w:r>
    </w:p>
    <w:p w14:paraId="18D4C7AE">
      <w:pPr>
        <w:spacing w:line="580" w:lineRule="exact"/>
        <w:ind w:firstLine="640"/>
        <w:jc w:val="both"/>
      </w:pPr>
      <w:r>
        <w:rPr>
          <w:rFonts w:ascii="仿宋_GB2312" w:hAnsi="仿宋_GB2312" w:eastAsia="仿宋_GB2312"/>
          <w:b w:val="0"/>
          <w:sz w:val="32"/>
        </w:rPr>
        <w:t>13.社会保障和就业支出(类)民政管理事务(款)其他民政管理事务支出(项):支出决算数为5.00万元，比上年决算增加0.00万元，增长0.00%,主要原因是：2024年自治区农村幸福大院补助资金与上年一致，无变化。</w:t>
      </w:r>
    </w:p>
    <w:p w14:paraId="4CBE1D5D">
      <w:pPr>
        <w:spacing w:line="580" w:lineRule="exact"/>
        <w:ind w:firstLine="640"/>
        <w:jc w:val="both"/>
      </w:pPr>
      <w:r>
        <w:rPr>
          <w:rFonts w:ascii="仿宋_GB2312" w:hAnsi="仿宋_GB2312" w:eastAsia="仿宋_GB2312"/>
          <w:b w:val="0"/>
          <w:sz w:val="32"/>
        </w:rPr>
        <w:t>14.社会保障和就业支出(类)行政事业单位养老支出(款)行政单位离退休(项):支出决算数为17.67万元，比上年决算减少0.90万元，下降4.85%,主要原因是：本年退休人员自然减员，行政单位离退休较上年减少。</w:t>
      </w:r>
    </w:p>
    <w:p w14:paraId="266614E7">
      <w:pPr>
        <w:spacing w:line="580" w:lineRule="exact"/>
        <w:ind w:firstLine="640"/>
        <w:jc w:val="both"/>
      </w:pPr>
      <w:r>
        <w:rPr>
          <w:rFonts w:ascii="仿宋_GB2312" w:hAnsi="仿宋_GB2312" w:eastAsia="仿宋_GB2312"/>
          <w:b w:val="0"/>
          <w:sz w:val="32"/>
        </w:rPr>
        <w:t>15.社会保障和就业支出(类)行政事业单位养老支出(款)机关事业单位基本养老保险缴费支出(项):支出决算数为242.48万元，比上年决算增加74.33万元，增长44.20%,主要原因是：本年在职人员工资基数调增，养老缴费基数上涨，相应支出增加。</w:t>
      </w:r>
    </w:p>
    <w:p w14:paraId="58C8EBED">
      <w:pPr>
        <w:spacing w:line="580" w:lineRule="exact"/>
        <w:ind w:firstLine="640"/>
        <w:jc w:val="both"/>
      </w:pPr>
      <w:r>
        <w:rPr>
          <w:rFonts w:ascii="仿宋_GB2312" w:hAnsi="仿宋_GB2312" w:eastAsia="仿宋_GB2312"/>
          <w:b w:val="0"/>
          <w:sz w:val="32"/>
        </w:rPr>
        <w:t>16.卫生健康支出(类)行政事业单位医疗(款)行政单位医疗(项):支出决算数为102.92万元，比上年决算增加30.93万元，增长42.96%,主要原因是：本年在职人员工资基数调增，医疗缴费基数上涨，相应支出增加。</w:t>
      </w:r>
    </w:p>
    <w:p w14:paraId="460C9BFE">
      <w:pPr>
        <w:spacing w:line="580" w:lineRule="exact"/>
        <w:ind w:firstLine="640"/>
        <w:jc w:val="both"/>
      </w:pPr>
      <w:r>
        <w:rPr>
          <w:rFonts w:ascii="仿宋_GB2312" w:hAnsi="仿宋_GB2312" w:eastAsia="仿宋_GB2312"/>
          <w:b w:val="0"/>
          <w:sz w:val="32"/>
        </w:rPr>
        <w:t>17.卫生健康支出(类)行政事业单位医疗(款)公务员医疗补助(项):支出决算数为23.25万元，比上年决算增加7.21万元，增长44.95%,主要原因是：本年在职人员工资基数调增，医疗缴费基数上涨，相应支出增加。</w:t>
      </w:r>
    </w:p>
    <w:p w14:paraId="2A9D6671">
      <w:pPr>
        <w:spacing w:line="580" w:lineRule="exact"/>
        <w:ind w:firstLine="640"/>
        <w:jc w:val="both"/>
      </w:pPr>
      <w:r>
        <w:rPr>
          <w:rFonts w:ascii="仿宋_GB2312" w:hAnsi="仿宋_GB2312" w:eastAsia="仿宋_GB2312"/>
          <w:b w:val="0"/>
          <w:sz w:val="32"/>
        </w:rPr>
        <w:t>18.节能环保支出(类)能源节约利用(款)能源节约利用(项):支出决算数为21.85万元，比上年决算减少959.80万元，下降97.77%,主要原因是：本年度煤改电项目资金减少。</w:t>
      </w:r>
    </w:p>
    <w:p w14:paraId="428EAD59">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19.农林水支出(类)农业农村(款)行政运行(项):支出决算数为0.00万元，比上年决算减少53.99万元，下降100.00%,主要原因是：本年无此科目安排的津贴补贴，导致经费较上年减少。</w:t>
      </w:r>
    </w:p>
    <w:p w14:paraId="3E153A88">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20.农林水支出(类)农业农村(款)农业生产发展(项):支出决算数为3.52万元，比上年决算增加3.52万元，增长100.00%,主要原因是：本年增加高素质农民培训项目-夏合乡英巴格（3）村、夏合乡英亚（4）村。</w:t>
      </w:r>
    </w:p>
    <w:p w14:paraId="3986F5EE">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0.00万元，比上年决算减少22.03万元，下降100.00%,主要原因是：本年减少2022年产业就业基地建设项目、2022年16村示范村乡村建设项目等。</w:t>
      </w:r>
    </w:p>
    <w:p w14:paraId="77C11C9B">
      <w:pPr>
        <w:spacing w:line="580" w:lineRule="exact"/>
        <w:ind w:firstLine="640"/>
        <w:jc w:val="both"/>
      </w:pPr>
      <w:r>
        <w:rPr>
          <w:rFonts w:ascii="仿宋_GB2312" w:hAnsi="仿宋_GB2312" w:eastAsia="仿宋_GB2312"/>
          <w:b w:val="0"/>
          <w:sz w:val="32"/>
        </w:rPr>
        <w:t>22.农林水支出(类)巩固脱贫攻坚成果衔接乡村振兴(款)生产发展(项):支出决算数为3,600.02万元，比上年决算减少3,744.46万元，下降50.98%,主要原因是：本年度减少防渗渠建设项目，温室大棚建设项目，产业就业基地建设项目，脱水蔬菜污水处理项目，其瓦（14）村乡村示范村建设项目，尤喀托喀依（13）村消防水池建设项目。</w:t>
      </w:r>
    </w:p>
    <w:p w14:paraId="37883ACD">
      <w:pPr>
        <w:spacing w:line="580" w:lineRule="exact"/>
        <w:ind w:firstLine="640"/>
        <w:jc w:val="both"/>
      </w:pPr>
      <w:r>
        <w:rPr>
          <w:rFonts w:ascii="仿宋_GB2312" w:hAnsi="仿宋_GB2312" w:eastAsia="仿宋_GB2312"/>
          <w:b w:val="0"/>
          <w:sz w:val="32"/>
        </w:rPr>
        <w:t>23.农林水支出(类)农村综合改革(款)对村级公益事业建设的补助(项):支出决算数为50.00万元，比上年决算增加50.00万元，增长100.00%,主要原因是：本年度增加夏合甫2村2024年中央综改农村公益事业财政奖补资金项目。</w:t>
      </w:r>
    </w:p>
    <w:p w14:paraId="1B229B63">
      <w:pPr>
        <w:spacing w:line="580" w:lineRule="exact"/>
        <w:ind w:firstLine="640"/>
        <w:jc w:val="both"/>
      </w:pPr>
      <w:r>
        <w:rPr>
          <w:rFonts w:ascii="仿宋_GB2312" w:hAnsi="仿宋_GB2312" w:eastAsia="仿宋_GB2312"/>
          <w:b w:val="0"/>
          <w:sz w:val="32"/>
        </w:rPr>
        <w:t>24.农林水支出(类)农村综合改革(款)其他农村综合改革支出(项):支出决算数为11.31万元，比上年决算增加11.31万元，增长100.00%,主要原因是：本年度增加2024年地方国有农牧场税费改革转移支付资金项目。</w:t>
      </w:r>
    </w:p>
    <w:p w14:paraId="727B94D0">
      <w:pPr>
        <w:spacing w:line="580" w:lineRule="exact"/>
        <w:ind w:firstLine="640"/>
        <w:jc w:val="both"/>
      </w:pPr>
      <w:r>
        <w:rPr>
          <w:rFonts w:ascii="仿宋_GB2312" w:hAnsi="仿宋_GB2312" w:eastAsia="仿宋_GB2312"/>
          <w:b w:val="0"/>
          <w:sz w:val="32"/>
        </w:rPr>
        <w:t>25.交通运输支出(类)邮政业支出(款)邮政普遍服务与特殊服务(项):支出决算数为0.12万元，比上年决算增加0.00万元，增长0.00%,主要原因是：2024年农牧区投递员专项补贴资金与上年一致，无变化。</w:t>
      </w:r>
    </w:p>
    <w:p w14:paraId="41881326">
      <w:pPr>
        <w:spacing w:line="580" w:lineRule="exact"/>
        <w:ind w:firstLine="640"/>
        <w:jc w:val="both"/>
      </w:pPr>
      <w:r>
        <w:rPr>
          <w:rFonts w:ascii="仿宋_GB2312" w:hAnsi="仿宋_GB2312" w:eastAsia="仿宋_GB2312"/>
          <w:b w:val="0"/>
          <w:sz w:val="32"/>
        </w:rPr>
        <w:t>26.住房保障支出(类)住房改革支出(款)住房公积金(项):支出决算数为189.44万元，比上年决算增加62.96万元，增长49.78%,主要原因是：本年在职人员工资基数调增，公积金缴费基数上涨，相应支出增加。</w:t>
      </w:r>
    </w:p>
    <w:p w14:paraId="1396E271">
      <w:pPr>
        <w:spacing w:line="640" w:lineRule="exact"/>
        <w:ind w:firstLine="640"/>
        <w:jc w:val="both"/>
        <w:outlineLvl w:val="2"/>
      </w:pPr>
      <w:r>
        <w:rPr>
          <w:rFonts w:ascii="黑体" w:hAnsi="黑体" w:eastAsia="黑体"/>
          <w:sz w:val="32"/>
        </w:rPr>
        <w:t>六、一般公共预算财政拨款基本支出决算情况说明</w:t>
      </w:r>
    </w:p>
    <w:p w14:paraId="0D8DDB12">
      <w:pPr>
        <w:spacing w:line="580" w:lineRule="exact"/>
        <w:ind w:firstLine="640"/>
        <w:jc w:val="both"/>
      </w:pPr>
      <w:r>
        <w:rPr>
          <w:rFonts w:ascii="仿宋_GB2312" w:hAnsi="仿宋_GB2312" w:eastAsia="仿宋_GB2312"/>
          <w:b w:val="0"/>
          <w:sz w:val="32"/>
        </w:rPr>
        <w:t>2024年度一般公共预算财政拨款基本支出2,366.48万元，其中：</w:t>
      </w:r>
      <w:r>
        <w:rPr>
          <w:rFonts w:ascii="仿宋_GB2312" w:hAnsi="仿宋_GB2312" w:eastAsia="仿宋_GB2312"/>
          <w:b/>
          <w:sz w:val="32"/>
        </w:rPr>
        <w:t>人员经费2,308.11万元，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包括：基本工资、津贴补贴、奖金、绩效工资、机关事业单位基本养老保险缴费、职工基本医疗保险缴费、公务员医疗补助缴费、其他社会保障缴费、住房公积金、退休费、生活补助、奖励金。</w:t>
      </w:r>
    </w:p>
    <w:p w14:paraId="70E9AA11">
      <w:pPr>
        <w:spacing w:line="580" w:lineRule="exact"/>
        <w:ind w:firstLine="640"/>
        <w:jc w:val="both"/>
      </w:pPr>
      <w:r>
        <w:rPr>
          <w:rFonts w:ascii="仿宋_GB2312" w:hAnsi="仿宋_GB2312" w:eastAsia="仿宋_GB2312"/>
          <w:b/>
          <w:sz w:val="32"/>
        </w:rPr>
        <w:t>公用经费58.37万元，</w:t>
      </w:r>
      <w:r>
        <w:rPr>
          <w:rFonts w:ascii="仿宋_GB2312" w:hAnsi="仿宋_GB2312" w:eastAsia="仿宋_GB2312"/>
          <w:b w:val="0"/>
          <w:sz w:val="32"/>
        </w:rPr>
        <w:t>包括：办公费、水费、电费、邮电费、劳务费、公务用车运行维护费。</w:t>
      </w:r>
    </w:p>
    <w:p w14:paraId="74D570AB">
      <w:pPr>
        <w:spacing w:line="640" w:lineRule="exact"/>
        <w:ind w:firstLine="640"/>
        <w:jc w:val="both"/>
        <w:outlineLvl w:val="2"/>
      </w:pPr>
      <w:r>
        <w:rPr>
          <w:rFonts w:ascii="黑体" w:hAnsi="黑体" w:eastAsia="黑体"/>
          <w:sz w:val="32"/>
        </w:rPr>
        <w:t>七、政府性基金预算财政拨款收入支出决算情况说明</w:t>
      </w:r>
    </w:p>
    <w:p w14:paraId="2D28B58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96D020E">
      <w:pPr>
        <w:spacing w:line="640" w:lineRule="exact"/>
        <w:ind w:firstLine="640"/>
        <w:jc w:val="both"/>
        <w:outlineLvl w:val="2"/>
      </w:pPr>
      <w:r>
        <w:rPr>
          <w:rFonts w:ascii="黑体" w:hAnsi="黑体" w:eastAsia="黑体"/>
          <w:sz w:val="32"/>
        </w:rPr>
        <w:t>八、国有资本经营预算财政拨款收入支出决算情况说明</w:t>
      </w:r>
    </w:p>
    <w:p w14:paraId="618BC85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63A4F21">
      <w:pPr>
        <w:spacing w:line="640" w:lineRule="exact"/>
        <w:ind w:firstLine="640"/>
        <w:jc w:val="both"/>
        <w:outlineLvl w:val="2"/>
      </w:pPr>
      <w:r>
        <w:rPr>
          <w:rFonts w:ascii="黑体" w:hAnsi="黑体" w:eastAsia="黑体"/>
          <w:sz w:val="32"/>
        </w:rPr>
        <w:t>九、财政拨款“三公”经费支出决算情况说明</w:t>
      </w:r>
    </w:p>
    <w:p w14:paraId="7D8D96CE">
      <w:pPr>
        <w:spacing w:line="580" w:lineRule="exact"/>
        <w:ind w:firstLine="640"/>
        <w:jc w:val="both"/>
      </w:pPr>
      <w:r>
        <w:rPr>
          <w:rFonts w:ascii="仿宋_GB2312" w:hAnsi="仿宋_GB2312" w:eastAsia="仿宋_GB2312"/>
          <w:b/>
          <w:sz w:val="32"/>
        </w:rPr>
        <w:t>2024年度财政拨款“三公”经费支出1.96万元，</w:t>
      </w:r>
      <w:r>
        <w:rPr>
          <w:rFonts w:ascii="仿宋_GB2312" w:hAnsi="仿宋_GB2312" w:eastAsia="仿宋_GB2312"/>
          <w:b w:val="0"/>
          <w:sz w:val="32"/>
        </w:rPr>
        <w:t>比上年减少2.18万元，下降52.66%，主要原因是：严格执行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1.96万元，占100.00%，比上年减少2.18万元，下降52.66%，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5F5D2A33">
      <w:pPr>
        <w:spacing w:line="580" w:lineRule="exact"/>
        <w:ind w:firstLine="640"/>
        <w:jc w:val="both"/>
      </w:pPr>
      <w:r>
        <w:rPr>
          <w:rFonts w:ascii="仿宋_GB2312" w:hAnsi="仿宋_GB2312" w:eastAsia="仿宋_GB2312"/>
          <w:b/>
          <w:sz w:val="32"/>
        </w:rPr>
        <w:t>具体情况如下：</w:t>
      </w:r>
    </w:p>
    <w:p w14:paraId="08A544E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2DA93C">
      <w:pPr>
        <w:spacing w:line="580" w:lineRule="exact"/>
        <w:ind w:firstLine="640"/>
        <w:jc w:val="both"/>
      </w:pPr>
      <w:r>
        <w:rPr>
          <w:rFonts w:ascii="仿宋_GB2312" w:hAnsi="仿宋_GB2312" w:eastAsia="仿宋_GB2312"/>
          <w:b w:val="0"/>
          <w:sz w:val="32"/>
        </w:rPr>
        <w:t>公务用车购置及运行维护费1.96万元，其中：公务用车购置费0.00万元，公务用车运行维护费1.96万元。公务用车运行维护费开支内容包括车辆加油费、维修费、保险费。公务用车购置数0辆，公务用车保有量3辆。国有资产占用情况中固定资产车辆3辆，与公务用车保有量差异原因是：本单位固定资产车辆与公务用车保有量一致无差异。</w:t>
      </w:r>
    </w:p>
    <w:p w14:paraId="003E053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45738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1.96万元，决算数1.96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1.96万元，决算数1.96万元，预决算差异率0.00%，主要原因是：严格按照预算执行，预决算无差异。公务接待费全年预算数0.00万元，决算数0.00万元，预决算差异率0.00%，主要原因是：本单位无公务接待费。</w:t>
      </w:r>
    </w:p>
    <w:p w14:paraId="70D18C2D">
      <w:pPr>
        <w:spacing w:line="640" w:lineRule="exact"/>
        <w:ind w:firstLine="640"/>
        <w:jc w:val="both"/>
        <w:outlineLvl w:val="2"/>
      </w:pPr>
      <w:r>
        <w:rPr>
          <w:rFonts w:ascii="黑体" w:hAnsi="黑体" w:eastAsia="黑体"/>
          <w:sz w:val="32"/>
        </w:rPr>
        <w:t>十、其他重要事项的情况说明</w:t>
      </w:r>
    </w:p>
    <w:p w14:paraId="2DB34F90">
      <w:pPr>
        <w:spacing w:line="640" w:lineRule="exact"/>
        <w:ind w:firstLine="640"/>
        <w:jc w:val="both"/>
        <w:outlineLvl w:val="3"/>
      </w:pPr>
      <w:r>
        <w:rPr>
          <w:rFonts w:ascii="楷体_GB2312" w:hAnsi="楷体_GB2312" w:eastAsia="楷体_GB2312"/>
          <w:b/>
          <w:sz w:val="32"/>
        </w:rPr>
        <w:t>（一）机关运行经费及公用经费支出情况</w:t>
      </w:r>
    </w:p>
    <w:p w14:paraId="4373893B">
      <w:pPr>
        <w:spacing w:line="580" w:lineRule="exact"/>
        <w:ind w:firstLine="640"/>
        <w:jc w:val="both"/>
      </w:pPr>
      <w:r>
        <w:rPr>
          <w:rFonts w:ascii="仿宋_GB2312" w:hAnsi="仿宋_GB2312" w:eastAsia="仿宋_GB2312"/>
          <w:b w:val="0"/>
          <w:sz w:val="32"/>
        </w:rPr>
        <w:t>2024年度叶城县夏合甫乡人民政府（行政单位和参照公务员法管理事业单位）机关运行经费支出58.37万元，比上年增加20.15万元，增长52.72%，主要原因是：本年办公费、劳务费支出增加，导致机关运行经费支出较上年增加。</w:t>
      </w:r>
    </w:p>
    <w:p w14:paraId="019D6DCE">
      <w:pPr>
        <w:spacing w:line="640" w:lineRule="exact"/>
        <w:ind w:firstLine="640"/>
        <w:jc w:val="both"/>
        <w:outlineLvl w:val="3"/>
      </w:pPr>
      <w:r>
        <w:rPr>
          <w:rFonts w:ascii="楷体_GB2312" w:hAnsi="楷体_GB2312" w:eastAsia="楷体_GB2312"/>
          <w:b/>
          <w:sz w:val="32"/>
        </w:rPr>
        <w:t>（二）政府采购情况</w:t>
      </w:r>
    </w:p>
    <w:p w14:paraId="6CBEBD84">
      <w:pPr>
        <w:spacing w:line="580" w:lineRule="exact"/>
        <w:ind w:firstLine="640"/>
        <w:jc w:val="both"/>
      </w:pPr>
      <w:r>
        <w:rPr>
          <w:rFonts w:ascii="仿宋_GB2312" w:hAnsi="仿宋_GB2312" w:eastAsia="仿宋_GB2312"/>
          <w:b w:val="0"/>
          <w:sz w:val="32"/>
        </w:rPr>
        <w:t>2024年度政府采购支出总额860.74万元，其中：政府采购货物支出433.03万元、政府采购工程支出29.03万元、政府采购服务支出398.68万元。</w:t>
      </w:r>
    </w:p>
    <w:p w14:paraId="72145BCD">
      <w:pPr>
        <w:spacing w:line="580" w:lineRule="exact"/>
        <w:ind w:firstLine="640"/>
        <w:jc w:val="both"/>
      </w:pPr>
      <w:r>
        <w:rPr>
          <w:rFonts w:ascii="仿宋_GB2312" w:hAnsi="仿宋_GB2312" w:eastAsia="仿宋_GB2312"/>
          <w:b w:val="0"/>
          <w:sz w:val="32"/>
        </w:rPr>
        <w:t>授予中小企业合同金额859.55万元，占政府采购支出总额的99.86%，其中：授予小微企业合同金额859.09万元，占政府采购支出总额的99.81%。</w:t>
      </w:r>
    </w:p>
    <w:p w14:paraId="4A9C1AD8">
      <w:pPr>
        <w:spacing w:line="640" w:lineRule="exact"/>
        <w:ind w:firstLine="640"/>
        <w:jc w:val="both"/>
        <w:outlineLvl w:val="3"/>
      </w:pPr>
      <w:r>
        <w:rPr>
          <w:rFonts w:ascii="楷体_GB2312" w:hAnsi="楷体_GB2312" w:eastAsia="楷体_GB2312"/>
          <w:b/>
          <w:sz w:val="32"/>
        </w:rPr>
        <w:t>（三）国有资产占用情况说明</w:t>
      </w:r>
    </w:p>
    <w:p w14:paraId="508D9E1C">
      <w:pPr>
        <w:spacing w:line="580" w:lineRule="exact"/>
        <w:ind w:firstLine="640"/>
        <w:jc w:val="both"/>
      </w:pPr>
      <w:r>
        <w:rPr>
          <w:rFonts w:ascii="仿宋_GB2312" w:hAnsi="仿宋_GB2312" w:eastAsia="仿宋_GB2312"/>
          <w:b w:val="0"/>
          <w:sz w:val="32"/>
        </w:rPr>
        <w:t>截至2024年12月31日，房屋7,053.50平方米，价值550.40万元。车辆3辆，价值28.34万元，其中：副部（省）级及以上领导用车0辆、主要负责人用车0辆、机要通信用车0辆、应急保障用车0辆、执法执勤用车0辆、特种专业技术用车0辆、离退休干部服务用车0辆、其他用车3辆，其他用车主要是：沼渣沼液抽排车2辆、绿化洒水车1辆。单价100万元（含）以上设备（不含车辆）0台（套）。</w:t>
      </w:r>
    </w:p>
    <w:p w14:paraId="04778F01">
      <w:pPr>
        <w:spacing w:line="640" w:lineRule="exact"/>
        <w:ind w:firstLine="640"/>
        <w:jc w:val="both"/>
        <w:outlineLvl w:val="2"/>
      </w:pPr>
      <w:r>
        <w:rPr>
          <w:rFonts w:ascii="黑体" w:hAnsi="黑体" w:eastAsia="黑体"/>
          <w:sz w:val="32"/>
        </w:rPr>
        <w:t>十一、预算绩效的情况说明</w:t>
      </w:r>
    </w:p>
    <w:p w14:paraId="60039B8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6,407.70万元，实际执行总额6,407.70万元；预算绩效评价项目3个，全年预算数132.99万元，全年执行数69.11万元。预算绩效管理取得的成效：项目通过了政府及财政部门审批，依据充分，绩效目标比较明确。制定了实施方案，在项目实施过程中执行了相关政策规定，项目的审批、资金拨付等资料较为完整，且未发现不符合政策要求的情况。乡政府内部建立了财务管理制度。发现的问题及原因：一是项目的前期准备工作不严谨，对项目实施未进行深入分析，没有合理的项目管理计划或方案。二是项目预算绩效管理工作不健全，管理意识薄弱预算管理意识不强，管理较混乱，没有建立专门的制度。在项目进行过程中，影响</w:t>
      </w:r>
      <w:r>
        <w:rPr>
          <w:rFonts w:hint="eastAsia" w:ascii="仿宋_GB2312" w:hAnsi="仿宋_GB2312" w:eastAsia="仿宋_GB2312"/>
          <w:b w:val="0"/>
          <w:sz w:val="32"/>
          <w:lang w:eastAsia="zh-CN"/>
        </w:rPr>
        <w:t>项目</w:t>
      </w:r>
      <w:r>
        <w:rPr>
          <w:rFonts w:ascii="仿宋_GB2312" w:hAnsi="仿宋_GB2312" w:eastAsia="仿宋_GB2312"/>
          <w:b w:val="0"/>
          <w:sz w:val="32"/>
        </w:rPr>
        <w:t>实施的效率及效益。下一步改进措施：一是做好项目实施前中后公示公开，做好群众选出工作。二是加强项目实施范围涉及群众利益沟通。三是加强监督检查，健全问责机制。将专项公用经费的监督检查纳入常态化工作，定期开展专项审计和检查，及时发现问题和纠正问题。四是细化资金管理制度。明确负面清单，制定资金使用的“禁止性条款清单”等，并加强警示。具体附整体支出绩效自评表，项目支出绩效自评表和评价报告。</w:t>
      </w:r>
    </w:p>
    <w:p w14:paraId="795BEC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77CA03B">
        <w:tblPrEx>
          <w:tblCellMar>
            <w:top w:w="0" w:type="dxa"/>
            <w:left w:w="108" w:type="dxa"/>
            <w:bottom w:w="0" w:type="dxa"/>
            <w:right w:w="108" w:type="dxa"/>
          </w:tblCellMar>
        </w:tblPrEx>
        <w:tc>
          <w:tcPr>
            <w:tcW w:w="8847" w:type="dxa"/>
            <w:gridSpan w:val="9"/>
            <w:vAlign w:val="center"/>
          </w:tcPr>
          <w:p w14:paraId="720BCD5F">
            <w:pPr>
              <w:jc w:val="center"/>
            </w:pPr>
            <w:r>
              <w:rPr>
                <w:rFonts w:ascii="宋体" w:hAnsi="宋体" w:eastAsia="宋体"/>
                <w:sz w:val="24"/>
              </w:rPr>
              <w:t>单位整体支出绩效自评表</w:t>
            </w:r>
          </w:p>
        </w:tc>
      </w:tr>
      <w:tr w14:paraId="5A6EA126">
        <w:tblPrEx>
          <w:tblCellMar>
            <w:top w:w="0" w:type="dxa"/>
            <w:left w:w="108" w:type="dxa"/>
            <w:bottom w:w="0" w:type="dxa"/>
            <w:right w:w="108" w:type="dxa"/>
          </w:tblCellMar>
        </w:tblPrEx>
        <w:tc>
          <w:tcPr>
            <w:tcW w:w="8847" w:type="dxa"/>
            <w:gridSpan w:val="9"/>
            <w:vAlign w:val="center"/>
          </w:tcPr>
          <w:p w14:paraId="218B6199">
            <w:pPr>
              <w:jc w:val="center"/>
            </w:pPr>
            <w:r>
              <w:rPr>
                <w:rFonts w:ascii="宋体" w:hAnsi="宋体" w:eastAsia="宋体"/>
                <w:sz w:val="24"/>
              </w:rPr>
              <w:t>（2024年度）</w:t>
            </w:r>
          </w:p>
        </w:tc>
      </w:tr>
      <w:tr w14:paraId="3C2760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0580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39DF44">
            <w:pPr>
              <w:jc w:val="center"/>
            </w:pPr>
            <w:r>
              <w:rPr>
                <w:rFonts w:ascii="宋体" w:hAnsi="宋体" w:eastAsia="宋体"/>
                <w:sz w:val="16"/>
              </w:rPr>
              <w:t>叶城县夏合甫乡人民政府</w:t>
            </w:r>
          </w:p>
        </w:tc>
      </w:tr>
      <w:tr w14:paraId="4A6F4E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A973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0766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4D0D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B652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3445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E693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0EC0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B640">
            <w:pPr>
              <w:jc w:val="center"/>
            </w:pPr>
            <w:r>
              <w:rPr>
                <w:rFonts w:ascii="宋体" w:hAnsi="宋体" w:eastAsia="宋体"/>
                <w:sz w:val="16"/>
              </w:rPr>
              <w:t>得分</w:t>
            </w:r>
          </w:p>
        </w:tc>
      </w:tr>
      <w:tr w14:paraId="15AF7B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823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0A65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A1ADD">
            <w:pPr>
              <w:jc w:val="center"/>
            </w:pPr>
            <w:r>
              <w:rPr>
                <w:rFonts w:ascii="宋体" w:hAnsi="宋体" w:eastAsia="宋体"/>
                <w:sz w:val="16"/>
              </w:rPr>
              <w:t>2,712.74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9A898">
            <w:pPr>
              <w:jc w:val="center"/>
            </w:pPr>
            <w:r>
              <w:rPr>
                <w:rFonts w:ascii="宋体" w:hAnsi="宋体" w:eastAsia="宋体"/>
                <w:sz w:val="16"/>
              </w:rPr>
              <w:t>6,407.70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FEC27">
            <w:pPr>
              <w:jc w:val="center"/>
            </w:pPr>
            <w:r>
              <w:rPr>
                <w:rFonts w:ascii="宋体" w:hAnsi="宋体" w:eastAsia="宋体"/>
                <w:sz w:val="16"/>
              </w:rPr>
              <w:t>6,407.70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6E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2AFC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72CAD">
            <w:pPr>
              <w:jc w:val="center"/>
            </w:pPr>
            <w:r>
              <w:rPr>
                <w:rFonts w:ascii="宋体" w:hAnsi="宋体" w:eastAsia="宋体"/>
                <w:sz w:val="16"/>
              </w:rPr>
              <w:t>10</w:t>
            </w:r>
          </w:p>
        </w:tc>
      </w:tr>
      <w:tr w14:paraId="33939C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81A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3655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3A4CC">
            <w:pPr>
              <w:jc w:val="center"/>
            </w:pPr>
            <w:r>
              <w:rPr>
                <w:rFonts w:ascii="宋体" w:hAnsi="宋体" w:eastAsia="宋体"/>
                <w:sz w:val="16"/>
              </w:rPr>
              <w:t>292.37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675B">
            <w:pPr>
              <w:jc w:val="center"/>
            </w:pPr>
            <w:r>
              <w:rPr>
                <w:rFonts w:ascii="宋体" w:hAnsi="宋体" w:eastAsia="宋体"/>
                <w:sz w:val="16"/>
              </w:rPr>
              <w:t>6,390.79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79F81">
            <w:pPr>
              <w:jc w:val="center"/>
            </w:pPr>
            <w:r>
              <w:rPr>
                <w:rFonts w:ascii="宋体" w:hAnsi="宋体" w:eastAsia="宋体"/>
                <w:sz w:val="16"/>
              </w:rPr>
              <w:t>6,390.79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4B6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AAAE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7A24C">
            <w:pPr>
              <w:jc w:val="center"/>
            </w:pPr>
            <w:r>
              <w:rPr>
                <w:rFonts w:ascii="宋体" w:hAnsi="宋体" w:eastAsia="宋体"/>
                <w:sz w:val="16"/>
              </w:rPr>
              <w:t>—</w:t>
            </w:r>
          </w:p>
        </w:tc>
      </w:tr>
      <w:tr w14:paraId="577CD3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7FC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295A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21E79">
            <w:pPr>
              <w:jc w:val="center"/>
            </w:pPr>
            <w:r>
              <w:rPr>
                <w:rFonts w:ascii="宋体" w:hAnsi="宋体" w:eastAsia="宋体"/>
                <w:sz w:val="16"/>
              </w:rPr>
              <w:t>2,420.37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59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48B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BF4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9146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BDBD">
            <w:pPr>
              <w:jc w:val="center"/>
            </w:pPr>
            <w:r>
              <w:rPr>
                <w:rFonts w:ascii="宋体" w:hAnsi="宋体" w:eastAsia="宋体"/>
                <w:sz w:val="16"/>
              </w:rPr>
              <w:t>—</w:t>
            </w:r>
          </w:p>
        </w:tc>
      </w:tr>
      <w:tr w14:paraId="520020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1ED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463D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42E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E0E4A">
            <w:pPr>
              <w:jc w:val="center"/>
            </w:pPr>
            <w:r>
              <w:rPr>
                <w:rFonts w:ascii="宋体" w:hAnsi="宋体" w:eastAsia="宋体"/>
                <w:sz w:val="16"/>
              </w:rPr>
              <w:t>16.91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AC42B">
            <w:pPr>
              <w:jc w:val="center"/>
            </w:pPr>
            <w:r>
              <w:rPr>
                <w:rFonts w:ascii="宋体" w:hAnsi="宋体" w:eastAsia="宋体"/>
                <w:sz w:val="16"/>
              </w:rPr>
              <w:t>16.91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03A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552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B32F">
            <w:pPr>
              <w:jc w:val="center"/>
            </w:pPr>
            <w:r>
              <w:rPr>
                <w:rFonts w:ascii="宋体" w:hAnsi="宋体" w:eastAsia="宋体"/>
                <w:sz w:val="16"/>
              </w:rPr>
              <w:t>—</w:t>
            </w:r>
          </w:p>
        </w:tc>
      </w:tr>
      <w:tr w14:paraId="01B9B5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4254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38CCE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68986A">
            <w:pPr>
              <w:jc w:val="center"/>
            </w:pPr>
            <w:r>
              <w:rPr>
                <w:rFonts w:ascii="宋体" w:hAnsi="宋体" w:eastAsia="宋体"/>
                <w:sz w:val="16"/>
              </w:rPr>
              <w:t>实际完成情况</w:t>
            </w:r>
          </w:p>
        </w:tc>
      </w:tr>
      <w:tr w14:paraId="29C6D2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76B0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A24ABF">
            <w:pPr>
              <w:jc w:val="both"/>
            </w:pPr>
            <w:r>
              <w:rPr>
                <w:rFonts w:ascii="宋体" w:hAnsi="宋体" w:eastAsia="宋体"/>
                <w:sz w:val="16"/>
              </w:rPr>
              <w:t>认真贯彻执行党和国家的各项方针、政策、组织实施经济、科技和社会发展计划，组织指导好各业生产，搞好商品流通，协调好本乡与外地区的经济交流与合作，抓好招</w:t>
            </w:r>
            <w:r>
              <w:rPr>
                <w:rFonts w:hint="eastAsia" w:ascii="宋体" w:hAnsi="宋体"/>
                <w:sz w:val="16"/>
                <w:lang w:eastAsia="zh-CN"/>
              </w:rPr>
              <w:t>商引资</w:t>
            </w:r>
            <w:r>
              <w:rPr>
                <w:rFonts w:ascii="宋体" w:hAnsi="宋体" w:eastAsia="宋体"/>
                <w:sz w:val="16"/>
              </w:rPr>
              <w:t>，人才引进项目开发，不断培育市场体系，组织经济运行，促进经济发展。制定并组织实施乡村建设规划，部署重点工程建设，地方道路建设及公共设施，水利设施的管理，负责土地、林木、水等自然资源和</w:t>
            </w:r>
            <w:r>
              <w:rPr>
                <w:rFonts w:hint="eastAsia" w:ascii="宋体" w:hAnsi="宋体"/>
                <w:sz w:val="16"/>
                <w:lang w:eastAsia="zh-CN"/>
              </w:rPr>
              <w:t>生态环境保护</w:t>
            </w:r>
            <w:r>
              <w:rPr>
                <w:rFonts w:ascii="宋体" w:hAnsi="宋体" w:eastAsia="宋体"/>
                <w:sz w:val="16"/>
              </w:rPr>
              <w:t>，做好护林防火工作。负责本行政区域内的民政、文化教育、卫生、体育等社会公益事业的综合性工作，维护一切经济单位和个人的正当经济权益，取缔非法经济活动，调解和处理民事纠纷，打击刑事犯罪维护社会和谐。按计划组织本级财政收入和地方税的征收，完成国家财政计划，不断培植税源，管好财政资金，增强财政实力。抓好精神文明建设，丰富群众文化生活，提倡移风易俗，反封建迷信，破除陈规陋习，树立社会主义新风尚。完成上级政府交办的其他事项。</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8F2B57">
            <w:pPr>
              <w:jc w:val="both"/>
            </w:pPr>
            <w:r>
              <w:rPr>
                <w:rFonts w:hint="eastAsia" w:ascii="宋体" w:hAnsi="宋体"/>
                <w:sz w:val="16"/>
                <w:lang w:eastAsia="zh-CN"/>
              </w:rPr>
              <w:t>截至</w:t>
            </w:r>
            <w:r>
              <w:rPr>
                <w:rFonts w:ascii="宋体" w:hAnsi="宋体" w:eastAsia="宋体"/>
                <w:sz w:val="16"/>
              </w:rPr>
              <w:t>2024年12月31日，已完成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推进乡村振兴村级数量10个，保障农村幸福大院数量1个，基层党组织建设覆盖率100%，民族团结工作宣传教育完成率100%，政策宣传覆盖率100%，提高农产品质量安全水平。稳固和完善农村基本经营制度，探索集体经济有效实现形式，引导农民珍惜土地，增加投入，发展集约经营。落实强农惠农措施，确保农民受益。促进民营经济发展，引导农民多渠道转移就业，增加收入，不断提高生活水平。</w:t>
            </w:r>
          </w:p>
        </w:tc>
      </w:tr>
      <w:tr w14:paraId="560621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F38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86C4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3A5B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E8E1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6F8A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E5D3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8777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66D0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0BC7B">
            <w:pPr>
              <w:jc w:val="center"/>
            </w:pPr>
            <w:r>
              <w:rPr>
                <w:rFonts w:ascii="宋体" w:hAnsi="宋体" w:eastAsia="宋体"/>
                <w:sz w:val="16"/>
              </w:rPr>
              <w:t>得分</w:t>
            </w:r>
          </w:p>
        </w:tc>
      </w:tr>
      <w:tr w14:paraId="66791A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0FD0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6CFC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4C96">
            <w:pPr>
              <w:jc w:val="center"/>
            </w:pPr>
            <w:r>
              <w:rPr>
                <w:rFonts w:ascii="宋体" w:hAnsi="宋体" w:eastAsia="宋体"/>
                <w:sz w:val="16"/>
              </w:rPr>
              <w:t>推进乡村振兴村级数量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FB177">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72EA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376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3CEC0">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036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B2FD7">
            <w:pPr>
              <w:jc w:val="center"/>
            </w:pPr>
            <w:r>
              <w:rPr>
                <w:rFonts w:ascii="宋体" w:hAnsi="宋体" w:eastAsia="宋体"/>
                <w:sz w:val="16"/>
              </w:rPr>
              <w:t>10</w:t>
            </w:r>
          </w:p>
        </w:tc>
      </w:tr>
      <w:tr w14:paraId="1281F2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07D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1F6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FE68">
            <w:pPr>
              <w:jc w:val="center"/>
            </w:pPr>
            <w:r>
              <w:rPr>
                <w:rFonts w:ascii="宋体" w:hAnsi="宋体" w:eastAsia="宋体"/>
                <w:sz w:val="16"/>
              </w:rPr>
              <w:t>保障农村幸福大院数量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C3B2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4159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C8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D99A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19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1EE9E">
            <w:pPr>
              <w:jc w:val="center"/>
            </w:pPr>
            <w:r>
              <w:rPr>
                <w:rFonts w:ascii="宋体" w:hAnsi="宋体" w:eastAsia="宋体"/>
                <w:sz w:val="16"/>
              </w:rPr>
              <w:t>20</w:t>
            </w:r>
          </w:p>
        </w:tc>
      </w:tr>
      <w:tr w14:paraId="2AD3D2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6DF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0D3F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30DA">
            <w:pPr>
              <w:jc w:val="center"/>
            </w:pPr>
            <w:r>
              <w:rPr>
                <w:rFonts w:ascii="宋体" w:hAnsi="宋体" w:eastAsia="宋体"/>
                <w:sz w:val="16"/>
              </w:rPr>
              <w:t>基层党组织建设覆盖率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030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9B5D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1A3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599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316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FB644">
            <w:pPr>
              <w:jc w:val="center"/>
            </w:pPr>
            <w:r>
              <w:rPr>
                <w:rFonts w:ascii="宋体" w:hAnsi="宋体" w:eastAsia="宋体"/>
                <w:sz w:val="16"/>
              </w:rPr>
              <w:t>20</w:t>
            </w:r>
          </w:p>
        </w:tc>
      </w:tr>
      <w:tr w14:paraId="1D5EFE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979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846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E5031">
            <w:pPr>
              <w:jc w:val="center"/>
            </w:pPr>
            <w:r>
              <w:rPr>
                <w:rFonts w:ascii="宋体" w:hAnsi="宋体" w:eastAsia="宋体"/>
                <w:sz w:val="16"/>
              </w:rPr>
              <w:t>民族团结工作宣传教育完成率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B82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CA91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C32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1B3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0D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24EB">
            <w:pPr>
              <w:jc w:val="center"/>
            </w:pPr>
            <w:r>
              <w:rPr>
                <w:rFonts w:ascii="宋体" w:hAnsi="宋体" w:eastAsia="宋体"/>
                <w:sz w:val="16"/>
              </w:rPr>
              <w:t>20</w:t>
            </w:r>
          </w:p>
        </w:tc>
      </w:tr>
      <w:tr w14:paraId="76E353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93C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FE5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52729">
            <w:pPr>
              <w:jc w:val="center"/>
            </w:pPr>
            <w:r>
              <w:rPr>
                <w:rFonts w:ascii="宋体" w:hAnsi="宋体" w:eastAsia="宋体"/>
                <w:sz w:val="16"/>
              </w:rPr>
              <w:t>政策宣传覆盖率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603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1692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B0F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95E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7F3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064F0">
            <w:pPr>
              <w:jc w:val="center"/>
            </w:pPr>
            <w:r>
              <w:rPr>
                <w:rFonts w:ascii="宋体" w:hAnsi="宋体" w:eastAsia="宋体"/>
                <w:sz w:val="16"/>
              </w:rPr>
              <w:t>20</w:t>
            </w:r>
          </w:p>
        </w:tc>
      </w:tr>
    </w:tbl>
    <w:p w14:paraId="798FF7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54E07E3">
        <w:tblPrEx>
          <w:tblCellMar>
            <w:top w:w="0" w:type="dxa"/>
            <w:left w:w="108" w:type="dxa"/>
            <w:bottom w:w="0" w:type="dxa"/>
            <w:right w:w="108" w:type="dxa"/>
          </w:tblCellMar>
        </w:tblPrEx>
        <w:tc>
          <w:tcPr>
            <w:tcW w:w="8848" w:type="dxa"/>
            <w:gridSpan w:val="14"/>
            <w:vAlign w:val="center"/>
          </w:tcPr>
          <w:p w14:paraId="02E75979">
            <w:pPr>
              <w:jc w:val="center"/>
            </w:pPr>
            <w:r>
              <w:rPr>
                <w:rFonts w:ascii="宋体" w:hAnsi="宋体" w:eastAsia="宋体"/>
                <w:sz w:val="24"/>
              </w:rPr>
              <w:t>项目支出绩效自评表</w:t>
            </w:r>
          </w:p>
        </w:tc>
      </w:tr>
      <w:tr w14:paraId="450F6B96">
        <w:tblPrEx>
          <w:tblCellMar>
            <w:top w:w="0" w:type="dxa"/>
            <w:left w:w="108" w:type="dxa"/>
            <w:bottom w:w="0" w:type="dxa"/>
            <w:right w:w="108" w:type="dxa"/>
          </w:tblCellMar>
        </w:tblPrEx>
        <w:tc>
          <w:tcPr>
            <w:tcW w:w="8848" w:type="dxa"/>
            <w:gridSpan w:val="14"/>
            <w:vAlign w:val="center"/>
          </w:tcPr>
          <w:p w14:paraId="0185DA07">
            <w:pPr>
              <w:jc w:val="center"/>
            </w:pPr>
            <w:r>
              <w:rPr>
                <w:rFonts w:ascii="宋体" w:hAnsi="宋体" w:eastAsia="宋体"/>
                <w:sz w:val="24"/>
              </w:rPr>
              <w:t>(2024年度)</w:t>
            </w:r>
          </w:p>
        </w:tc>
      </w:tr>
      <w:tr w14:paraId="5584DB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81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8AE8CD">
            <w:pPr>
              <w:jc w:val="center"/>
            </w:pPr>
            <w:r>
              <w:rPr>
                <w:rFonts w:ascii="宋体" w:hAnsi="宋体" w:eastAsia="宋体"/>
                <w:sz w:val="16"/>
              </w:rPr>
              <w:t>叶城县夏合甫乡2024年县级专项公用经费项目</w:t>
            </w:r>
          </w:p>
        </w:tc>
      </w:tr>
      <w:tr w14:paraId="4EA5C8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9C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BF122">
            <w:pPr>
              <w:jc w:val="center"/>
            </w:pPr>
            <w:r>
              <w:rPr>
                <w:rFonts w:ascii="宋体" w:hAnsi="宋体" w:eastAsia="宋体"/>
                <w:sz w:val="16"/>
              </w:rPr>
              <w:t>叶城县夏合甫乡人民政府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8B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B2064F">
            <w:pPr>
              <w:jc w:val="center"/>
            </w:pPr>
            <w:r>
              <w:rPr>
                <w:rFonts w:ascii="宋体" w:hAnsi="宋体" w:eastAsia="宋体"/>
                <w:sz w:val="16"/>
              </w:rPr>
              <w:t>叶城县夏合甫乡人民政府</w:t>
            </w:r>
          </w:p>
        </w:tc>
      </w:tr>
      <w:tr w14:paraId="0EBEAF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A58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20C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B6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7B8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4FC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EBD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751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B527">
            <w:pPr>
              <w:jc w:val="center"/>
            </w:pPr>
            <w:r>
              <w:rPr>
                <w:rFonts w:ascii="宋体" w:hAnsi="宋体" w:eastAsia="宋体"/>
                <w:sz w:val="16"/>
              </w:rPr>
              <w:t>得分</w:t>
            </w:r>
          </w:p>
        </w:tc>
      </w:tr>
      <w:tr w14:paraId="367CB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491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AC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C6788">
            <w:pPr>
              <w:jc w:val="center"/>
            </w:pPr>
            <w:r>
              <w:rPr>
                <w:rFonts w:ascii="宋体" w:hAnsi="宋体" w:eastAsia="宋体"/>
                <w:sz w:val="16"/>
              </w:rPr>
              <w:t>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9CA1E">
            <w:pPr>
              <w:jc w:val="center"/>
            </w:pPr>
            <w:r>
              <w:rPr>
                <w:rFonts w:ascii="宋体" w:hAnsi="宋体" w:eastAsia="宋体"/>
                <w:sz w:val="16"/>
              </w:rPr>
              <w:t>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4233">
            <w:pPr>
              <w:jc w:val="center"/>
            </w:pPr>
            <w:r>
              <w:rPr>
                <w:rFonts w:ascii="宋体" w:hAnsi="宋体" w:eastAsia="宋体"/>
                <w:sz w:val="16"/>
              </w:rPr>
              <w:t>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AAB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8EE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5E72">
            <w:pPr>
              <w:jc w:val="center"/>
            </w:pPr>
            <w:r>
              <w:rPr>
                <w:rFonts w:ascii="宋体" w:hAnsi="宋体" w:eastAsia="宋体"/>
                <w:sz w:val="16"/>
              </w:rPr>
              <w:t>10.00分</w:t>
            </w:r>
          </w:p>
        </w:tc>
      </w:tr>
      <w:tr w14:paraId="5C63F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AF4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2BD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7DF9D">
            <w:pPr>
              <w:jc w:val="center"/>
            </w:pPr>
            <w:r>
              <w:rPr>
                <w:rFonts w:ascii="宋体" w:hAnsi="宋体" w:eastAsia="宋体"/>
                <w:sz w:val="16"/>
              </w:rPr>
              <w:t>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391D3">
            <w:pPr>
              <w:jc w:val="center"/>
            </w:pPr>
            <w:r>
              <w:rPr>
                <w:rFonts w:ascii="宋体" w:hAnsi="宋体" w:eastAsia="宋体"/>
                <w:sz w:val="16"/>
              </w:rPr>
              <w:t>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CB61">
            <w:pPr>
              <w:jc w:val="center"/>
            </w:pPr>
            <w:r>
              <w:rPr>
                <w:rFonts w:ascii="宋体" w:hAnsi="宋体" w:eastAsia="宋体"/>
                <w:sz w:val="16"/>
              </w:rPr>
              <w:t>57.80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BC9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9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530D">
            <w:pPr>
              <w:jc w:val="center"/>
            </w:pPr>
            <w:r>
              <w:rPr>
                <w:rFonts w:ascii="宋体" w:hAnsi="宋体" w:eastAsia="宋体"/>
                <w:sz w:val="16"/>
              </w:rPr>
              <w:t>—</w:t>
            </w:r>
          </w:p>
        </w:tc>
      </w:tr>
      <w:tr w14:paraId="6C594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CB9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19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01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4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31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75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5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CFDA">
            <w:pPr>
              <w:jc w:val="center"/>
            </w:pPr>
            <w:r>
              <w:rPr>
                <w:rFonts w:ascii="宋体" w:hAnsi="宋体" w:eastAsia="宋体"/>
                <w:sz w:val="16"/>
              </w:rPr>
              <w:t>—</w:t>
            </w:r>
          </w:p>
        </w:tc>
      </w:tr>
      <w:tr w14:paraId="4D0FF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0B0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4C7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D9965">
            <w:pPr>
              <w:jc w:val="center"/>
            </w:pPr>
            <w:r>
              <w:rPr>
                <w:rFonts w:ascii="宋体" w:hAnsi="宋体" w:eastAsia="宋体"/>
                <w:sz w:val="16"/>
              </w:rPr>
              <w:t>实际完成情况</w:t>
            </w:r>
          </w:p>
        </w:tc>
      </w:tr>
      <w:tr w14:paraId="1D7EE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567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6EF2A">
            <w:pPr>
              <w:jc w:val="both"/>
            </w:pPr>
            <w:r>
              <w:rPr>
                <w:rFonts w:ascii="宋体" w:hAnsi="宋体" w:eastAsia="宋体"/>
                <w:sz w:val="16"/>
              </w:rPr>
              <w:t>该项目预算资金57.8万元，主要用于镇机关日常办公用品采购、镇机关大楼水电和根据实际情况支付镇本级往期各类费用，项目的实施有效保障单位工作正常运转。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5EFEF">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该项目预算资金57.8万元，到位资金57.8万元，资金到位率100%。主要用于镇机关日常办公用品采购、镇机关大楼水电和根据实际情况支付镇本级往期各类费用，项目的实施有效保障单位工作正常运转，提高办事效率，有效提高群众幸福感。</w:t>
            </w:r>
          </w:p>
        </w:tc>
      </w:tr>
      <w:tr w14:paraId="04FA2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6FC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20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26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FF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FCF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1D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6C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F6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44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0C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5D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124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79355">
            <w:pPr>
              <w:jc w:val="center"/>
            </w:pPr>
            <w:r>
              <w:rPr>
                <w:rFonts w:ascii="宋体" w:hAnsi="宋体" w:eastAsia="宋体"/>
                <w:sz w:val="16"/>
              </w:rPr>
              <w:t>偏差原因分析及改进措施</w:t>
            </w:r>
          </w:p>
        </w:tc>
      </w:tr>
      <w:tr w14:paraId="7402B1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21E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904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AF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7FD1">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965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9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9B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D3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DF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C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A41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A6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AB02D">
            <w:pPr>
              <w:jc w:val="center"/>
            </w:pPr>
          </w:p>
        </w:tc>
      </w:tr>
      <w:tr w14:paraId="1F6A3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47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0D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44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779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A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D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E3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C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5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1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D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1B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4CD0D">
            <w:pPr>
              <w:jc w:val="center"/>
            </w:pPr>
          </w:p>
        </w:tc>
      </w:tr>
      <w:tr w14:paraId="05801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86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FD5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7E8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5C1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5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59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7A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67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69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62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5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12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8DDA5">
            <w:pPr>
              <w:jc w:val="center"/>
            </w:pPr>
          </w:p>
        </w:tc>
      </w:tr>
      <w:tr w14:paraId="68C0D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80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50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FB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E94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26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B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F4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62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C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F0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95A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13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AA79">
            <w:pPr>
              <w:jc w:val="center"/>
            </w:pPr>
          </w:p>
        </w:tc>
      </w:tr>
      <w:tr w14:paraId="3FFE3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EE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77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144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D0EC">
            <w:pPr>
              <w:jc w:val="center"/>
            </w:pPr>
            <w:r>
              <w:rPr>
                <w:rFonts w:ascii="宋体" w:hAnsi="宋体" w:eastAsia="宋体"/>
                <w:sz w:val="16"/>
              </w:rPr>
              <w:t>单位正常运转成本（万元）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0757">
            <w:pPr>
              <w:jc w:val="center"/>
            </w:pPr>
            <w:r>
              <w:rPr>
                <w:rFonts w:ascii="宋体" w:hAnsi="宋体" w:eastAsia="宋体"/>
                <w:sz w:val="16"/>
              </w:rPr>
              <w:t>&lt;=57.80万元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9C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E2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2B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3E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19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2501">
            <w:pPr>
              <w:jc w:val="center"/>
            </w:pPr>
            <w:r>
              <w:rPr>
                <w:rFonts w:ascii="宋体" w:hAnsi="宋体" w:eastAsia="宋体"/>
                <w:sz w:val="16"/>
              </w:rPr>
              <w: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07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B893">
            <w:pPr>
              <w:jc w:val="center"/>
            </w:pPr>
          </w:p>
        </w:tc>
      </w:tr>
      <w:tr w14:paraId="34E5D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8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DA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DA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B7A1">
            <w:pPr>
              <w:jc w:val="center"/>
            </w:pPr>
            <w:r>
              <w:rPr>
                <w:rFonts w:ascii="宋体" w:hAnsi="宋体" w:eastAsia="宋体"/>
                <w:sz w:val="16"/>
              </w:rPr>
              <w:t>保障镇机关办公运转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04B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6F7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E3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59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EE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0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32B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CB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154B">
            <w:pPr>
              <w:jc w:val="center"/>
            </w:pPr>
          </w:p>
        </w:tc>
      </w:tr>
      <w:tr w14:paraId="5B458B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F5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B5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71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179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41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B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D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A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D5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96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7B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A9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57853">
            <w:pPr>
              <w:jc w:val="center"/>
            </w:pPr>
          </w:p>
        </w:tc>
      </w:tr>
      <w:tr w14:paraId="4A71B8B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3CC9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94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876B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E22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4B4583"/>
        </w:tc>
      </w:tr>
    </w:tbl>
    <w:p w14:paraId="161829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9B93A8F">
        <w:tblPrEx>
          <w:tblCellMar>
            <w:top w:w="0" w:type="dxa"/>
            <w:left w:w="108" w:type="dxa"/>
            <w:bottom w:w="0" w:type="dxa"/>
            <w:right w:w="108" w:type="dxa"/>
          </w:tblCellMar>
        </w:tblPrEx>
        <w:tc>
          <w:tcPr>
            <w:tcW w:w="8848" w:type="dxa"/>
            <w:gridSpan w:val="14"/>
            <w:vAlign w:val="center"/>
          </w:tcPr>
          <w:p w14:paraId="7433C04B">
            <w:pPr>
              <w:jc w:val="center"/>
            </w:pPr>
            <w:r>
              <w:rPr>
                <w:rFonts w:ascii="宋体" w:hAnsi="宋体" w:eastAsia="宋体"/>
                <w:sz w:val="24"/>
              </w:rPr>
              <w:t>项目支出绩效自评表</w:t>
            </w:r>
          </w:p>
        </w:tc>
      </w:tr>
      <w:tr w14:paraId="3027112B">
        <w:tblPrEx>
          <w:tblCellMar>
            <w:top w:w="0" w:type="dxa"/>
            <w:left w:w="108" w:type="dxa"/>
            <w:bottom w:w="0" w:type="dxa"/>
            <w:right w:w="108" w:type="dxa"/>
          </w:tblCellMar>
        </w:tblPrEx>
        <w:tc>
          <w:tcPr>
            <w:tcW w:w="8848" w:type="dxa"/>
            <w:gridSpan w:val="14"/>
            <w:vAlign w:val="center"/>
          </w:tcPr>
          <w:p w14:paraId="0DCAB92A">
            <w:pPr>
              <w:jc w:val="center"/>
            </w:pPr>
            <w:r>
              <w:rPr>
                <w:rFonts w:ascii="宋体" w:hAnsi="宋体" w:eastAsia="宋体"/>
                <w:sz w:val="24"/>
              </w:rPr>
              <w:t>(2024年度)</w:t>
            </w:r>
          </w:p>
        </w:tc>
      </w:tr>
      <w:tr w14:paraId="45723D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A6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BCDBC">
            <w:pPr>
              <w:jc w:val="center"/>
            </w:pPr>
            <w:r>
              <w:rPr>
                <w:rFonts w:ascii="宋体" w:hAnsi="宋体" w:eastAsia="宋体"/>
                <w:sz w:val="16"/>
              </w:rPr>
              <w:t>夏合甫乡项目占用林地费用项目</w:t>
            </w:r>
          </w:p>
        </w:tc>
      </w:tr>
      <w:tr w14:paraId="46C2CD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2C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4B8CE">
            <w:pPr>
              <w:jc w:val="center"/>
            </w:pPr>
            <w:r>
              <w:rPr>
                <w:rFonts w:ascii="宋体" w:hAnsi="宋体" w:eastAsia="宋体"/>
                <w:sz w:val="16"/>
              </w:rPr>
              <w:t>叶城县夏合甫乡人民政府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8C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AEEEC">
            <w:pPr>
              <w:jc w:val="center"/>
            </w:pPr>
            <w:r>
              <w:rPr>
                <w:rFonts w:ascii="宋体" w:hAnsi="宋体" w:eastAsia="宋体"/>
                <w:sz w:val="16"/>
              </w:rPr>
              <w:t>叶城县夏合甫乡人民政府</w:t>
            </w:r>
          </w:p>
        </w:tc>
      </w:tr>
      <w:tr w14:paraId="5B407A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63F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BA9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3EC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C4F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5E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C3E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59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38DC">
            <w:pPr>
              <w:jc w:val="center"/>
            </w:pPr>
            <w:r>
              <w:rPr>
                <w:rFonts w:ascii="宋体" w:hAnsi="宋体" w:eastAsia="宋体"/>
                <w:sz w:val="16"/>
              </w:rPr>
              <w:t>得分</w:t>
            </w:r>
          </w:p>
        </w:tc>
      </w:tr>
      <w:tr w14:paraId="0FD32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FED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37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4CE4E">
            <w:pPr>
              <w:jc w:val="center"/>
            </w:pPr>
            <w:r>
              <w:rPr>
                <w:rFonts w:ascii="宋体" w:hAnsi="宋体" w:eastAsia="宋体"/>
                <w:sz w:val="16"/>
              </w:rPr>
              <w:t>11.19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6A879">
            <w:pPr>
              <w:jc w:val="center"/>
            </w:pPr>
            <w:r>
              <w:rPr>
                <w:rFonts w:ascii="宋体" w:hAnsi="宋体" w:eastAsia="宋体"/>
                <w:sz w:val="16"/>
              </w:rPr>
              <w:t>11.19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F85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666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B29D2">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B080">
            <w:pPr>
              <w:jc w:val="center"/>
            </w:pPr>
            <w:r>
              <w:rPr>
                <w:rFonts w:ascii="宋体" w:hAnsi="宋体" w:eastAsia="宋体"/>
                <w:sz w:val="16"/>
              </w:rPr>
              <w:t>0.00分</w:t>
            </w:r>
          </w:p>
        </w:tc>
      </w:tr>
      <w:tr w14:paraId="61437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F45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7E3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8CA2F">
            <w:pPr>
              <w:jc w:val="center"/>
            </w:pPr>
            <w:r>
              <w:rPr>
                <w:rFonts w:ascii="宋体" w:hAnsi="宋体" w:eastAsia="宋体"/>
                <w:sz w:val="16"/>
              </w:rPr>
              <w:t>11.19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3D62E">
            <w:pPr>
              <w:jc w:val="center"/>
            </w:pPr>
            <w:r>
              <w:rPr>
                <w:rFonts w:ascii="宋体" w:hAnsi="宋体" w:eastAsia="宋体"/>
                <w:sz w:val="16"/>
              </w:rPr>
              <w:t>11.19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DF5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87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D3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B8C6">
            <w:pPr>
              <w:jc w:val="center"/>
            </w:pPr>
            <w:r>
              <w:rPr>
                <w:rFonts w:ascii="宋体" w:hAnsi="宋体" w:eastAsia="宋体"/>
                <w:sz w:val="16"/>
              </w:rPr>
              <w:t>—</w:t>
            </w:r>
          </w:p>
        </w:tc>
      </w:tr>
      <w:tr w14:paraId="4959F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F14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82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3AC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84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A4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15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80C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8D65">
            <w:pPr>
              <w:jc w:val="center"/>
            </w:pPr>
            <w:r>
              <w:rPr>
                <w:rFonts w:ascii="宋体" w:hAnsi="宋体" w:eastAsia="宋体"/>
                <w:sz w:val="16"/>
              </w:rPr>
              <w:t>—</w:t>
            </w:r>
          </w:p>
        </w:tc>
      </w:tr>
      <w:tr w14:paraId="448959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699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D17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0F8CF">
            <w:pPr>
              <w:jc w:val="center"/>
            </w:pPr>
            <w:r>
              <w:rPr>
                <w:rFonts w:ascii="宋体" w:hAnsi="宋体" w:eastAsia="宋体"/>
                <w:sz w:val="16"/>
              </w:rPr>
              <w:t>实际完成情况</w:t>
            </w:r>
          </w:p>
        </w:tc>
      </w:tr>
      <w:tr w14:paraId="71D2A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896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206064">
            <w:pPr>
              <w:jc w:val="both"/>
            </w:pPr>
            <w:r>
              <w:rPr>
                <w:rFonts w:ascii="宋体" w:hAnsi="宋体" w:eastAsia="宋体"/>
                <w:sz w:val="16"/>
              </w:rPr>
              <w:t>该项目到位资金11.19万元，主要用于支付我乡项目占用林地后续费，保障落实林地保护政策，促进资源可持续发展。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8A8021">
            <w:pPr>
              <w:jc w:val="both"/>
            </w:pPr>
            <w:r>
              <w:rPr>
                <w:rFonts w:hint="eastAsia" w:ascii="宋体" w:hAnsi="宋体"/>
                <w:sz w:val="16"/>
                <w:lang w:eastAsia="zh-CN"/>
              </w:rPr>
              <w:t>截至</w:t>
            </w:r>
            <w:r>
              <w:rPr>
                <w:rFonts w:ascii="宋体" w:hAnsi="宋体" w:eastAsia="宋体"/>
                <w:sz w:val="16"/>
              </w:rPr>
              <w:t>2024年12月31日，该项目到位资金11.19万元，主要用于支付我乡项目占用林地后续费，保障落实林地保护政策，促进资源可持续发展.</w:t>
            </w:r>
          </w:p>
        </w:tc>
      </w:tr>
      <w:tr w14:paraId="7BCFB8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019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BD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29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F3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5C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F2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C7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73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5F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E7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91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BD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5253">
            <w:pPr>
              <w:jc w:val="center"/>
            </w:pPr>
            <w:r>
              <w:rPr>
                <w:rFonts w:ascii="宋体" w:hAnsi="宋体" w:eastAsia="宋体"/>
                <w:sz w:val="16"/>
              </w:rPr>
              <w:t>偏差原因分析及改进措施</w:t>
            </w:r>
          </w:p>
        </w:tc>
      </w:tr>
      <w:tr w14:paraId="6BE867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A1C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B213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62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7668">
            <w:pPr>
              <w:jc w:val="center"/>
            </w:pPr>
            <w:r>
              <w:rPr>
                <w:rFonts w:ascii="宋体" w:hAnsi="宋体" w:eastAsia="宋体"/>
                <w:sz w:val="16"/>
              </w:rPr>
              <w:t>林地占用费亩数（亩）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C2B8">
            <w:pPr>
              <w:jc w:val="center"/>
            </w:pPr>
            <w:r>
              <w:rPr>
                <w:rFonts w:ascii="宋体" w:hAnsi="宋体" w:eastAsia="宋体"/>
                <w:sz w:val="16"/>
              </w:rPr>
              <w:t>=10亩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8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3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8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9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5E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32F9">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D51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994F">
            <w:pPr>
              <w:jc w:val="center"/>
            </w:pPr>
            <w:r>
              <w:rPr>
                <w:rFonts w:ascii="宋体" w:hAnsi="宋体" w:eastAsia="宋体"/>
                <w:sz w:val="16"/>
              </w:rPr>
              <w:t>偏差原因：施工方未及时提供完整的支付材料，资金无法支出。整改措施：加快支付进度。</w:t>
            </w:r>
          </w:p>
        </w:tc>
      </w:tr>
      <w:tr w14:paraId="4FF66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20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E39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8D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49AB">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9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D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2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7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7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9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80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A27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89C7">
            <w:pPr>
              <w:jc w:val="center"/>
            </w:pPr>
            <w:r>
              <w:rPr>
                <w:rFonts w:ascii="宋体" w:hAnsi="宋体" w:eastAsia="宋体"/>
                <w:sz w:val="16"/>
              </w:rPr>
              <w:t>偏差原因：施工方未及时提供完整的支付材料，资金无法支出。整改措施：加快支付进度。</w:t>
            </w:r>
          </w:p>
        </w:tc>
      </w:tr>
      <w:tr w14:paraId="7342C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50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405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CB2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A2D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8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E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53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A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0A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C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FD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60C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07FB6">
            <w:pPr>
              <w:jc w:val="center"/>
            </w:pPr>
            <w:r>
              <w:rPr>
                <w:rFonts w:ascii="宋体" w:hAnsi="宋体" w:eastAsia="宋体"/>
                <w:sz w:val="16"/>
              </w:rPr>
              <w:t>偏差原因：施工方未及时提供完整的支付材料，资金无法支出。整改措施：加快支付进度。</w:t>
            </w:r>
          </w:p>
        </w:tc>
      </w:tr>
      <w:tr w14:paraId="56823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DA3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12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FF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D3A1">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3E8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4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00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E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4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FF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C323">
            <w:pPr>
              <w:jc w:val="center"/>
            </w:pPr>
            <w:r>
              <w:rPr>
                <w:rFonts w:ascii="宋体" w:hAnsi="宋体" w:eastAsia="宋体"/>
                <w:sz w:val="16"/>
              </w:rPr>
              <w:t>=0年12月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CB6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E753C">
            <w:pPr>
              <w:jc w:val="center"/>
            </w:pPr>
            <w:r>
              <w:rPr>
                <w:rFonts w:ascii="宋体" w:hAnsi="宋体" w:eastAsia="宋体"/>
                <w:sz w:val="16"/>
              </w:rPr>
              <w:t>偏差原因：施工方未及时提供完整的支付材料，资金无法支出。整改措施：加快支付进度。</w:t>
            </w:r>
          </w:p>
        </w:tc>
      </w:tr>
      <w:tr w14:paraId="38C78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32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C8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DF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0720">
            <w:pPr>
              <w:jc w:val="center"/>
            </w:pPr>
            <w:r>
              <w:rPr>
                <w:rFonts w:ascii="宋体" w:hAnsi="宋体" w:eastAsia="宋体"/>
                <w:sz w:val="16"/>
              </w:rPr>
              <w:t>林地占用手续费成本（元）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45B9">
            <w:pPr>
              <w:jc w:val="center"/>
            </w:pPr>
            <w:r>
              <w:rPr>
                <w:rFonts w:ascii="宋体" w:hAnsi="宋体" w:eastAsia="宋体"/>
                <w:sz w:val="16"/>
              </w:rPr>
              <w:t>&lt;=11.19万元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002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F3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E4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3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25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868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9A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9A1D">
            <w:pPr>
              <w:jc w:val="center"/>
            </w:pPr>
            <w:r>
              <w:rPr>
                <w:rFonts w:ascii="宋体" w:hAnsi="宋体" w:eastAsia="宋体"/>
                <w:sz w:val="16"/>
              </w:rPr>
              <w:t>偏差原因：施工方未及时提供完整的支付材料，资金无法支出。整改措施：加快支付进度</w:t>
            </w:r>
            <w:r>
              <w:rPr>
                <w:rFonts w:hint="eastAsia" w:ascii="宋体" w:hAnsi="宋体"/>
                <w:sz w:val="16"/>
                <w:lang w:eastAsia="zh-CN"/>
              </w:rPr>
              <w:t>。</w:t>
            </w:r>
          </w:p>
        </w:tc>
      </w:tr>
      <w:tr w14:paraId="49CCA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2D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1F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3A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A460">
            <w:pPr>
              <w:jc w:val="center"/>
            </w:pPr>
            <w:r>
              <w:rPr>
                <w:rFonts w:ascii="宋体" w:hAnsi="宋体" w:eastAsia="宋体"/>
                <w:sz w:val="16"/>
              </w:rPr>
              <w:t>保障林地占用手续完成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3B0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E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1B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F4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4A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6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DF6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A4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26CB3">
            <w:pPr>
              <w:jc w:val="center"/>
            </w:pPr>
            <w:r>
              <w:rPr>
                <w:rFonts w:ascii="宋体" w:hAnsi="宋体" w:eastAsia="宋体"/>
                <w:sz w:val="16"/>
              </w:rPr>
              <w:t>偏差原因：施工方未及时提供完整的支付材料，资金无法支出。整改措施：加快支付进度。</w:t>
            </w:r>
          </w:p>
        </w:tc>
      </w:tr>
      <w:tr w14:paraId="3E85A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57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34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7C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D4D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2D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5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21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7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CB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1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BB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80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B2D7">
            <w:pPr>
              <w:jc w:val="center"/>
            </w:pPr>
            <w:r>
              <w:rPr>
                <w:rFonts w:ascii="宋体" w:hAnsi="宋体" w:eastAsia="宋体"/>
                <w:sz w:val="16"/>
              </w:rPr>
              <w:t>偏差原因：施工方未及时提供完整的支付材料，资金无法支出。整改措施：加快支付进度。</w:t>
            </w:r>
          </w:p>
        </w:tc>
      </w:tr>
      <w:tr w14:paraId="3AC1800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30C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D09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98B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9111">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4C083D"/>
        </w:tc>
      </w:tr>
    </w:tbl>
    <w:p w14:paraId="619183C6">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6"/>
        <w:gridCol w:w="628"/>
        <w:gridCol w:w="626"/>
        <w:gridCol w:w="626"/>
        <w:gridCol w:w="776"/>
        <w:gridCol w:w="630"/>
        <w:gridCol w:w="619"/>
        <w:gridCol w:w="630"/>
      </w:tblGrid>
      <w:tr w14:paraId="1256CCA3">
        <w:tblPrEx>
          <w:tblCellMar>
            <w:top w:w="0" w:type="dxa"/>
            <w:left w:w="108" w:type="dxa"/>
            <w:bottom w:w="0" w:type="dxa"/>
            <w:right w:w="108" w:type="dxa"/>
          </w:tblCellMar>
        </w:tblPrEx>
        <w:tc>
          <w:tcPr>
            <w:tcW w:w="8848" w:type="dxa"/>
            <w:gridSpan w:val="14"/>
            <w:vAlign w:val="center"/>
          </w:tcPr>
          <w:p w14:paraId="3F4CBF4C">
            <w:pPr>
              <w:jc w:val="center"/>
            </w:pPr>
            <w:r>
              <w:rPr>
                <w:rFonts w:ascii="宋体" w:hAnsi="宋体" w:eastAsia="宋体"/>
                <w:sz w:val="24"/>
              </w:rPr>
              <w:t>项目支出绩效自评表</w:t>
            </w:r>
          </w:p>
        </w:tc>
      </w:tr>
      <w:tr w14:paraId="21C523D1">
        <w:tblPrEx>
          <w:tblCellMar>
            <w:top w:w="0" w:type="dxa"/>
            <w:left w:w="108" w:type="dxa"/>
            <w:bottom w:w="0" w:type="dxa"/>
            <w:right w:w="108" w:type="dxa"/>
          </w:tblCellMar>
        </w:tblPrEx>
        <w:tc>
          <w:tcPr>
            <w:tcW w:w="8848" w:type="dxa"/>
            <w:gridSpan w:val="14"/>
            <w:vAlign w:val="center"/>
          </w:tcPr>
          <w:p w14:paraId="55AA288C">
            <w:pPr>
              <w:jc w:val="center"/>
            </w:pPr>
            <w:r>
              <w:rPr>
                <w:rFonts w:ascii="宋体" w:hAnsi="宋体" w:eastAsia="宋体"/>
                <w:sz w:val="24"/>
              </w:rPr>
              <w:t>(2024年度)</w:t>
            </w:r>
          </w:p>
        </w:tc>
      </w:tr>
      <w:tr w14:paraId="0A33C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B8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C105E5">
            <w:pPr>
              <w:jc w:val="center"/>
            </w:pPr>
            <w:r>
              <w:rPr>
                <w:rFonts w:ascii="宋体" w:hAnsi="宋体" w:eastAsia="宋体"/>
                <w:sz w:val="16"/>
              </w:rPr>
              <w:t>2024年度地方国有农牧场农村税费改革转移支付资金</w:t>
            </w:r>
          </w:p>
        </w:tc>
      </w:tr>
      <w:tr w14:paraId="1A419E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A4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508C2">
            <w:pPr>
              <w:jc w:val="center"/>
            </w:pPr>
            <w:r>
              <w:rPr>
                <w:rFonts w:ascii="宋体" w:hAnsi="宋体" w:eastAsia="宋体"/>
                <w:sz w:val="16"/>
              </w:rPr>
              <w:t>叶城县夏合甫乡人民政府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57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D67576">
            <w:pPr>
              <w:jc w:val="center"/>
            </w:pPr>
            <w:r>
              <w:rPr>
                <w:rFonts w:ascii="宋体" w:hAnsi="宋体" w:eastAsia="宋体"/>
                <w:sz w:val="16"/>
              </w:rPr>
              <w:t>叶城县夏合甫乡人民政府</w:t>
            </w:r>
          </w:p>
        </w:tc>
      </w:tr>
      <w:tr w14:paraId="25112F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F05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5CB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C2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977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94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9B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C51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861A">
            <w:pPr>
              <w:jc w:val="center"/>
            </w:pPr>
            <w:r>
              <w:rPr>
                <w:rFonts w:ascii="宋体" w:hAnsi="宋体" w:eastAsia="宋体"/>
                <w:sz w:val="16"/>
              </w:rPr>
              <w:t>得分</w:t>
            </w:r>
          </w:p>
        </w:tc>
      </w:tr>
      <w:tr w14:paraId="54DC6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0D2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A09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74296">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7464D">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CA7F">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61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4B9BD">
            <w:pPr>
              <w:jc w:val="center"/>
            </w:pPr>
            <w:r>
              <w:rPr>
                <w:rFonts w:ascii="宋体" w:hAnsi="宋体" w:eastAsia="宋体"/>
                <w:sz w:val="16"/>
              </w:rPr>
              <w:t>17.7%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D729">
            <w:pPr>
              <w:jc w:val="center"/>
            </w:pPr>
            <w:r>
              <w:rPr>
                <w:rFonts w:ascii="宋体" w:hAnsi="宋体" w:eastAsia="宋体"/>
                <w:sz w:val="16"/>
              </w:rPr>
              <w:t>0.00分</w:t>
            </w:r>
          </w:p>
        </w:tc>
      </w:tr>
      <w:tr w14:paraId="35E0F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DAC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73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880EE">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612B2">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7AD73">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66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3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36F7">
            <w:pPr>
              <w:jc w:val="center"/>
            </w:pPr>
            <w:r>
              <w:rPr>
                <w:rFonts w:ascii="宋体" w:hAnsi="宋体" w:eastAsia="宋体"/>
                <w:sz w:val="16"/>
              </w:rPr>
              <w:t>—</w:t>
            </w:r>
          </w:p>
        </w:tc>
      </w:tr>
      <w:tr w14:paraId="03F4E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B69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157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CC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BA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30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8F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D6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DEDF">
            <w:pPr>
              <w:jc w:val="center"/>
            </w:pPr>
            <w:r>
              <w:rPr>
                <w:rFonts w:ascii="宋体" w:hAnsi="宋体" w:eastAsia="宋体"/>
                <w:sz w:val="16"/>
              </w:rPr>
              <w:t>—</w:t>
            </w:r>
          </w:p>
        </w:tc>
      </w:tr>
      <w:tr w14:paraId="3AEE1C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8B9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5B9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5EA04">
            <w:pPr>
              <w:jc w:val="center"/>
            </w:pPr>
            <w:r>
              <w:rPr>
                <w:rFonts w:ascii="宋体" w:hAnsi="宋体" w:eastAsia="宋体"/>
                <w:sz w:val="16"/>
              </w:rPr>
              <w:t>实际完成情况</w:t>
            </w:r>
          </w:p>
        </w:tc>
      </w:tr>
      <w:tr w14:paraId="3D706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A8D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4637C">
            <w:pPr>
              <w:jc w:val="both"/>
            </w:pPr>
            <w:r>
              <w:rPr>
                <w:rFonts w:ascii="宋体" w:hAnsi="宋体" w:eastAsia="宋体"/>
                <w:sz w:val="16"/>
              </w:rPr>
              <w:t>本项目资金64万元，项目实施保证园艺社区正常办公</w:t>
            </w:r>
            <w:bookmarkStart w:id="0" w:name="_GoBack"/>
            <w:r>
              <w:rPr>
                <w:rFonts w:hint="eastAsia" w:ascii="宋体" w:hAnsi="宋体"/>
                <w:sz w:val="16"/>
                <w:lang w:eastAsia="zh-CN"/>
              </w:rPr>
              <w:t>运行</w:t>
            </w:r>
            <w:bookmarkEnd w:id="0"/>
            <w:r>
              <w:rPr>
                <w:rFonts w:ascii="宋体" w:hAnsi="宋体" w:eastAsia="宋体"/>
                <w:sz w:val="16"/>
              </w:rPr>
              <w:t>，提高干部工作积极性。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E729D">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2024年12月31日，该项目预算资金64万元，到位资金64万元，实际支出11.31万元。项目实施保证园艺社区正常办公</w:t>
            </w:r>
            <w:r>
              <w:rPr>
                <w:rFonts w:hint="eastAsia" w:ascii="宋体" w:hAnsi="宋体"/>
                <w:sz w:val="16"/>
                <w:lang w:eastAsia="zh-CN"/>
              </w:rPr>
              <w:t>运行</w:t>
            </w:r>
            <w:r>
              <w:rPr>
                <w:rFonts w:ascii="宋体" w:hAnsi="宋体" w:eastAsia="宋体"/>
                <w:sz w:val="16"/>
              </w:rPr>
              <w:t>，提高干部工作积极性，提高办事效率，提高群众幸福感。</w:t>
            </w:r>
          </w:p>
        </w:tc>
      </w:tr>
      <w:tr w14:paraId="17012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C06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C4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2D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C2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61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2C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69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13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FA2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75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F7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DD0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CF0D3">
            <w:pPr>
              <w:jc w:val="center"/>
            </w:pPr>
            <w:r>
              <w:rPr>
                <w:rFonts w:ascii="宋体" w:hAnsi="宋体" w:eastAsia="宋体"/>
                <w:sz w:val="16"/>
              </w:rPr>
              <w:t>偏差原因分析及改进措施</w:t>
            </w:r>
          </w:p>
        </w:tc>
      </w:tr>
      <w:tr w14:paraId="21A2D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BCD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9B82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6B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0AC9">
            <w:pPr>
              <w:jc w:val="center"/>
            </w:pPr>
            <w:r>
              <w:rPr>
                <w:rFonts w:ascii="宋体" w:hAnsi="宋体" w:eastAsia="宋体"/>
                <w:sz w:val="16"/>
              </w:rPr>
              <w:t>涉及乡镇数量（个）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159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7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5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C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B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63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FB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89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0030">
            <w:pPr>
              <w:jc w:val="center"/>
            </w:pPr>
          </w:p>
        </w:tc>
      </w:tr>
      <w:tr w14:paraId="14063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EA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9B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8C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F220">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7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D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B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9A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F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49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5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C6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2F892">
            <w:pPr>
              <w:jc w:val="center"/>
            </w:pPr>
          </w:p>
        </w:tc>
      </w:tr>
      <w:tr w14:paraId="36D9D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E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D3C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D60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A27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B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4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B1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B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D4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9E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C136">
            <w:pPr>
              <w:jc w:val="center"/>
            </w:pPr>
            <w:r>
              <w:rPr>
                <w:rFonts w:ascii="宋体" w:hAnsi="宋体" w:eastAsia="宋体"/>
                <w:sz w:val="16"/>
              </w:rPr>
              <w:t>=17.67%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ECE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E08C6">
            <w:pPr>
              <w:jc w:val="center"/>
            </w:pPr>
            <w:r>
              <w:rPr>
                <w:rFonts w:ascii="宋体" w:hAnsi="宋体" w:eastAsia="宋体"/>
                <w:sz w:val="16"/>
              </w:rPr>
              <w:t>偏差原因：支付手续未能按时提供，导致资金拨付缓慢。整改措施：加快支付进度。</w:t>
            </w:r>
          </w:p>
        </w:tc>
      </w:tr>
      <w:tr w14:paraId="06AD4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EB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18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F7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113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6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4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0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B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D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3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3111">
            <w:pPr>
              <w:jc w:val="center"/>
            </w:pPr>
            <w:r>
              <w:rPr>
                <w:rFonts w:ascii="宋体" w:hAnsi="宋体" w:eastAsia="宋体"/>
                <w:sz w:val="16"/>
              </w:rPr>
              <w:t>=17.67%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551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63FD">
            <w:pPr>
              <w:jc w:val="center"/>
            </w:pPr>
            <w:r>
              <w:rPr>
                <w:rFonts w:ascii="宋体" w:hAnsi="宋体" w:eastAsia="宋体"/>
                <w:sz w:val="16"/>
              </w:rPr>
              <w:t>偏差原因：预期计划做</w:t>
            </w:r>
            <w:r>
              <w:rPr>
                <w:rFonts w:hint="eastAsia" w:ascii="宋体" w:hAnsi="宋体"/>
                <w:sz w:val="16"/>
                <w:lang w:eastAsia="zh-CN"/>
              </w:rPr>
              <w:t>得</w:t>
            </w:r>
            <w:r>
              <w:rPr>
                <w:rFonts w:ascii="宋体" w:hAnsi="宋体" w:eastAsia="宋体"/>
                <w:sz w:val="16"/>
              </w:rPr>
              <w:t>不周全，导致未能及时完成。整改措施：做好预期计划。</w:t>
            </w:r>
          </w:p>
        </w:tc>
      </w:tr>
      <w:tr w14:paraId="791EA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82C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A2C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EA3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CF90">
            <w:pPr>
              <w:jc w:val="center"/>
            </w:pPr>
            <w:r>
              <w:rPr>
                <w:rFonts w:ascii="宋体" w:hAnsi="宋体" w:eastAsia="宋体"/>
                <w:sz w:val="16"/>
              </w:rPr>
              <w:t>支付办公费（万元）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DB55">
            <w:pPr>
              <w:jc w:val="center"/>
            </w:pPr>
            <w:r>
              <w:rPr>
                <w:rFonts w:ascii="宋体" w:hAnsi="宋体" w:eastAsia="宋体"/>
                <w:sz w:val="16"/>
              </w:rPr>
              <w:t>&lt;=57.3万元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D8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F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1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3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1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03CB">
            <w:pPr>
              <w:jc w:val="center"/>
            </w:pPr>
            <w:r>
              <w:rPr>
                <w:rFonts w:ascii="宋体" w:hAnsi="宋体" w:eastAsia="宋体"/>
                <w:sz w:val="16"/>
              </w:rPr>
              <w:t>=8.31万元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313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7400F">
            <w:pPr>
              <w:jc w:val="center"/>
            </w:pPr>
            <w:r>
              <w:rPr>
                <w:rFonts w:ascii="宋体" w:hAnsi="宋体" w:eastAsia="宋体"/>
                <w:sz w:val="16"/>
              </w:rPr>
              <w:t>偏差原因：对办公经费使用预期计划做</w:t>
            </w:r>
            <w:r>
              <w:rPr>
                <w:rFonts w:hint="eastAsia" w:ascii="宋体" w:hAnsi="宋体"/>
                <w:sz w:val="16"/>
                <w:lang w:eastAsia="zh-CN"/>
              </w:rPr>
              <w:t>得</w:t>
            </w:r>
            <w:r>
              <w:rPr>
                <w:rFonts w:ascii="宋体" w:hAnsi="宋体" w:eastAsia="宋体"/>
                <w:sz w:val="16"/>
              </w:rPr>
              <w:t>不周全，改进措施：做好项目概算，细化绩效目标</w:t>
            </w:r>
          </w:p>
        </w:tc>
      </w:tr>
      <w:tr w14:paraId="53F3E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F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C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77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A0BB">
            <w:pPr>
              <w:jc w:val="center"/>
            </w:pPr>
            <w:r>
              <w:rPr>
                <w:rFonts w:ascii="宋体" w:hAnsi="宋体" w:eastAsia="宋体"/>
                <w:sz w:val="16"/>
              </w:rPr>
              <w:t>支付电费（万元）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F758">
            <w:pPr>
              <w:jc w:val="center"/>
            </w:pPr>
            <w:r>
              <w:rPr>
                <w:rFonts w:ascii="宋体" w:hAnsi="宋体" w:eastAsia="宋体"/>
                <w:sz w:val="16"/>
              </w:rPr>
              <w:t>&lt;=6.69万元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54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5A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35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1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0F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7A6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965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70FE">
            <w:pPr>
              <w:jc w:val="center"/>
            </w:pPr>
            <w:r>
              <w:rPr>
                <w:rFonts w:ascii="宋体" w:hAnsi="宋体" w:eastAsia="宋体"/>
                <w:sz w:val="16"/>
              </w:rPr>
              <w:t>偏差原因：支付手续未能及时提供，导致资金未及时支付；整改措施：加快资金支付进度</w:t>
            </w:r>
          </w:p>
        </w:tc>
      </w:tr>
      <w:tr w14:paraId="091D4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C1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34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4A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0D2A">
            <w:pPr>
              <w:jc w:val="center"/>
            </w:pPr>
            <w:r>
              <w:rPr>
                <w:rFonts w:ascii="宋体" w:hAnsi="宋体" w:eastAsia="宋体"/>
                <w:sz w:val="16"/>
              </w:rPr>
              <w:t>项目提高干部积极性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5E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3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5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2B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FF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2D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49B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D6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41DF">
            <w:pPr>
              <w:jc w:val="center"/>
            </w:pPr>
            <w:r>
              <w:rPr>
                <w:rFonts w:ascii="宋体" w:hAnsi="宋体" w:eastAsia="宋体"/>
                <w:sz w:val="16"/>
              </w:rPr>
              <w:t>偏差原因：项目未能按时完成，导致效益不明显。整改措施：做好项目进度。</w:t>
            </w:r>
          </w:p>
        </w:tc>
      </w:tr>
      <w:tr w14:paraId="1DE85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D9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27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EA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03D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C1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FE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5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4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3E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8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76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D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03B32">
            <w:pPr>
              <w:jc w:val="center"/>
            </w:pPr>
          </w:p>
        </w:tc>
      </w:tr>
      <w:tr w14:paraId="06D6143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075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4C4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818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E9DE">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A7F2AC"/>
        </w:tc>
      </w:tr>
    </w:tbl>
    <w:p w14:paraId="000BED67">
      <w:r>
        <w:br w:type="page"/>
      </w:r>
    </w:p>
    <w:p w14:paraId="1BBFE7BE">
      <w:pPr>
        <w:spacing w:line="640" w:lineRule="exact"/>
        <w:ind w:firstLine="640"/>
        <w:jc w:val="both"/>
        <w:outlineLvl w:val="2"/>
      </w:pPr>
      <w:r>
        <w:rPr>
          <w:rFonts w:ascii="黑体" w:hAnsi="黑体" w:eastAsia="黑体"/>
          <w:sz w:val="32"/>
        </w:rPr>
        <w:t>十二、其他需说明的事项</w:t>
      </w:r>
    </w:p>
    <w:p w14:paraId="2CF12AA9">
      <w:pPr>
        <w:spacing w:line="580" w:lineRule="exact"/>
        <w:ind w:firstLine="640"/>
        <w:jc w:val="both"/>
      </w:pPr>
      <w:r>
        <w:rPr>
          <w:rFonts w:ascii="仿宋_GB2312" w:hAnsi="仿宋_GB2312" w:eastAsia="仿宋_GB2312"/>
          <w:b w:val="0"/>
          <w:sz w:val="32"/>
        </w:rPr>
        <w:t>本单位无其他需说明的事项。</w:t>
      </w:r>
    </w:p>
    <w:p w14:paraId="2E01711E">
      <w:r>
        <w:br w:type="page"/>
      </w:r>
    </w:p>
    <w:p w14:paraId="35C1AF8A">
      <w:pPr>
        <w:spacing w:line="240" w:lineRule="auto"/>
        <w:jc w:val="center"/>
        <w:outlineLvl w:val="1"/>
      </w:pPr>
      <w:r>
        <w:rPr>
          <w:rFonts w:ascii="黑体" w:hAnsi="黑体" w:eastAsia="黑体"/>
          <w:sz w:val="32"/>
        </w:rPr>
        <w:t>第三部分 专业名词解释</w:t>
      </w:r>
    </w:p>
    <w:p w14:paraId="53BB03D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339C5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0D6233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D0BC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D53B5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ED932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E9D28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AD2F1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6FB2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7C517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D217B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6CD802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6C22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1CEF9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CAA2D1">
      <w:r>
        <w:br w:type="page"/>
      </w:r>
    </w:p>
    <w:p w14:paraId="45E6013A">
      <w:pPr>
        <w:spacing w:line="240" w:lineRule="auto"/>
        <w:jc w:val="center"/>
        <w:outlineLvl w:val="1"/>
      </w:pPr>
      <w:r>
        <w:rPr>
          <w:rFonts w:ascii="黑体" w:hAnsi="黑体" w:eastAsia="黑体"/>
          <w:sz w:val="32"/>
        </w:rPr>
        <w:t>第四部分 部门决算报表（见附表）</w:t>
      </w:r>
    </w:p>
    <w:p w14:paraId="2C0FCBC7">
      <w:pPr>
        <w:spacing w:line="240" w:lineRule="auto"/>
        <w:ind w:firstLine="640"/>
        <w:jc w:val="both"/>
      </w:pPr>
      <w:r>
        <w:rPr>
          <w:rFonts w:ascii="仿宋_GB2312" w:hAnsi="仿宋_GB2312" w:eastAsia="仿宋_GB2312"/>
          <w:b w:val="0"/>
          <w:sz w:val="32"/>
        </w:rPr>
        <w:t>一、《收入支出决算总表》</w:t>
      </w:r>
    </w:p>
    <w:p w14:paraId="4ABA2824">
      <w:pPr>
        <w:spacing w:line="240" w:lineRule="auto"/>
        <w:ind w:firstLine="640"/>
        <w:jc w:val="both"/>
      </w:pPr>
      <w:r>
        <w:rPr>
          <w:rFonts w:ascii="仿宋_GB2312" w:hAnsi="仿宋_GB2312" w:eastAsia="仿宋_GB2312"/>
          <w:b w:val="0"/>
          <w:sz w:val="32"/>
        </w:rPr>
        <w:t>二、《收入决算表》</w:t>
      </w:r>
    </w:p>
    <w:p w14:paraId="79A97EB2">
      <w:pPr>
        <w:spacing w:line="240" w:lineRule="auto"/>
        <w:ind w:firstLine="640"/>
        <w:jc w:val="both"/>
      </w:pPr>
      <w:r>
        <w:rPr>
          <w:rFonts w:ascii="仿宋_GB2312" w:hAnsi="仿宋_GB2312" w:eastAsia="仿宋_GB2312"/>
          <w:b w:val="0"/>
          <w:sz w:val="32"/>
        </w:rPr>
        <w:t>三、《支出决算表》</w:t>
      </w:r>
    </w:p>
    <w:p w14:paraId="4E572EB3">
      <w:pPr>
        <w:spacing w:line="240" w:lineRule="auto"/>
        <w:ind w:firstLine="640"/>
        <w:jc w:val="both"/>
      </w:pPr>
      <w:r>
        <w:rPr>
          <w:rFonts w:ascii="仿宋_GB2312" w:hAnsi="仿宋_GB2312" w:eastAsia="仿宋_GB2312"/>
          <w:b w:val="0"/>
          <w:sz w:val="32"/>
        </w:rPr>
        <w:t>四、《财政拨款收入支出决算总表》</w:t>
      </w:r>
    </w:p>
    <w:p w14:paraId="6F81B4EB">
      <w:pPr>
        <w:spacing w:line="240" w:lineRule="auto"/>
        <w:ind w:firstLine="640"/>
        <w:jc w:val="both"/>
      </w:pPr>
      <w:r>
        <w:rPr>
          <w:rFonts w:ascii="仿宋_GB2312" w:hAnsi="仿宋_GB2312" w:eastAsia="仿宋_GB2312"/>
          <w:b w:val="0"/>
          <w:sz w:val="32"/>
        </w:rPr>
        <w:t>五、《一般公共预算财政拨款支出决算表》</w:t>
      </w:r>
    </w:p>
    <w:p w14:paraId="420D6FF5">
      <w:pPr>
        <w:spacing w:line="240" w:lineRule="auto"/>
        <w:ind w:firstLine="640"/>
        <w:jc w:val="both"/>
      </w:pPr>
      <w:r>
        <w:rPr>
          <w:rFonts w:ascii="仿宋_GB2312" w:hAnsi="仿宋_GB2312" w:eastAsia="仿宋_GB2312"/>
          <w:b w:val="0"/>
          <w:sz w:val="32"/>
        </w:rPr>
        <w:t>六、《一般公共预算财政拨款基本支出决算表》</w:t>
      </w:r>
    </w:p>
    <w:p w14:paraId="44643583">
      <w:pPr>
        <w:spacing w:line="240" w:lineRule="auto"/>
        <w:ind w:firstLine="640"/>
        <w:jc w:val="both"/>
      </w:pPr>
      <w:r>
        <w:rPr>
          <w:rFonts w:ascii="仿宋_GB2312" w:hAnsi="仿宋_GB2312" w:eastAsia="仿宋_GB2312"/>
          <w:b w:val="0"/>
          <w:sz w:val="32"/>
        </w:rPr>
        <w:t>七、《政府性基金预算财政拨款收入支出决算表》</w:t>
      </w:r>
    </w:p>
    <w:p w14:paraId="2DED9305">
      <w:pPr>
        <w:spacing w:line="240" w:lineRule="auto"/>
        <w:ind w:firstLine="640"/>
        <w:jc w:val="both"/>
      </w:pPr>
      <w:r>
        <w:rPr>
          <w:rFonts w:ascii="仿宋_GB2312" w:hAnsi="仿宋_GB2312" w:eastAsia="仿宋_GB2312"/>
          <w:b w:val="0"/>
          <w:sz w:val="32"/>
        </w:rPr>
        <w:t>八、《国有资本经营预算财政拨款收入支出决算表》</w:t>
      </w:r>
    </w:p>
    <w:p w14:paraId="12236832">
      <w:pPr>
        <w:spacing w:line="240" w:lineRule="auto"/>
        <w:ind w:firstLine="640"/>
        <w:jc w:val="both"/>
      </w:pPr>
      <w:r>
        <w:rPr>
          <w:rFonts w:ascii="仿宋_GB2312" w:hAnsi="仿宋_GB2312" w:eastAsia="仿宋_GB2312"/>
          <w:b w:val="0"/>
          <w:sz w:val="32"/>
        </w:rPr>
        <w:t>九、《财政拨款“三公”经费支出决算表》</w:t>
      </w:r>
    </w:p>
    <w:p w14:paraId="2D6BFE3F">
      <w:pPr>
        <w:spacing w:line="240" w:lineRule="auto"/>
        <w:ind w:firstLine="640"/>
        <w:jc w:val="both"/>
      </w:pPr>
    </w:p>
    <w:p w14:paraId="4F578D7E">
      <w:pPr>
        <w:spacing w:line="240" w:lineRule="auto"/>
        <w:ind w:firstLine="640"/>
        <w:jc w:val="both"/>
      </w:pPr>
    </w:p>
    <w:p w14:paraId="53379956">
      <w:pPr>
        <w:spacing w:line="240" w:lineRule="auto"/>
        <w:ind w:firstLine="640"/>
        <w:jc w:val="both"/>
      </w:pPr>
    </w:p>
    <w:p w14:paraId="0684A536">
      <w:pPr>
        <w:spacing w:line="240" w:lineRule="auto"/>
        <w:ind w:firstLine="640"/>
        <w:jc w:val="both"/>
      </w:pPr>
    </w:p>
    <w:p w14:paraId="63D691D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2335D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264C01"/>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8301</Words>
  <Characters>9594</Characters>
  <Lines>0</Lines>
  <Paragraphs>0</Paragraphs>
  <TotalTime>5</TotalTime>
  <ScaleCrop>false</ScaleCrop>
  <LinksUpToDate>false</LinksUpToDate>
  <CharactersWithSpaces>9602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2025-09-30T04:37:29Z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