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叶城县巴仁乡人民政府2024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D19B7D">
      <w:r>
        <w:br w:type="page"/>
      </w:r>
    </w:p>
    <w:p w14:paraId="769B17AF">
      <w:pPr>
        <w:spacing w:line="640" w:lineRule="exact"/>
        <w:jc w:val="center"/>
        <w:outlineLvl w:val="1"/>
      </w:pPr>
      <w:r>
        <w:rPr>
          <w:rFonts w:ascii="黑体" w:hAnsi="黑体" w:eastAsia="黑体"/>
          <w:sz w:val="32"/>
        </w:rPr>
        <w:t>第一部分 单位概况</w:t>
      </w:r>
    </w:p>
    <w:p w14:paraId="3EA8274A">
      <w:pPr>
        <w:spacing w:line="640" w:lineRule="exact"/>
        <w:ind w:firstLine="640"/>
        <w:jc w:val="both"/>
        <w:outlineLvl w:val="2"/>
      </w:pPr>
      <w:r>
        <w:rPr>
          <w:rFonts w:ascii="黑体" w:hAnsi="黑体" w:eastAsia="黑体"/>
          <w:sz w:val="32"/>
        </w:rPr>
        <w:t>一、主要职能</w:t>
      </w:r>
    </w:p>
    <w:p w14:paraId="11BDC2A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新疆维吾尔自治区喀什地区叶城县巴仁乡人民政府负责全片区党政行政管理事务。以贯彻落实党的二十大精神，以习近平新时代中国特色社会主义思想为指导，坚决贯彻执行党中央、国务院、自治区、地区及县委、县人民政府的有关方面政策指示，把党的各项优惠政策落实到实处，负责全区经济社会发展、社会事务管理、社会安全、基层组织建设等全面工作。以全面建设社会主义新农村为根本出发点，不断深化美丽乡村建设为总目标，不断铸牢全区经济社会发展基础，为全区各族群众提供社会服务。</w:t>
      </w:r>
    </w:p>
    <w:p w14:paraId="5B2B8CB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以时不我待的精神，按照“总目标”要求，以全面推进</w:t>
      </w:r>
      <w:r>
        <w:rPr>
          <w:rFonts w:hint="eastAsia" w:ascii="仿宋_GB2312" w:hAnsi="仿宋_GB2312" w:eastAsia="仿宋_GB2312"/>
          <w:sz w:val="32"/>
          <w:lang w:eastAsia="zh-CN"/>
        </w:rPr>
        <w:t>乡村振兴</w:t>
      </w:r>
      <w:r>
        <w:rPr>
          <w:rFonts w:ascii="仿宋_GB2312" w:hAnsi="仿宋_GB2312" w:eastAsia="仿宋_GB2312"/>
          <w:sz w:val="32"/>
        </w:rPr>
        <w:t>为总抓手，按照</w:t>
      </w:r>
      <w:r>
        <w:rPr>
          <w:rFonts w:hint="eastAsia" w:ascii="仿宋_GB2312" w:hAnsi="仿宋_GB2312" w:eastAsia="仿宋_GB2312"/>
          <w:sz w:val="32"/>
          <w:lang w:eastAsia="zh-CN"/>
        </w:rPr>
        <w:t>习近平总书记重要讲话精神</w:t>
      </w:r>
      <w:r>
        <w:rPr>
          <w:rFonts w:ascii="仿宋_GB2312" w:hAnsi="仿宋_GB2312" w:eastAsia="仿宋_GB2312"/>
          <w:sz w:val="32"/>
        </w:rPr>
        <w:t>为指引，以学习党史为契机，大力改进干部工作作风，以全心全意为中国人民谋幸福，为中华谋复兴的中国梦为总思路，带领全片区各族人民大力发展特色产业，不断优化产业结构，发展以“小商品市场经济、跳蚤市场”为首的各项经济。</w:t>
      </w:r>
    </w:p>
    <w:p w14:paraId="6ADE101D">
      <w:pPr>
        <w:spacing w:line="640" w:lineRule="exact"/>
        <w:ind w:firstLine="640"/>
        <w:jc w:val="both"/>
        <w:outlineLvl w:val="2"/>
      </w:pPr>
      <w:r>
        <w:rPr>
          <w:rFonts w:ascii="黑体" w:hAnsi="黑体" w:eastAsia="黑体"/>
          <w:sz w:val="32"/>
        </w:rPr>
        <w:t>二、机构设置及人员情况</w:t>
      </w:r>
    </w:p>
    <w:p w14:paraId="20D3B430">
      <w:pPr>
        <w:spacing w:line="580" w:lineRule="exact"/>
        <w:ind w:firstLine="640"/>
        <w:jc w:val="both"/>
      </w:pPr>
      <w:r>
        <w:rPr>
          <w:rFonts w:ascii="仿宋_GB2312" w:hAnsi="仿宋_GB2312" w:eastAsia="仿宋_GB2312"/>
          <w:sz w:val="32"/>
        </w:rPr>
        <w:t>叶城县巴仁乡人民政府2024年度，实有人数88人，其中：在职人员75人，减少13人；离休人员0人，增加0人；退休人员13人,增加1人。</w:t>
      </w:r>
    </w:p>
    <w:p w14:paraId="7FBE4DDB">
      <w:pPr>
        <w:spacing w:line="580" w:lineRule="exact"/>
        <w:ind w:firstLine="640"/>
        <w:jc w:val="both"/>
      </w:pPr>
      <w:r>
        <w:rPr>
          <w:rFonts w:ascii="仿宋_GB2312" w:hAnsi="仿宋_GB2312" w:eastAsia="仿宋_GB2312"/>
          <w:sz w:val="32"/>
        </w:rPr>
        <w:t>叶城县巴仁乡人民政府无下属预算单位，下设5个科室，分别是：党政办、党建办、综治办、社会事务办、农业发展中心。</w:t>
      </w:r>
    </w:p>
    <w:p w14:paraId="578F6394">
      <w:r>
        <w:br w:type="page"/>
      </w:r>
    </w:p>
    <w:p w14:paraId="1DE23A2D">
      <w:pPr>
        <w:spacing w:line="240" w:lineRule="auto"/>
        <w:jc w:val="center"/>
        <w:outlineLvl w:val="1"/>
      </w:pPr>
      <w:r>
        <w:rPr>
          <w:rFonts w:ascii="黑体" w:hAnsi="黑体" w:eastAsia="黑体"/>
          <w:sz w:val="32"/>
        </w:rPr>
        <w:t>第二部分 部门决算情况说明</w:t>
      </w:r>
    </w:p>
    <w:p w14:paraId="03F00CA4">
      <w:pPr>
        <w:spacing w:line="640" w:lineRule="exact"/>
        <w:ind w:firstLine="640"/>
        <w:jc w:val="both"/>
        <w:outlineLvl w:val="2"/>
      </w:pPr>
      <w:r>
        <w:rPr>
          <w:rFonts w:ascii="黑体" w:hAnsi="黑体" w:eastAsia="黑体"/>
          <w:sz w:val="32"/>
        </w:rPr>
        <w:t>一、收入支出决算总体情况说明</w:t>
      </w:r>
    </w:p>
    <w:p w14:paraId="67516AF8">
      <w:pPr>
        <w:spacing w:line="580" w:lineRule="exact"/>
        <w:ind w:firstLine="640"/>
        <w:jc w:val="both"/>
      </w:pPr>
      <w:r>
        <w:rPr>
          <w:rFonts w:ascii="仿宋_GB2312" w:hAnsi="仿宋_GB2312" w:eastAsia="仿宋_GB2312"/>
          <w:b/>
          <w:sz w:val="32"/>
        </w:rPr>
        <w:t>2024年度收入总计4,438.14万元，</w:t>
      </w:r>
      <w:r>
        <w:rPr>
          <w:rFonts w:ascii="仿宋_GB2312" w:hAnsi="仿宋_GB2312" w:eastAsia="仿宋_GB2312"/>
          <w:b w:val="0"/>
          <w:sz w:val="32"/>
        </w:rPr>
        <w:t>其中：本年收入合计4,438.14万元，使用非财政拨款结余（含专用结余）0.00万元，年初结转和结余0.00万元。</w:t>
      </w:r>
    </w:p>
    <w:p w14:paraId="014D3D26">
      <w:pPr>
        <w:spacing w:line="580" w:lineRule="exact"/>
        <w:ind w:firstLine="640"/>
        <w:jc w:val="both"/>
      </w:pPr>
      <w:r>
        <w:rPr>
          <w:rFonts w:ascii="仿宋_GB2312" w:hAnsi="仿宋_GB2312" w:eastAsia="仿宋_GB2312"/>
          <w:b/>
          <w:sz w:val="32"/>
        </w:rPr>
        <w:t>2024年度支出总计4,438.14万元，</w:t>
      </w:r>
      <w:r>
        <w:rPr>
          <w:rFonts w:ascii="仿宋_GB2312" w:hAnsi="仿宋_GB2312" w:eastAsia="仿宋_GB2312"/>
          <w:b w:val="0"/>
          <w:sz w:val="32"/>
        </w:rPr>
        <w:t>其中：本年支出合计4,438.14万元，结余分配0.00万元，年末结转和结余0.00万元。</w:t>
      </w:r>
    </w:p>
    <w:p w14:paraId="6786939E">
      <w:pPr>
        <w:spacing w:line="580" w:lineRule="exact"/>
        <w:ind w:firstLine="640"/>
        <w:jc w:val="both"/>
      </w:pPr>
      <w:r>
        <w:rPr>
          <w:rFonts w:ascii="仿宋_GB2312" w:hAnsi="仿宋_GB2312" w:eastAsia="仿宋_GB2312"/>
          <w:b w:val="0"/>
          <w:sz w:val="32"/>
        </w:rPr>
        <w:t>收入支出总体与上年相比，减少1,545.67万元，下降25.83%，主要原因是：本年在职人员减少，人员经费减少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本年减少桥梁建设、温室大棚、防渗渠项目资金。</w:t>
      </w:r>
    </w:p>
    <w:p w14:paraId="2501B092">
      <w:pPr>
        <w:spacing w:line="640" w:lineRule="exact"/>
        <w:ind w:firstLine="640"/>
        <w:jc w:val="both"/>
        <w:outlineLvl w:val="2"/>
      </w:pPr>
      <w:r>
        <w:rPr>
          <w:rFonts w:ascii="黑体" w:hAnsi="黑体" w:eastAsia="黑体"/>
          <w:sz w:val="32"/>
        </w:rPr>
        <w:t>二、收入决算情况说明</w:t>
      </w:r>
    </w:p>
    <w:p w14:paraId="0C59EE0E">
      <w:pPr>
        <w:spacing w:line="580" w:lineRule="exact"/>
        <w:ind w:firstLine="640"/>
        <w:jc w:val="both"/>
      </w:pPr>
      <w:r>
        <w:rPr>
          <w:rFonts w:ascii="仿宋_GB2312" w:hAnsi="仿宋_GB2312" w:eastAsia="仿宋_GB2312"/>
          <w:b/>
          <w:sz w:val="32"/>
        </w:rPr>
        <w:t>本年收入4,438.14万元，</w:t>
      </w:r>
      <w:r>
        <w:rPr>
          <w:rFonts w:ascii="仿宋_GB2312" w:hAnsi="仿宋_GB2312" w:eastAsia="仿宋_GB2312"/>
          <w:b w:val="0"/>
          <w:sz w:val="32"/>
        </w:rPr>
        <w:t>其中：财政拨款收入4,437.58万元，占99.99%；上级补助收入0.00万元，占0.00%；事业收入0.00万元，占0.00%；经营收入0.00万元，占0.00%；附属单位上缴收入0.00万元，占0.00%；其他收入0.56万元，占0.01%。</w:t>
      </w:r>
    </w:p>
    <w:p w14:paraId="3CB621EE">
      <w:pPr>
        <w:spacing w:line="640" w:lineRule="exact"/>
        <w:ind w:firstLine="640"/>
        <w:jc w:val="both"/>
        <w:outlineLvl w:val="2"/>
      </w:pPr>
      <w:r>
        <w:rPr>
          <w:rFonts w:ascii="黑体" w:hAnsi="黑体" w:eastAsia="黑体"/>
          <w:sz w:val="32"/>
        </w:rPr>
        <w:t>三、支出决算情况说明</w:t>
      </w:r>
    </w:p>
    <w:p w14:paraId="1B177ADE">
      <w:pPr>
        <w:spacing w:line="580" w:lineRule="exact"/>
        <w:ind w:firstLine="640"/>
        <w:jc w:val="both"/>
      </w:pPr>
      <w:r>
        <w:rPr>
          <w:rFonts w:ascii="仿宋_GB2312" w:hAnsi="仿宋_GB2312" w:eastAsia="仿宋_GB2312"/>
          <w:b/>
          <w:sz w:val="32"/>
        </w:rPr>
        <w:t>本年支出4,438.14万元，</w:t>
      </w:r>
      <w:r>
        <w:rPr>
          <w:rFonts w:ascii="仿宋_GB2312" w:hAnsi="仿宋_GB2312" w:eastAsia="仿宋_GB2312"/>
          <w:b w:val="0"/>
          <w:sz w:val="32"/>
        </w:rPr>
        <w:t>其中：基本支出1,694.81万元，占38.19%；项目支出2,743.34万元，占61.81%；上缴上级支出0.00万元，占0.00%；经营支出0.00万元，占0.00%；对附属单位补助支出0.00万元，占0.00%。</w:t>
      </w:r>
    </w:p>
    <w:p w14:paraId="3B4F287E">
      <w:pPr>
        <w:spacing w:line="640" w:lineRule="exact"/>
        <w:ind w:firstLine="640"/>
        <w:jc w:val="both"/>
        <w:outlineLvl w:val="2"/>
      </w:pPr>
      <w:r>
        <w:rPr>
          <w:rFonts w:ascii="黑体" w:hAnsi="黑体" w:eastAsia="黑体"/>
          <w:sz w:val="32"/>
        </w:rPr>
        <w:t>四、财政拨款收入支出决算总体情况说明</w:t>
      </w:r>
    </w:p>
    <w:p w14:paraId="04640D6D">
      <w:pPr>
        <w:spacing w:line="580" w:lineRule="exact"/>
        <w:ind w:firstLine="640"/>
        <w:jc w:val="both"/>
      </w:pPr>
      <w:r>
        <w:rPr>
          <w:rFonts w:ascii="仿宋_GB2312" w:hAnsi="仿宋_GB2312" w:eastAsia="仿宋_GB2312"/>
          <w:b/>
          <w:sz w:val="32"/>
        </w:rPr>
        <w:t>2024年度财政拨款收入总计4,437.58万元，</w:t>
      </w:r>
      <w:r>
        <w:rPr>
          <w:rFonts w:ascii="仿宋_GB2312" w:hAnsi="仿宋_GB2312" w:eastAsia="仿宋_GB2312"/>
          <w:b w:val="0"/>
          <w:sz w:val="32"/>
        </w:rPr>
        <w:t>其中：年初财政拨款结转和结余0.00万元，本年财政拨款收入4,437.58万元。</w:t>
      </w:r>
      <w:r>
        <w:rPr>
          <w:rFonts w:ascii="仿宋_GB2312" w:hAnsi="仿宋_GB2312" w:eastAsia="仿宋_GB2312"/>
          <w:b/>
          <w:sz w:val="32"/>
        </w:rPr>
        <w:t>财政拨款支出总计4,437.58万元，</w:t>
      </w:r>
      <w:r>
        <w:rPr>
          <w:rFonts w:ascii="仿宋_GB2312" w:hAnsi="仿宋_GB2312" w:eastAsia="仿宋_GB2312"/>
          <w:b w:val="0"/>
          <w:sz w:val="32"/>
        </w:rPr>
        <w:t>其中：年末财政拨款结转和结余0.00万元，本年财政拨款支出4,437.58万元。</w:t>
      </w:r>
    </w:p>
    <w:p w14:paraId="05E3F9C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减少1,544.80万元，下降25.82%，主要原因是：本年在职人员减少，人员经费减少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本年减少桥梁建设、温室大棚、防渗渠项目资金。</w:t>
      </w:r>
      <w:r>
        <w:rPr>
          <w:rFonts w:ascii="仿宋_GB2312" w:hAnsi="仿宋_GB2312" w:eastAsia="仿宋_GB2312"/>
          <w:b/>
          <w:sz w:val="32"/>
        </w:rPr>
        <w:t>与年初预算相比，</w:t>
      </w:r>
      <w:r>
        <w:rPr>
          <w:rFonts w:ascii="仿宋_GB2312" w:hAnsi="仿宋_GB2312" w:eastAsia="仿宋_GB2312"/>
          <w:b w:val="0"/>
          <w:sz w:val="32"/>
        </w:rPr>
        <w:t>年初预算数2,002.97万元，决算数4,437.58万元，预决算差异率121.55%，主要原因是：</w:t>
      </w:r>
      <w:r>
        <w:rPr>
          <w:rFonts w:hint="eastAsia" w:ascii="仿宋_GB2312" w:hAnsi="仿宋_GB2312" w:eastAsia="仿宋_GB2312"/>
          <w:b w:val="0"/>
          <w:sz w:val="32"/>
          <w:lang w:val="en-US" w:eastAsia="zh-CN"/>
        </w:rPr>
        <w:t>年中追加</w:t>
      </w:r>
      <w:r>
        <w:rPr>
          <w:rFonts w:hint="eastAsia" w:ascii="仿宋_GB2312" w:hAnsi="仿宋_GB2312" w:eastAsia="仿宋_GB2312"/>
          <w:b w:val="0"/>
          <w:sz w:val="32"/>
        </w:rPr>
        <w:t>叶城县2024年巴仁乡红薯窖改造项目</w:t>
      </w:r>
      <w:r>
        <w:rPr>
          <w:rFonts w:hint="eastAsia" w:ascii="仿宋_GB2312" w:hAnsi="仿宋_GB2312" w:eastAsia="仿宋_GB2312"/>
          <w:b w:val="0"/>
          <w:sz w:val="32"/>
          <w:lang w:eastAsia="zh-CN"/>
        </w:rPr>
        <w:t>、叶城县2024年巴仁乡红薯种薯保存库建设项目、叶城县2024年巴仁乡种植业基地配套建设项目、叶城县2024年巴仁乡2村示范村乡村建设项目、叶城县2024年巴仁乡种植业基地配套（二期）建设项目、叶城县2024年巴仁乡林粮间作节水设施配套项目、叶城县巴仁乡农村水利基础设施建设2024年中央预算内以工代赈示范项目，</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B3B5D53">
      <w:pPr>
        <w:spacing w:line="640" w:lineRule="exact"/>
        <w:ind w:firstLine="640"/>
        <w:jc w:val="both"/>
        <w:outlineLvl w:val="2"/>
      </w:pPr>
      <w:r>
        <w:rPr>
          <w:rFonts w:ascii="黑体" w:hAnsi="黑体" w:eastAsia="黑体"/>
          <w:sz w:val="32"/>
        </w:rPr>
        <w:t>五、一般公共预算财政拨款支出决算情况说明</w:t>
      </w:r>
    </w:p>
    <w:p w14:paraId="4AE5F045">
      <w:pPr>
        <w:spacing w:line="640" w:lineRule="exact"/>
        <w:ind w:firstLine="640"/>
        <w:jc w:val="both"/>
        <w:outlineLvl w:val="3"/>
      </w:pPr>
      <w:r>
        <w:rPr>
          <w:rFonts w:ascii="楷体_GB2312" w:hAnsi="楷体_GB2312" w:eastAsia="楷体_GB2312"/>
          <w:b/>
          <w:sz w:val="32"/>
        </w:rPr>
        <w:t>（一）一般公共预算财政拨款支出决算总体情况</w:t>
      </w:r>
    </w:p>
    <w:p w14:paraId="57126C89">
      <w:pPr>
        <w:spacing w:line="580" w:lineRule="exact"/>
        <w:ind w:firstLine="640"/>
        <w:jc w:val="both"/>
      </w:pPr>
      <w:r>
        <w:rPr>
          <w:rFonts w:ascii="仿宋_GB2312" w:hAnsi="仿宋_GB2312" w:eastAsia="仿宋_GB2312"/>
          <w:b/>
          <w:sz w:val="32"/>
        </w:rPr>
        <w:t>2024年度一般公共预算财政拨款支出4,437.58万元，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减少1,544.80万元，下降25.82%，主要原因是：本年在职人员减少，人员经费减少</w:t>
      </w:r>
      <w:r>
        <w:rPr>
          <w:rFonts w:hint="eastAsia" w:ascii="仿宋_GB2312" w:hAnsi="仿宋_GB2312" w:eastAsia="仿宋_GB2312"/>
          <w:b w:val="0"/>
          <w:sz w:val="32"/>
          <w:lang w:eastAsia="zh-CN"/>
        </w:rPr>
        <w:t>；</w:t>
      </w:r>
      <w:r>
        <w:rPr>
          <w:rFonts w:ascii="仿宋_GB2312" w:hAnsi="仿宋_GB2312" w:eastAsia="仿宋_GB2312"/>
          <w:b w:val="0"/>
          <w:sz w:val="32"/>
        </w:rPr>
        <w:t>本年减少桥梁建设、温室大棚、防渗渠项目资金。</w:t>
      </w:r>
      <w:r>
        <w:rPr>
          <w:rFonts w:ascii="仿宋_GB2312" w:hAnsi="仿宋_GB2312" w:eastAsia="仿宋_GB2312"/>
          <w:b/>
          <w:sz w:val="32"/>
        </w:rPr>
        <w:t>与年初预算相比,</w:t>
      </w:r>
      <w:r>
        <w:rPr>
          <w:rFonts w:ascii="仿宋_GB2312" w:hAnsi="仿宋_GB2312" w:eastAsia="仿宋_GB2312"/>
          <w:b w:val="0"/>
          <w:sz w:val="32"/>
        </w:rPr>
        <w:t>年初预算数2,002.97万元，决算数4,437.58万元，预决算差异率121.55%，主要原因是：</w:t>
      </w:r>
      <w:r>
        <w:rPr>
          <w:rFonts w:hint="eastAsia" w:ascii="仿宋_GB2312" w:hAnsi="仿宋_GB2312" w:eastAsia="仿宋_GB2312"/>
          <w:b w:val="0"/>
          <w:sz w:val="32"/>
          <w:lang w:val="en-US" w:eastAsia="zh-CN"/>
        </w:rPr>
        <w:t>年中追加</w:t>
      </w:r>
      <w:r>
        <w:rPr>
          <w:rFonts w:hint="eastAsia" w:ascii="仿宋_GB2312" w:hAnsi="仿宋_GB2312" w:eastAsia="仿宋_GB2312"/>
          <w:b w:val="0"/>
          <w:sz w:val="32"/>
        </w:rPr>
        <w:t>叶城县2024年巴仁乡红薯窖改造项目</w:t>
      </w:r>
      <w:r>
        <w:rPr>
          <w:rFonts w:hint="eastAsia" w:ascii="仿宋_GB2312" w:hAnsi="仿宋_GB2312" w:eastAsia="仿宋_GB2312"/>
          <w:b w:val="0"/>
          <w:sz w:val="32"/>
          <w:lang w:eastAsia="zh-CN"/>
        </w:rPr>
        <w:t>、叶城县2024年巴仁乡红薯种薯保存库建设项目、叶城县2024年巴仁乡种植业基地配套建设项目、叶城县2024年巴仁乡2村示范村乡村建设项目、叶城县2024年巴仁乡种植业基地配套（二期）建设项目、叶城县2024年巴仁乡林粮间作节水设施配套项目、叶城县巴仁乡农村水利基础设施建设2024年中央预算内以工代赈示范项目，</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18327E50">
      <w:pPr>
        <w:spacing w:line="640" w:lineRule="exact"/>
        <w:ind w:firstLine="640"/>
        <w:jc w:val="both"/>
        <w:outlineLvl w:val="3"/>
      </w:pPr>
      <w:r>
        <w:rPr>
          <w:rFonts w:ascii="楷体_GB2312" w:hAnsi="楷体_GB2312" w:eastAsia="楷体_GB2312"/>
          <w:b/>
          <w:sz w:val="32"/>
        </w:rPr>
        <w:t>（二）一般公共预算财政拨款支出决算结构情况</w:t>
      </w:r>
    </w:p>
    <w:p w14:paraId="69561AFC">
      <w:pPr>
        <w:spacing w:line="580" w:lineRule="exact"/>
        <w:ind w:firstLine="640"/>
        <w:jc w:val="both"/>
      </w:pPr>
      <w:r>
        <w:rPr>
          <w:rFonts w:ascii="仿宋_GB2312" w:hAnsi="仿宋_GB2312" w:eastAsia="仿宋_GB2312"/>
          <w:b w:val="0"/>
          <w:sz w:val="32"/>
        </w:rPr>
        <w:t>1.一般公共服务支出(类)1,451.11万元,占32.70%。</w:t>
      </w:r>
    </w:p>
    <w:p w14:paraId="0B5107BF">
      <w:pPr>
        <w:spacing w:line="580" w:lineRule="exact"/>
        <w:ind w:firstLine="640"/>
        <w:jc w:val="both"/>
      </w:pPr>
      <w:r>
        <w:rPr>
          <w:rFonts w:ascii="仿宋_GB2312" w:hAnsi="仿宋_GB2312" w:eastAsia="仿宋_GB2312"/>
          <w:b w:val="0"/>
          <w:sz w:val="32"/>
        </w:rPr>
        <w:t>2.公共安全支出(类)2.50万元,占0.06%。</w:t>
      </w:r>
    </w:p>
    <w:p w14:paraId="4DAE1FF9">
      <w:pPr>
        <w:spacing w:line="580" w:lineRule="exact"/>
        <w:ind w:firstLine="640"/>
        <w:jc w:val="both"/>
      </w:pPr>
      <w:r>
        <w:rPr>
          <w:rFonts w:ascii="仿宋_GB2312" w:hAnsi="仿宋_GB2312" w:eastAsia="仿宋_GB2312"/>
          <w:b w:val="0"/>
          <w:sz w:val="32"/>
        </w:rPr>
        <w:t>3.文化旅游体育与传媒支出(类)2.42万元,占0.05%。</w:t>
      </w:r>
    </w:p>
    <w:p w14:paraId="50AABD9C">
      <w:pPr>
        <w:spacing w:line="580" w:lineRule="exact"/>
        <w:ind w:firstLine="640"/>
        <w:jc w:val="both"/>
      </w:pPr>
      <w:r>
        <w:rPr>
          <w:rFonts w:ascii="仿宋_GB2312" w:hAnsi="仿宋_GB2312" w:eastAsia="仿宋_GB2312"/>
          <w:b w:val="0"/>
          <w:sz w:val="32"/>
        </w:rPr>
        <w:t>4.社会保障和就业支出(类)190.46万元,占4.29%。</w:t>
      </w:r>
    </w:p>
    <w:p w14:paraId="3D33AAFF">
      <w:pPr>
        <w:spacing w:line="580" w:lineRule="exact"/>
        <w:ind w:firstLine="640"/>
        <w:jc w:val="both"/>
      </w:pPr>
      <w:r>
        <w:rPr>
          <w:rFonts w:ascii="仿宋_GB2312" w:hAnsi="仿宋_GB2312" w:eastAsia="仿宋_GB2312"/>
          <w:b w:val="0"/>
          <w:sz w:val="32"/>
        </w:rPr>
        <w:t>5.卫生健康支出(类)89.88万元,占2.03%。</w:t>
      </w:r>
    </w:p>
    <w:p w14:paraId="724F9EEF">
      <w:pPr>
        <w:spacing w:line="580" w:lineRule="exact"/>
        <w:ind w:firstLine="640"/>
        <w:jc w:val="both"/>
      </w:pPr>
      <w:r>
        <w:rPr>
          <w:rFonts w:ascii="仿宋_GB2312" w:hAnsi="仿宋_GB2312" w:eastAsia="仿宋_GB2312"/>
          <w:b w:val="0"/>
          <w:sz w:val="32"/>
        </w:rPr>
        <w:t>6.农林水支出(类)2,566.13万元,占57.83%。</w:t>
      </w:r>
    </w:p>
    <w:p w14:paraId="521EE6CD">
      <w:pPr>
        <w:spacing w:line="580" w:lineRule="exact"/>
        <w:ind w:firstLine="640"/>
        <w:jc w:val="both"/>
      </w:pPr>
      <w:r>
        <w:rPr>
          <w:rFonts w:ascii="仿宋_GB2312" w:hAnsi="仿宋_GB2312" w:eastAsia="仿宋_GB2312"/>
          <w:b w:val="0"/>
          <w:sz w:val="32"/>
        </w:rPr>
        <w:t>7.交通运输支出(类)0.24万元,占0.005%。</w:t>
      </w:r>
    </w:p>
    <w:p w14:paraId="3D2EE4EF">
      <w:pPr>
        <w:spacing w:line="580" w:lineRule="exact"/>
        <w:ind w:firstLine="640"/>
        <w:jc w:val="both"/>
      </w:pPr>
      <w:r>
        <w:rPr>
          <w:rFonts w:ascii="仿宋_GB2312" w:hAnsi="仿宋_GB2312" w:eastAsia="仿宋_GB2312"/>
          <w:b w:val="0"/>
          <w:sz w:val="32"/>
        </w:rPr>
        <w:t>8.住房保障支出(类)134.84万元,占3.04%。</w:t>
      </w:r>
    </w:p>
    <w:p w14:paraId="47469DB2">
      <w:pPr>
        <w:spacing w:line="640" w:lineRule="exact"/>
        <w:ind w:firstLine="640"/>
        <w:jc w:val="both"/>
        <w:outlineLvl w:val="3"/>
      </w:pPr>
      <w:r>
        <w:rPr>
          <w:rFonts w:ascii="楷体_GB2312" w:hAnsi="楷体_GB2312" w:eastAsia="楷体_GB2312"/>
          <w:b/>
          <w:sz w:val="32"/>
        </w:rPr>
        <w:t>（三）一般公共预算财政拨款支出决算具体情况</w:t>
      </w:r>
    </w:p>
    <w:p w14:paraId="12C8E45F">
      <w:pPr>
        <w:spacing w:line="580" w:lineRule="exact"/>
        <w:ind w:firstLine="640"/>
        <w:jc w:val="both"/>
      </w:pPr>
      <w:r>
        <w:rPr>
          <w:rFonts w:ascii="仿宋_GB2312" w:hAnsi="仿宋_GB2312" w:eastAsia="仿宋_GB2312"/>
          <w:b w:val="0"/>
          <w:sz w:val="32"/>
        </w:rPr>
        <w:t>1.一般公共服务支出(类)人大事务(款)代表工作(项):支出决算数为2.20万元，比上年决算减少1.19万元，下降35.10%,主要原因是：本年度减少自治区人大代表活动经费。</w:t>
      </w:r>
    </w:p>
    <w:p w14:paraId="778655EE">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2.一般公共服务支出(类)人大事务(款)其他人大事务支出(项):支出决算数为0.00万元，比上年决算减少0.14万元，下降100.00%,主要原因是：本年度减少自治区人大代表活动经费。</w:t>
      </w:r>
    </w:p>
    <w:p w14:paraId="756A6C7F">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3.一般公共服务支出(类)政府办公厅（室）及相关机构事务(款)行政运行(项):支出决算数为1,284.62万元，比上年决算减少101.48万元，下降7.32%,主要原因是：本年在职人员减少，人员经费减少。</w:t>
      </w:r>
    </w:p>
    <w:p w14:paraId="52B37A56">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4.一般公共服务支出(类)政府办公厅（室）及相关机构事务(款)一般行政管理事务(项):支出决算数为24.20万元，比上年决算增加8.99万元，增长59.11%,主要原因是：本年度增加专项公用经费项目。</w:t>
      </w:r>
    </w:p>
    <w:p w14:paraId="61A64D00">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5.一般公共服务支出(类)纪检监察事务(款)其他纪检监察事务支出(项):支出决算数为2.00万元，比上年决算增加1.00万元，增长100.00%,主要原因是：本年度增加中央政法</w:t>
      </w:r>
      <w:r>
        <w:rPr>
          <w:rFonts w:hint="eastAsia" w:ascii="仿宋_GB2312" w:hAnsi="仿宋_GB2312" w:eastAsia="仿宋_GB2312"/>
          <w:b w:val="0"/>
          <w:sz w:val="32"/>
          <w:lang w:eastAsia="zh-CN"/>
        </w:rPr>
        <w:t>纪检监察</w:t>
      </w:r>
      <w:r>
        <w:rPr>
          <w:rFonts w:ascii="仿宋_GB2312" w:hAnsi="仿宋_GB2312" w:eastAsia="仿宋_GB2312"/>
          <w:b w:val="0"/>
          <w:sz w:val="32"/>
        </w:rPr>
        <w:t>转移支付资金（办案经费）项目。</w:t>
      </w:r>
    </w:p>
    <w:p w14:paraId="6CA67EF4">
      <w:pPr>
        <w:spacing w:line="580" w:lineRule="exact"/>
        <w:ind w:firstLine="640"/>
        <w:jc w:val="both"/>
      </w:pPr>
      <w:r>
        <w:rPr>
          <w:rFonts w:ascii="仿宋_GB2312" w:hAnsi="仿宋_GB2312" w:eastAsia="仿宋_GB2312"/>
          <w:b w:val="0"/>
          <w:sz w:val="32"/>
        </w:rPr>
        <w:t>6.一般公共服务支出(类)组织事务(款)其他组织事务支出(项):支出决算数为137.09万元，比上年决算增加45.97万元，增长50.45%,主要原因是：本年增加村级运转经费。</w:t>
      </w:r>
    </w:p>
    <w:p w14:paraId="77A66EC4">
      <w:pPr>
        <w:spacing w:line="580" w:lineRule="exact"/>
        <w:ind w:firstLine="640"/>
        <w:jc w:val="both"/>
      </w:pPr>
      <w:r>
        <w:rPr>
          <w:rFonts w:ascii="仿宋_GB2312" w:hAnsi="仿宋_GB2312" w:eastAsia="仿宋_GB2312"/>
          <w:b w:val="0"/>
          <w:sz w:val="32"/>
        </w:rPr>
        <w:t>7.一般公共服务支出(类)统战事务(款)宗教事务(项):支出决算数为1.00万元，比上年决算增加1.00万元，增长100.00%,主要原因是：本年功能科目调整，管委会工作经费项目由其他统战事务支出科目调整至宗教事务科目列支，导致经费增加。</w:t>
      </w:r>
    </w:p>
    <w:p w14:paraId="782D4FDA">
      <w:pPr>
        <w:spacing w:line="580" w:lineRule="exact"/>
        <w:ind w:firstLine="640"/>
        <w:jc w:val="both"/>
      </w:pPr>
      <w:r>
        <w:rPr>
          <w:rFonts w:ascii="仿宋_GB2312" w:hAnsi="仿宋_GB2312" w:eastAsia="仿宋_GB2312"/>
          <w:b w:val="0"/>
          <w:sz w:val="32"/>
        </w:rPr>
        <w:t>8.一般公共服务支出(类)统战事务(款)其他统战事务支出(项):支出决算数为0.00万元，比上年决算减少6.66万元，下降100.00%,主要原因是：本年功能科目调整，管委会工作经费项目由其他统战事务支出科目调整至宗教事务科目列支，导致经费减少。</w:t>
      </w:r>
    </w:p>
    <w:p w14:paraId="6A65D549">
      <w:pPr>
        <w:spacing w:line="580" w:lineRule="exact"/>
        <w:ind w:firstLine="640"/>
        <w:jc w:val="both"/>
      </w:pPr>
      <w:r>
        <w:rPr>
          <w:rFonts w:ascii="仿宋_GB2312" w:hAnsi="仿宋_GB2312" w:eastAsia="仿宋_GB2312"/>
          <w:b w:val="0"/>
          <w:sz w:val="32"/>
        </w:rPr>
        <w:t>9.公共安全支出(类)其他公共安全支出(款)其他公共安全支出(项):支出决算数为2.50万元，比上年决算减少4.50万元，下降64.29%,主要原因是：本年度减少转移支付资金乡镇奖励经费及转移支付资金。</w:t>
      </w:r>
    </w:p>
    <w:p w14:paraId="38D441F8">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10.文化旅游体育与传媒支出(类)文化和旅游(款)其他文化和旅游支出(项):支出决算数为2.42万元，比上年决算减少2.58万元，下降51.60%,主要原因是：本年减少2024年文化站免费开放补助资金。</w:t>
      </w:r>
    </w:p>
    <w:p w14:paraId="2DC7D2FE">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0.00万元，比上年决算减少6.16万元，下降100.00%,主要原因是：本年度减少巴仁乡2024年第一批中央补助地方公共文化服务体系建设补助资金项目。</w:t>
      </w:r>
    </w:p>
    <w:p w14:paraId="007F6D86">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12.社会保障和就业支出(类)民政管理事务(款)其他民政管理事务支出(项):支出决算数为5.00万元，比上年决算增加0.00万元，增长0.00%,主要原因是：本年自治区农村幸福大院补助资金与上年一致，无变化。</w:t>
      </w:r>
    </w:p>
    <w:p w14:paraId="62718FFD">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13.社会保障和就业支出(类)行政事业单位养老支出(款)行政单位离退休(项):支出决算数为14.85万元，比上年决算增加0.00万元，增长0.00%,主要原因是：本年退休费支出与上年一致，无变化。</w:t>
      </w:r>
    </w:p>
    <w:p w14:paraId="52A07B98">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170.62万元，比上年决算增加43.57万元，增长34.29%,主要原因是：本年在职人员工资基数调增，养老缴费基数上涨，相应支出增加。</w:t>
      </w:r>
    </w:p>
    <w:p w14:paraId="13CF0615">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0.00万元，比上年决算减少10.87万元，下降100.00%,主要原因是：本年新增退休人员职业年金下年发放，导致职业年金支持较上年减少。</w:t>
      </w:r>
    </w:p>
    <w:p w14:paraId="4C4EAA76">
      <w:pPr>
        <w:spacing w:line="580" w:lineRule="exact"/>
        <w:ind w:firstLine="640"/>
        <w:jc w:val="both"/>
      </w:pPr>
      <w:r>
        <w:rPr>
          <w:rFonts w:ascii="仿宋_GB2312" w:hAnsi="仿宋_GB2312" w:eastAsia="仿宋_GB2312"/>
          <w:b w:val="0"/>
          <w:sz w:val="32"/>
        </w:rPr>
        <w:t>16.卫生健康支出(类)公共卫生(款)突发公共卫生事件应急处理(项):支出决算数为0.00万元，比上年决算减少1.75万元，下降100.00%,主要原因是：本年无防控项目资金。</w:t>
      </w:r>
    </w:p>
    <w:p w14:paraId="5123E0D6">
      <w:pPr>
        <w:spacing w:line="580" w:lineRule="exact"/>
        <w:ind w:firstLine="640"/>
        <w:jc w:val="both"/>
      </w:pPr>
      <w:r>
        <w:rPr>
          <w:rFonts w:ascii="仿宋_GB2312" w:hAnsi="仿宋_GB2312" w:eastAsia="仿宋_GB2312"/>
          <w:b w:val="0"/>
          <w:sz w:val="32"/>
        </w:rPr>
        <w:t>17.卫生健康支出(类)行政事业单位医疗(款)行政单位医疗(项):支出决算数为72.51万元，比上年决算增加18.39万元，增长33.98%,主要原因是：本年在职人员工资基数调增，医疗缴费基数上涨，行政单位医疗相应支出增加。</w:t>
      </w:r>
    </w:p>
    <w:p w14:paraId="5E3A8C1B">
      <w:pPr>
        <w:spacing w:line="580" w:lineRule="exact"/>
        <w:ind w:firstLine="640"/>
        <w:jc w:val="both"/>
      </w:pPr>
      <w:r>
        <w:rPr>
          <w:rFonts w:ascii="仿宋_GB2312" w:hAnsi="仿宋_GB2312" w:eastAsia="仿宋_GB2312"/>
          <w:b w:val="0"/>
          <w:sz w:val="32"/>
        </w:rPr>
        <w:t>18.卫生健康支出(类)行政事业单位医疗(款)公务员医疗补助(项):支出决算数为17.37万元，比上年决算增加3.72万元，增长27.25%,主要原因是：本年在职人员工资基数调增，医疗缴费基数上涨，公务员医疗补助支出增加。</w:t>
      </w:r>
    </w:p>
    <w:p w14:paraId="55911CBA">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43.91万元，下降100.00%,主要原因是：本年科目调整，农口津贴补贴上年单独列支，本年在一般公共服务支出(类)政府办公厅（室）及相关机构事务(款)行政运行(项)科目列支，经费</w:t>
      </w:r>
      <w:r>
        <w:rPr>
          <w:rFonts w:hint="eastAsia" w:ascii="仿宋_GB2312" w:hAnsi="仿宋_GB2312" w:eastAsia="仿宋_GB2312"/>
          <w:b w:val="0"/>
          <w:sz w:val="32"/>
          <w:lang w:val="en-US" w:eastAsia="zh-CN"/>
        </w:rPr>
        <w:t>较上年</w:t>
      </w:r>
      <w:r>
        <w:rPr>
          <w:rFonts w:ascii="仿宋_GB2312" w:hAnsi="仿宋_GB2312" w:eastAsia="仿宋_GB2312"/>
          <w:b w:val="0"/>
          <w:sz w:val="32"/>
        </w:rPr>
        <w:t>减少。</w:t>
      </w:r>
    </w:p>
    <w:p w14:paraId="46FDBDCC">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20.农林水支出(类)农业农村(款)农业生产发展(项):支出决算数为3.52万元，比上年决算增加3.52万元，增长100.00%,主要原因是：本年增加巴仁乡高素质农民培育项目（8村、10村）。</w:t>
      </w:r>
    </w:p>
    <w:p w14:paraId="6766FB1B">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480.08万元，比上年决算增加479.33万元，增长63,910.67%,主要原因是：本年增加叶城县巴仁乡农村水利基础设施建设2024年中央预算内以工代赈示范项目资金。</w:t>
      </w:r>
    </w:p>
    <w:p w14:paraId="197F4C97">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22.农林水支出(类)巩固脱贫攻坚成果衔接乡村振兴(款)生产发展(项):支出决算数为2,082.52万元，比上年决算减少2,010.52万元，下降49.12%,主要原因是：本年减少桥梁建设、温室大棚、防渗渠项目资金。</w:t>
      </w:r>
    </w:p>
    <w:p w14:paraId="73299E2F">
      <w:pPr>
        <w:spacing w:line="580" w:lineRule="exact"/>
        <w:ind w:firstLine="640"/>
        <w:jc w:val="both"/>
      </w:pPr>
      <w:r>
        <w:rPr>
          <w:rFonts w:ascii="仿宋_GB2312" w:hAnsi="仿宋_GB2312" w:eastAsia="仿宋_GB2312"/>
          <w:b w:val="0"/>
          <w:sz w:val="32"/>
        </w:rPr>
        <w:t>23.交通运输支出(类)邮政业支出(款)邮政普遍服务与特殊服务(项):支出决算数为0.24万元，比上年决算增加0.00万元，增长0.00%,主要原因是：2024年农牧区投递员专项补贴资金与上年一致。</w:t>
      </w:r>
    </w:p>
    <w:p w14:paraId="4D6827C1">
      <w:pPr>
        <w:spacing w:line="580" w:lineRule="exact"/>
        <w:ind w:firstLine="640"/>
        <w:jc w:val="both"/>
      </w:pPr>
      <w:r>
        <w:rPr>
          <w:rFonts w:ascii="仿宋_GB2312" w:hAnsi="仿宋_GB2312" w:eastAsia="仿宋_GB2312"/>
          <w:b w:val="0"/>
          <w:sz w:val="32"/>
        </w:rPr>
        <w:t>24.住房保障支出(类)住房改革支出(款)住房公积金(项):支出决算数为134.84万元，比上年决算增加39.46万元，增长41.37%,主要原因是：本年在职人员工资调增，住房公积金支出增加。</w:t>
      </w:r>
    </w:p>
    <w:p w14:paraId="01D2264B">
      <w:pPr>
        <w:spacing w:line="640" w:lineRule="exact"/>
        <w:ind w:firstLine="640"/>
        <w:jc w:val="both"/>
        <w:outlineLvl w:val="2"/>
      </w:pPr>
      <w:r>
        <w:rPr>
          <w:rFonts w:ascii="黑体" w:hAnsi="黑体" w:eastAsia="黑体"/>
          <w:sz w:val="32"/>
        </w:rPr>
        <w:t>六、一般公共预算财政拨款基本支出决算情况说明</w:t>
      </w:r>
    </w:p>
    <w:p w14:paraId="3163FD41">
      <w:pPr>
        <w:spacing w:line="580" w:lineRule="exact"/>
        <w:ind w:firstLine="640"/>
        <w:jc w:val="both"/>
      </w:pPr>
      <w:r>
        <w:rPr>
          <w:rFonts w:ascii="仿宋_GB2312" w:hAnsi="仿宋_GB2312" w:eastAsia="仿宋_GB2312"/>
          <w:b w:val="0"/>
          <w:sz w:val="32"/>
        </w:rPr>
        <w:t>2024年度一般公共预算财政拨款基本支出1,694.81万元，其中：</w:t>
      </w:r>
      <w:r>
        <w:rPr>
          <w:rFonts w:ascii="仿宋_GB2312" w:hAnsi="仿宋_GB2312" w:eastAsia="仿宋_GB2312"/>
          <w:b/>
          <w:sz w:val="32"/>
        </w:rPr>
        <w:t>人员经费1,651.17万元，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14:paraId="40FF105D">
      <w:pPr>
        <w:spacing w:line="580" w:lineRule="exact"/>
        <w:ind w:firstLine="640"/>
        <w:jc w:val="both"/>
      </w:pPr>
      <w:r>
        <w:rPr>
          <w:rFonts w:ascii="仿宋_GB2312" w:hAnsi="仿宋_GB2312" w:eastAsia="仿宋_GB2312"/>
          <w:b/>
          <w:sz w:val="32"/>
        </w:rPr>
        <w:t>公用经费43.64万元，</w:t>
      </w:r>
      <w:r>
        <w:rPr>
          <w:rFonts w:ascii="仿宋_GB2312" w:hAnsi="仿宋_GB2312" w:eastAsia="仿宋_GB2312"/>
          <w:b w:val="0"/>
          <w:sz w:val="32"/>
        </w:rPr>
        <w:t>包括：办公费、印刷费、水费、电费、邮电费、取暖费、差旅费、劳务费、委托业务费、公务用车运行维护费、其他交通费用。</w:t>
      </w:r>
    </w:p>
    <w:p w14:paraId="08FDBB50">
      <w:pPr>
        <w:spacing w:line="640" w:lineRule="exact"/>
        <w:ind w:firstLine="640"/>
        <w:jc w:val="both"/>
        <w:outlineLvl w:val="2"/>
      </w:pPr>
      <w:r>
        <w:rPr>
          <w:rFonts w:ascii="黑体" w:hAnsi="黑体" w:eastAsia="黑体"/>
          <w:sz w:val="32"/>
        </w:rPr>
        <w:t>七、政府性基金预算财政拨款收入支出决算情况说明</w:t>
      </w:r>
    </w:p>
    <w:p w14:paraId="3E21BA6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D86C524">
      <w:pPr>
        <w:spacing w:line="640" w:lineRule="exact"/>
        <w:ind w:firstLine="640"/>
        <w:jc w:val="both"/>
        <w:outlineLvl w:val="2"/>
      </w:pPr>
      <w:r>
        <w:rPr>
          <w:rFonts w:ascii="黑体" w:hAnsi="黑体" w:eastAsia="黑体"/>
          <w:sz w:val="32"/>
        </w:rPr>
        <w:t>八、国有资本经营预算财政拨款收入支出决算情况说明</w:t>
      </w:r>
    </w:p>
    <w:p w14:paraId="459DC6F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7D6661">
      <w:pPr>
        <w:spacing w:line="640" w:lineRule="exact"/>
        <w:ind w:firstLine="640"/>
        <w:jc w:val="both"/>
        <w:outlineLvl w:val="2"/>
      </w:pPr>
      <w:r>
        <w:rPr>
          <w:rFonts w:ascii="黑体" w:hAnsi="黑体" w:eastAsia="黑体"/>
          <w:sz w:val="32"/>
        </w:rPr>
        <w:t>九、财政拨款“三公”经费支出决算情况说明</w:t>
      </w:r>
    </w:p>
    <w:p w14:paraId="0592CF9D">
      <w:pPr>
        <w:spacing w:line="580" w:lineRule="exact"/>
        <w:ind w:firstLine="640"/>
        <w:jc w:val="both"/>
      </w:pPr>
      <w:r>
        <w:rPr>
          <w:rFonts w:ascii="仿宋_GB2312" w:hAnsi="仿宋_GB2312" w:eastAsia="仿宋_GB2312"/>
          <w:b/>
          <w:sz w:val="32"/>
        </w:rPr>
        <w:t>2024年度财政拨款“三公”经费支出2.84万元，</w:t>
      </w:r>
      <w:r>
        <w:rPr>
          <w:rFonts w:ascii="仿宋_GB2312" w:hAnsi="仿宋_GB2312" w:eastAsia="仿宋_GB2312"/>
          <w:b w:val="0"/>
          <w:sz w:val="32"/>
        </w:rPr>
        <w:t>比上年减少1.91万元，下降40.21%，主要原因是：</w:t>
      </w:r>
      <w:r>
        <w:rPr>
          <w:rFonts w:hint="eastAsia" w:ascii="仿宋_GB2312" w:hAnsi="仿宋_GB2312" w:eastAsia="仿宋_GB2312"/>
          <w:b w:val="0"/>
          <w:sz w:val="32"/>
          <w:lang w:val="en-US" w:eastAsia="zh-CN"/>
        </w:rPr>
        <w:t>本年底</w:t>
      </w:r>
      <w:r>
        <w:rPr>
          <w:rFonts w:ascii="仿宋_GB2312" w:hAnsi="仿宋_GB2312" w:eastAsia="仿宋_GB2312"/>
          <w:b w:val="0"/>
          <w:sz w:val="32"/>
        </w:rPr>
        <w:t>报废两辆老旧车辆，车辆减少，相应的经费减少。其中：因公出国（境）费支出0.00万元，占0.00%，比上年增加0.00万元，增长0.00%，主要原因是：2023年与2024年均未安排因公出国（境）费支出。公务用车购置及运行维护费支出2.84万元，占100.00%，比上年减少1.91万元，下降40.21%，主要原因是：</w:t>
      </w:r>
      <w:r>
        <w:rPr>
          <w:rFonts w:hint="eastAsia" w:ascii="仿宋_GB2312" w:hAnsi="仿宋_GB2312" w:eastAsia="仿宋_GB2312"/>
          <w:b w:val="0"/>
          <w:sz w:val="32"/>
          <w:lang w:val="en-US" w:eastAsia="zh-CN"/>
        </w:rPr>
        <w:t>本年底</w:t>
      </w:r>
      <w:r>
        <w:rPr>
          <w:rFonts w:ascii="仿宋_GB2312" w:hAnsi="仿宋_GB2312" w:eastAsia="仿宋_GB2312"/>
          <w:b w:val="0"/>
          <w:sz w:val="32"/>
        </w:rPr>
        <w:t>报废两辆老旧车辆，车辆减少，相应的经费减少。公务接待费支出0.00万元，占0.00%，比上年增加0.00万元，增长0.00%，主要原因是：2023年与2024年均未安排公务接待费支出。</w:t>
      </w:r>
    </w:p>
    <w:p w14:paraId="7F31663D">
      <w:pPr>
        <w:spacing w:line="580" w:lineRule="exact"/>
        <w:ind w:firstLine="640"/>
        <w:jc w:val="both"/>
      </w:pPr>
      <w:r>
        <w:rPr>
          <w:rFonts w:ascii="仿宋_GB2312" w:hAnsi="仿宋_GB2312" w:eastAsia="仿宋_GB2312"/>
          <w:b/>
          <w:sz w:val="32"/>
        </w:rPr>
        <w:t>具体情况如下：</w:t>
      </w:r>
    </w:p>
    <w:p w14:paraId="344FDAE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F26305B">
      <w:pPr>
        <w:spacing w:line="580" w:lineRule="exact"/>
        <w:ind w:firstLine="640"/>
        <w:jc w:val="both"/>
      </w:pPr>
      <w:r>
        <w:rPr>
          <w:rFonts w:ascii="仿宋_GB2312" w:hAnsi="仿宋_GB2312" w:eastAsia="仿宋_GB2312"/>
          <w:b w:val="0"/>
          <w:sz w:val="32"/>
        </w:rPr>
        <w:t>公务用车购置及运行维护费2.84万元，其中：公务用车购置费0.00万元，公务用车运行维护费2.84万元。公务用车运行维护费开支内容包括车辆燃油费、维修费。公务用车购置数0辆，公务用车保有量5辆。国有资产占用情况中固定资产车辆5辆，与公务用车保有量差异原因是：本单位固定资产车辆与公务用车保有量一致无差异。</w:t>
      </w:r>
    </w:p>
    <w:p w14:paraId="1A788A1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B7DF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2.84万元，决算数2.84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2.84万元，决算数2.84万元，预决算差异率0.00%，主要原因是：严格按照预算执行，预决算无差异。公务接待费全年预算数0.00万元，决算数0.00万元，预决算差异率0.00%，主要原因是：本单位无公务接待费。</w:t>
      </w:r>
    </w:p>
    <w:p w14:paraId="116FBBFC">
      <w:pPr>
        <w:spacing w:line="640" w:lineRule="exact"/>
        <w:ind w:firstLine="640"/>
        <w:jc w:val="both"/>
        <w:outlineLvl w:val="2"/>
      </w:pPr>
      <w:r>
        <w:rPr>
          <w:rFonts w:ascii="黑体" w:hAnsi="黑体" w:eastAsia="黑体"/>
          <w:sz w:val="32"/>
        </w:rPr>
        <w:t>十、其他重要事项的情况说明</w:t>
      </w:r>
    </w:p>
    <w:p w14:paraId="07413529">
      <w:pPr>
        <w:spacing w:line="640" w:lineRule="exact"/>
        <w:ind w:firstLine="640"/>
        <w:jc w:val="both"/>
        <w:outlineLvl w:val="3"/>
      </w:pPr>
      <w:r>
        <w:rPr>
          <w:rFonts w:ascii="楷体_GB2312" w:hAnsi="楷体_GB2312" w:eastAsia="楷体_GB2312"/>
          <w:b/>
          <w:sz w:val="32"/>
        </w:rPr>
        <w:t>（一）机关运行经费及公用经费支出情况</w:t>
      </w:r>
    </w:p>
    <w:p w14:paraId="050C2A11">
      <w:pPr>
        <w:spacing w:line="580" w:lineRule="exact"/>
        <w:ind w:firstLine="640"/>
        <w:jc w:val="both"/>
      </w:pPr>
      <w:r>
        <w:rPr>
          <w:rFonts w:ascii="仿宋_GB2312" w:hAnsi="仿宋_GB2312" w:eastAsia="仿宋_GB2312"/>
          <w:b w:val="0"/>
          <w:sz w:val="32"/>
        </w:rPr>
        <w:t>2024年度叶城县巴仁乡人民政府（行政单位和参照公务员法管理事业单位）机关运行经费支出43.64万元，比上年增加14.72万元，增长50.90%，主要原因是：本年办公费、印刷费、取暖费、水费、电费、邮电费、差旅费增加，导致公用经费增加。</w:t>
      </w:r>
    </w:p>
    <w:p w14:paraId="16ADDABA">
      <w:pPr>
        <w:spacing w:line="640" w:lineRule="exact"/>
        <w:ind w:firstLine="640"/>
        <w:jc w:val="both"/>
        <w:outlineLvl w:val="3"/>
      </w:pPr>
      <w:r>
        <w:rPr>
          <w:rFonts w:ascii="楷体_GB2312" w:hAnsi="楷体_GB2312" w:eastAsia="楷体_GB2312"/>
          <w:b/>
          <w:sz w:val="32"/>
        </w:rPr>
        <w:t>（二）政府采购情况</w:t>
      </w:r>
    </w:p>
    <w:p w14:paraId="6ADC7307">
      <w:pPr>
        <w:spacing w:line="580" w:lineRule="exact"/>
        <w:ind w:firstLine="640"/>
        <w:jc w:val="both"/>
      </w:pPr>
      <w:r>
        <w:rPr>
          <w:rFonts w:ascii="仿宋_GB2312" w:hAnsi="仿宋_GB2312" w:eastAsia="仿宋_GB2312"/>
          <w:b w:val="0"/>
          <w:sz w:val="32"/>
        </w:rPr>
        <w:t>2024年度政府采购支出总额53.42万元，其中：政府采购货物支出34.73万元、政府采购工程支出0.32万元、政府采购服务支出18.38万元。</w:t>
      </w:r>
    </w:p>
    <w:p w14:paraId="56091D90">
      <w:pPr>
        <w:spacing w:line="580" w:lineRule="exact"/>
        <w:ind w:firstLine="640"/>
        <w:jc w:val="both"/>
      </w:pPr>
      <w:r>
        <w:rPr>
          <w:rFonts w:ascii="仿宋_GB2312" w:hAnsi="仿宋_GB2312" w:eastAsia="仿宋_GB2312"/>
          <w:b w:val="0"/>
          <w:sz w:val="32"/>
        </w:rPr>
        <w:t>授予中小企业合同金额47.94万元，占政府采购支出总额的89.74%，其中：授予小微企业合同金额44.49万元，占政府采购支出总额的83.28%。</w:t>
      </w:r>
    </w:p>
    <w:p w14:paraId="19A6AA8A">
      <w:pPr>
        <w:spacing w:line="640" w:lineRule="exact"/>
        <w:ind w:firstLine="640"/>
        <w:jc w:val="both"/>
        <w:outlineLvl w:val="3"/>
      </w:pPr>
      <w:r>
        <w:rPr>
          <w:rFonts w:ascii="楷体_GB2312" w:hAnsi="楷体_GB2312" w:eastAsia="楷体_GB2312"/>
          <w:b/>
          <w:sz w:val="32"/>
        </w:rPr>
        <w:t>（三）国有资产占用情况说明</w:t>
      </w:r>
    </w:p>
    <w:p w14:paraId="537C80E9">
      <w:pPr>
        <w:spacing w:line="580" w:lineRule="exact"/>
        <w:ind w:firstLine="640"/>
        <w:jc w:val="both"/>
      </w:pPr>
      <w:r>
        <w:rPr>
          <w:rFonts w:ascii="仿宋_GB2312" w:hAnsi="仿宋_GB2312" w:eastAsia="仿宋_GB2312"/>
          <w:b w:val="0"/>
          <w:sz w:val="32"/>
        </w:rPr>
        <w:t>截至2024年12月31日，房屋5,744.74平方米，价值880.18万元。车辆5辆，价值104.20万元，其中：副部（省）级及以上领导用车0辆、主要负责人用车0辆、机要通信用车0辆、应急保障用车0辆、执法执勤用车0辆、特种专业技术用车0辆、离退休干部服务用车0辆、其他用车5辆，其他用车主要是：党委公用车1辆、纪委办案监督检查用车1辆、洒水车1辆、垃圾处理车2辆。单价100万元（含）以上设备（不含车辆）0台（套）。</w:t>
      </w:r>
    </w:p>
    <w:p w14:paraId="4CF06A75">
      <w:pPr>
        <w:spacing w:line="640" w:lineRule="exact"/>
        <w:ind w:firstLine="640"/>
        <w:jc w:val="both"/>
        <w:outlineLvl w:val="2"/>
      </w:pPr>
      <w:r>
        <w:rPr>
          <w:rFonts w:ascii="黑体" w:hAnsi="黑体" w:eastAsia="黑体"/>
          <w:sz w:val="32"/>
        </w:rPr>
        <w:t>十一、预算绩效的情况说明</w:t>
      </w:r>
    </w:p>
    <w:p w14:paraId="4E1BC71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4,438.14万元，实际执行总额4,438.14万元；预算绩效评价项目3个，全年预算数30.04万元，全年执行数29.04万元。预算绩效管理取得的成效：本单位通过对项目实施前的评估和实施方案的制定、项目实施中的监控跟踪、项目实施后的自评等过程的掌握，获得准确的实施情况，及时查漏补缺促使项目高效完成，提高了项目实施效果。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w:t>
      </w:r>
      <w:r>
        <w:rPr>
          <w:rFonts w:hint="eastAsia" w:ascii="仿宋_GB2312" w:hAnsi="仿宋_GB2312" w:eastAsia="仿宋_GB2312"/>
          <w:b w:val="0"/>
          <w:sz w:val="32"/>
          <w:lang w:eastAsia="zh-CN"/>
        </w:rPr>
        <w:t>时</w:t>
      </w:r>
      <w:r>
        <w:rPr>
          <w:rFonts w:ascii="仿宋_GB2312" w:hAnsi="仿宋_GB2312" w:eastAsia="仿宋_GB2312"/>
          <w:b w:val="0"/>
          <w:sz w:val="32"/>
        </w:rPr>
        <w:t>，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和评价报告。</w:t>
      </w:r>
    </w:p>
    <w:p w14:paraId="466597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8DC9BB">
        <w:tblPrEx>
          <w:tblCellMar>
            <w:top w:w="0" w:type="dxa"/>
            <w:left w:w="108" w:type="dxa"/>
            <w:bottom w:w="0" w:type="dxa"/>
            <w:right w:w="108" w:type="dxa"/>
          </w:tblCellMar>
        </w:tblPrEx>
        <w:tc>
          <w:tcPr>
            <w:tcW w:w="8847" w:type="dxa"/>
            <w:gridSpan w:val="9"/>
            <w:vAlign w:val="center"/>
          </w:tcPr>
          <w:p w14:paraId="3964C4E9">
            <w:pPr>
              <w:jc w:val="center"/>
            </w:pPr>
            <w:r>
              <w:rPr>
                <w:rFonts w:ascii="宋体" w:hAnsi="宋体" w:eastAsia="宋体"/>
                <w:sz w:val="24"/>
              </w:rPr>
              <w:t>单位整体支出绩效自评表</w:t>
            </w:r>
          </w:p>
        </w:tc>
      </w:tr>
      <w:tr w14:paraId="4F62B9E3">
        <w:tblPrEx>
          <w:tblCellMar>
            <w:top w:w="0" w:type="dxa"/>
            <w:left w:w="108" w:type="dxa"/>
            <w:bottom w:w="0" w:type="dxa"/>
            <w:right w:w="108" w:type="dxa"/>
          </w:tblCellMar>
        </w:tblPrEx>
        <w:tc>
          <w:tcPr>
            <w:tcW w:w="8847" w:type="dxa"/>
            <w:gridSpan w:val="9"/>
            <w:vAlign w:val="center"/>
          </w:tcPr>
          <w:p w14:paraId="698F7663">
            <w:pPr>
              <w:jc w:val="center"/>
            </w:pPr>
            <w:r>
              <w:rPr>
                <w:rFonts w:ascii="宋体" w:hAnsi="宋体" w:eastAsia="宋体"/>
                <w:sz w:val="24"/>
              </w:rPr>
              <w:t>（2024年度）</w:t>
            </w:r>
          </w:p>
        </w:tc>
      </w:tr>
      <w:tr w14:paraId="3EA058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69E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6B654C">
            <w:pPr>
              <w:jc w:val="center"/>
            </w:pPr>
            <w:r>
              <w:rPr>
                <w:rFonts w:ascii="宋体" w:hAnsi="宋体" w:eastAsia="宋体"/>
                <w:sz w:val="16"/>
              </w:rPr>
              <w:t>叶城县巴仁乡人民政府</w:t>
            </w:r>
          </w:p>
        </w:tc>
      </w:tr>
      <w:tr w14:paraId="105133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9922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C9D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E3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EC7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C70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90CC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2A6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FE811">
            <w:pPr>
              <w:jc w:val="center"/>
            </w:pPr>
            <w:r>
              <w:rPr>
                <w:rFonts w:ascii="宋体" w:hAnsi="宋体" w:eastAsia="宋体"/>
                <w:sz w:val="16"/>
              </w:rPr>
              <w:t>得分</w:t>
            </w:r>
          </w:p>
        </w:tc>
      </w:tr>
      <w:tr w14:paraId="5FF351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25F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6FA8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7D7D">
            <w:pPr>
              <w:jc w:val="center"/>
            </w:pPr>
            <w:r>
              <w:rPr>
                <w:rFonts w:ascii="宋体" w:hAnsi="宋体" w:eastAsia="宋体"/>
                <w:sz w:val="16"/>
              </w:rPr>
              <w:t>2,002.98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8044B">
            <w:pPr>
              <w:jc w:val="center"/>
            </w:pPr>
            <w:r>
              <w:rPr>
                <w:rFonts w:ascii="宋体" w:hAnsi="宋体" w:eastAsia="宋体"/>
                <w:sz w:val="16"/>
              </w:rPr>
              <w:t>4,438.14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6FAD">
            <w:pPr>
              <w:jc w:val="center"/>
            </w:pPr>
            <w:r>
              <w:rPr>
                <w:rFonts w:ascii="宋体" w:hAnsi="宋体" w:eastAsia="宋体"/>
                <w:sz w:val="16"/>
              </w:rPr>
              <w:t>4,438.14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A89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8D7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7DBA">
            <w:pPr>
              <w:jc w:val="center"/>
            </w:pPr>
            <w:r>
              <w:rPr>
                <w:rFonts w:ascii="宋体" w:hAnsi="宋体" w:eastAsia="宋体"/>
                <w:sz w:val="16"/>
              </w:rPr>
              <w:t>10</w:t>
            </w:r>
          </w:p>
        </w:tc>
      </w:tr>
      <w:tr w14:paraId="59C0F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124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3DC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C410">
            <w:pPr>
              <w:jc w:val="center"/>
            </w:pPr>
            <w:r>
              <w:rPr>
                <w:rFonts w:ascii="宋体" w:hAnsi="宋体" w:eastAsia="宋体"/>
                <w:sz w:val="16"/>
              </w:rPr>
              <w:t>40.65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C1BB">
            <w:pPr>
              <w:jc w:val="center"/>
            </w:pPr>
            <w:r>
              <w:rPr>
                <w:rFonts w:ascii="宋体" w:hAnsi="宋体" w:eastAsia="宋体"/>
                <w:sz w:val="16"/>
              </w:rPr>
              <w:t>2,743.33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7C8D">
            <w:pPr>
              <w:jc w:val="center"/>
            </w:pPr>
            <w:r>
              <w:rPr>
                <w:rFonts w:ascii="宋体" w:hAnsi="宋体" w:eastAsia="宋体"/>
                <w:sz w:val="16"/>
              </w:rPr>
              <w:t>2,743.33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228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9B9C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F0EB">
            <w:pPr>
              <w:jc w:val="center"/>
            </w:pPr>
            <w:r>
              <w:rPr>
                <w:rFonts w:ascii="宋体" w:hAnsi="宋体" w:eastAsia="宋体"/>
                <w:sz w:val="16"/>
              </w:rPr>
              <w:t>—</w:t>
            </w:r>
          </w:p>
        </w:tc>
      </w:tr>
      <w:tr w14:paraId="44F746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856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8B65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258D8">
            <w:pPr>
              <w:jc w:val="center"/>
            </w:pPr>
            <w:r>
              <w:rPr>
                <w:rFonts w:ascii="宋体" w:hAnsi="宋体" w:eastAsia="宋体"/>
                <w:sz w:val="16"/>
              </w:rPr>
              <w:t>1,962.33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D68F">
            <w:pPr>
              <w:jc w:val="center"/>
            </w:pPr>
            <w:r>
              <w:rPr>
                <w:rFonts w:ascii="宋体" w:hAnsi="宋体" w:eastAsia="宋体"/>
                <w:sz w:val="16"/>
              </w:rPr>
              <w:t>1,694.81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1C6A">
            <w:pPr>
              <w:jc w:val="center"/>
            </w:pPr>
            <w:r>
              <w:rPr>
                <w:rFonts w:ascii="宋体" w:hAnsi="宋体" w:eastAsia="宋体"/>
                <w:sz w:val="16"/>
              </w:rPr>
              <w:t>1,694.81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FD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5E1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063D">
            <w:pPr>
              <w:jc w:val="center"/>
            </w:pPr>
            <w:r>
              <w:rPr>
                <w:rFonts w:ascii="宋体" w:hAnsi="宋体" w:eastAsia="宋体"/>
                <w:sz w:val="16"/>
              </w:rPr>
              <w:t>—</w:t>
            </w:r>
          </w:p>
        </w:tc>
      </w:tr>
      <w:tr w14:paraId="1E510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973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35AB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938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0C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3CF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CB6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6FC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1BAD">
            <w:pPr>
              <w:jc w:val="center"/>
            </w:pPr>
            <w:r>
              <w:rPr>
                <w:rFonts w:ascii="宋体" w:hAnsi="宋体" w:eastAsia="宋体"/>
                <w:sz w:val="16"/>
              </w:rPr>
              <w:t>—</w:t>
            </w:r>
          </w:p>
        </w:tc>
      </w:tr>
      <w:tr w14:paraId="7A1710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551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CA0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8EB1B0">
            <w:pPr>
              <w:jc w:val="center"/>
            </w:pPr>
            <w:r>
              <w:rPr>
                <w:rFonts w:ascii="宋体" w:hAnsi="宋体" w:eastAsia="宋体"/>
                <w:sz w:val="16"/>
              </w:rPr>
              <w:t>实际完成情况</w:t>
            </w:r>
          </w:p>
        </w:tc>
      </w:tr>
      <w:tr w14:paraId="54A736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B00D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0F2CD2">
            <w:pPr>
              <w:jc w:val="both"/>
            </w:pPr>
            <w:r>
              <w:rPr>
                <w:rFonts w:ascii="宋体" w:hAnsi="宋体" w:eastAsia="宋体"/>
                <w:sz w:val="16"/>
              </w:rPr>
              <w:t>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收入，不断提高生活水平。不断强化公共服务，着力保障改善民生。落实</w:t>
            </w:r>
            <w:r>
              <w:rPr>
                <w:rFonts w:hint="eastAsia" w:ascii="宋体" w:hAnsi="宋体"/>
                <w:sz w:val="16"/>
                <w:lang w:eastAsia="zh-CN"/>
              </w:rPr>
              <w:t>JHSY</w:t>
            </w:r>
            <w:r>
              <w:rPr>
                <w:rFonts w:ascii="宋体" w:hAnsi="宋体" w:eastAsia="宋体"/>
                <w:sz w:val="16"/>
              </w:rPr>
              <w:t>基本国策，推进优生优育。促进农村义务教育发展，推动农村公共卫生体系和基本医疗体系建设，丰富农民群众文化生活，发展农村体育事业，培养社会主义新型农民。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CC735">
            <w:pPr>
              <w:jc w:val="both"/>
            </w:pPr>
            <w:r>
              <w:rPr>
                <w:rFonts w:hint="eastAsia" w:ascii="宋体" w:hAnsi="宋体"/>
                <w:sz w:val="16"/>
                <w:lang w:eastAsia="zh-CN"/>
              </w:rPr>
              <w:t>截至</w:t>
            </w:r>
            <w:r>
              <w:rPr>
                <w:rFonts w:ascii="宋体" w:hAnsi="宋体" w:eastAsia="宋体"/>
                <w:sz w:val="16"/>
              </w:rPr>
              <w:t>2024年12月31日，已完成加快农村经济发展，解放思想，转变观念，不断增加农民收入，为壮大乡村经济发展创造有利条件。做好乡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新增就业人数590人，增加收入，冬季小麦面积5000亩，种植正播玉米13000亩，不断提高生活水平。不断强化公共服务，着力保障改善民生。落实</w:t>
            </w:r>
            <w:r>
              <w:rPr>
                <w:rFonts w:hint="eastAsia" w:ascii="宋体" w:hAnsi="宋体"/>
                <w:sz w:val="16"/>
                <w:lang w:eastAsia="zh-CN"/>
              </w:rPr>
              <w:t>JHSY</w:t>
            </w:r>
            <w:r>
              <w:rPr>
                <w:rFonts w:ascii="宋体" w:hAnsi="宋体" w:eastAsia="宋体"/>
                <w:sz w:val="16"/>
              </w:rPr>
              <w:t>基本国策，推进优生优育。促进农村义务教育发展，推动农村公共卫生体系和基本医疗体系建设，丰富农民群众文化生活，发展农村体育事业，培养社会主义新型农民。</w:t>
            </w:r>
          </w:p>
        </w:tc>
      </w:tr>
      <w:tr w14:paraId="516834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2CF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D7F7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75F0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659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358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8FA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190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2EA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436A">
            <w:pPr>
              <w:jc w:val="center"/>
            </w:pPr>
            <w:r>
              <w:rPr>
                <w:rFonts w:ascii="宋体" w:hAnsi="宋体" w:eastAsia="宋体"/>
                <w:sz w:val="16"/>
              </w:rPr>
              <w:t>得分</w:t>
            </w:r>
          </w:p>
        </w:tc>
      </w:tr>
      <w:tr w14:paraId="1D39D5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C8DE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84D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26B85">
            <w:pPr>
              <w:jc w:val="center"/>
            </w:pPr>
            <w:r>
              <w:rPr>
                <w:rFonts w:ascii="宋体" w:hAnsi="宋体" w:eastAsia="宋体"/>
                <w:sz w:val="16"/>
              </w:rPr>
              <w:t>新建、改造红薯窖数量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44FD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11B8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C7B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753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6DB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68631">
            <w:pPr>
              <w:jc w:val="center"/>
            </w:pPr>
            <w:r>
              <w:rPr>
                <w:rFonts w:ascii="宋体" w:hAnsi="宋体" w:eastAsia="宋体"/>
                <w:sz w:val="16"/>
              </w:rPr>
              <w:t>18</w:t>
            </w:r>
          </w:p>
        </w:tc>
      </w:tr>
      <w:tr w14:paraId="51E76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2B7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D9A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5F7A">
            <w:pPr>
              <w:jc w:val="center"/>
            </w:pPr>
            <w:r>
              <w:rPr>
                <w:rFonts w:ascii="宋体" w:hAnsi="宋体" w:eastAsia="宋体"/>
                <w:sz w:val="16"/>
              </w:rPr>
              <w:t>新增就业人数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CA80">
            <w:pPr>
              <w:jc w:val="center"/>
            </w:pPr>
            <w:r>
              <w:rPr>
                <w:rFonts w:ascii="宋体" w:hAnsi="宋体" w:eastAsia="宋体"/>
                <w:sz w:val="16"/>
              </w:rPr>
              <w:t>&gt;=590人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0643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53D4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F6EF">
            <w:pPr>
              <w:jc w:val="center"/>
            </w:pPr>
            <w:r>
              <w:rPr>
                <w:rFonts w:ascii="宋体" w:hAnsi="宋体" w:eastAsia="宋体"/>
                <w:sz w:val="16"/>
              </w:rPr>
              <w:t>590人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91A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BBB5E">
            <w:pPr>
              <w:jc w:val="center"/>
            </w:pPr>
            <w:r>
              <w:rPr>
                <w:rFonts w:ascii="宋体" w:hAnsi="宋体" w:eastAsia="宋体"/>
                <w:sz w:val="16"/>
              </w:rPr>
              <w:t>18</w:t>
            </w:r>
          </w:p>
        </w:tc>
      </w:tr>
      <w:tr w14:paraId="6D72C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54F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5D8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4BFF">
            <w:pPr>
              <w:jc w:val="center"/>
            </w:pPr>
            <w:r>
              <w:rPr>
                <w:rFonts w:ascii="宋体" w:hAnsi="宋体" w:eastAsia="宋体"/>
                <w:sz w:val="16"/>
              </w:rPr>
              <w:t>示范村建设数量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3E18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A416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315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EC9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1D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FD3C">
            <w:pPr>
              <w:jc w:val="center"/>
            </w:pPr>
            <w:r>
              <w:rPr>
                <w:rFonts w:ascii="宋体" w:hAnsi="宋体" w:eastAsia="宋体"/>
                <w:sz w:val="16"/>
              </w:rPr>
              <w:t>18</w:t>
            </w:r>
          </w:p>
        </w:tc>
      </w:tr>
      <w:tr w14:paraId="65114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9B2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AA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3362">
            <w:pPr>
              <w:jc w:val="center"/>
            </w:pPr>
            <w:r>
              <w:rPr>
                <w:rFonts w:ascii="宋体" w:hAnsi="宋体" w:eastAsia="宋体"/>
                <w:sz w:val="16"/>
              </w:rPr>
              <w:t>种植冬小麦面积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4B50">
            <w:pPr>
              <w:jc w:val="center"/>
            </w:pPr>
            <w:r>
              <w:rPr>
                <w:rFonts w:ascii="宋体" w:hAnsi="宋体" w:eastAsia="宋体"/>
                <w:sz w:val="16"/>
              </w:rPr>
              <w:t>&gt;=5000亩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155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C288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3ED5">
            <w:pPr>
              <w:jc w:val="center"/>
            </w:pPr>
            <w:r>
              <w:rPr>
                <w:rFonts w:ascii="宋体" w:hAnsi="宋体" w:eastAsia="宋体"/>
                <w:sz w:val="16"/>
              </w:rPr>
              <w:t>5000亩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736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C2AAC">
            <w:pPr>
              <w:jc w:val="center"/>
            </w:pPr>
            <w:r>
              <w:rPr>
                <w:rFonts w:ascii="宋体" w:hAnsi="宋体" w:eastAsia="宋体"/>
                <w:sz w:val="16"/>
              </w:rPr>
              <w:t>18</w:t>
            </w:r>
          </w:p>
        </w:tc>
      </w:tr>
      <w:tr w14:paraId="741D84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726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DA2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CB77F">
            <w:pPr>
              <w:jc w:val="center"/>
            </w:pPr>
            <w:r>
              <w:rPr>
                <w:rFonts w:ascii="宋体" w:hAnsi="宋体" w:eastAsia="宋体"/>
                <w:sz w:val="16"/>
              </w:rPr>
              <w:t>种植正播（复播）玉米面积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96E3B">
            <w:pPr>
              <w:jc w:val="center"/>
            </w:pPr>
            <w:r>
              <w:rPr>
                <w:rFonts w:ascii="宋体" w:hAnsi="宋体" w:eastAsia="宋体"/>
                <w:sz w:val="16"/>
              </w:rPr>
              <w:t>&gt;=13000亩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22A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3F6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8A51">
            <w:pPr>
              <w:jc w:val="center"/>
            </w:pPr>
            <w:r>
              <w:rPr>
                <w:rFonts w:ascii="宋体" w:hAnsi="宋体" w:eastAsia="宋体"/>
                <w:sz w:val="16"/>
              </w:rPr>
              <w:t>13975.7亩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41E90">
            <w:pPr>
              <w:jc w:val="center"/>
            </w:pPr>
            <w:r>
              <w:rPr>
                <w:rFonts w:ascii="宋体" w:hAnsi="宋体" w:eastAsia="宋体"/>
                <w:sz w:val="16"/>
              </w:rPr>
              <w:t>107.5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417C5">
            <w:pPr>
              <w:jc w:val="center"/>
            </w:pPr>
            <w:r>
              <w:rPr>
                <w:rFonts w:ascii="宋体" w:hAnsi="宋体" w:eastAsia="宋体"/>
                <w:sz w:val="16"/>
              </w:rPr>
              <w:t>18</w:t>
            </w:r>
          </w:p>
        </w:tc>
      </w:tr>
    </w:tbl>
    <w:p w14:paraId="4BB0F4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256CC31C">
        <w:tblPrEx>
          <w:tblCellMar>
            <w:top w:w="0" w:type="dxa"/>
            <w:left w:w="108" w:type="dxa"/>
            <w:bottom w:w="0" w:type="dxa"/>
            <w:right w:w="108" w:type="dxa"/>
          </w:tblCellMar>
        </w:tblPrEx>
        <w:tc>
          <w:tcPr>
            <w:tcW w:w="8848" w:type="dxa"/>
            <w:gridSpan w:val="14"/>
            <w:vAlign w:val="center"/>
          </w:tcPr>
          <w:p w14:paraId="49694E82">
            <w:pPr>
              <w:jc w:val="center"/>
            </w:pPr>
            <w:r>
              <w:rPr>
                <w:rFonts w:ascii="宋体" w:hAnsi="宋体" w:eastAsia="宋体"/>
                <w:sz w:val="24"/>
              </w:rPr>
              <w:t>项目支出绩效自评表</w:t>
            </w:r>
          </w:p>
        </w:tc>
      </w:tr>
      <w:tr w14:paraId="3B199F4B">
        <w:tblPrEx>
          <w:tblCellMar>
            <w:top w:w="0" w:type="dxa"/>
            <w:left w:w="108" w:type="dxa"/>
            <w:bottom w:w="0" w:type="dxa"/>
            <w:right w:w="108" w:type="dxa"/>
          </w:tblCellMar>
        </w:tblPrEx>
        <w:tc>
          <w:tcPr>
            <w:tcW w:w="8848" w:type="dxa"/>
            <w:gridSpan w:val="14"/>
            <w:vAlign w:val="center"/>
          </w:tcPr>
          <w:p w14:paraId="1B01ECF9">
            <w:pPr>
              <w:jc w:val="center"/>
            </w:pPr>
            <w:r>
              <w:rPr>
                <w:rFonts w:ascii="宋体" w:hAnsi="宋体" w:eastAsia="宋体"/>
                <w:sz w:val="24"/>
              </w:rPr>
              <w:t>(2024年度)</w:t>
            </w:r>
          </w:p>
        </w:tc>
      </w:tr>
      <w:tr w14:paraId="6EEF92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48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451DA1">
            <w:pPr>
              <w:jc w:val="center"/>
            </w:pPr>
            <w:r>
              <w:rPr>
                <w:rFonts w:ascii="宋体" w:hAnsi="宋体" w:eastAsia="宋体"/>
                <w:sz w:val="16"/>
              </w:rPr>
              <w:t>2024年县级专项公用经费项目</w:t>
            </w:r>
          </w:p>
        </w:tc>
      </w:tr>
      <w:tr w14:paraId="6567F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E1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8243E">
            <w:pPr>
              <w:jc w:val="center"/>
            </w:pPr>
            <w:r>
              <w:rPr>
                <w:rFonts w:ascii="宋体" w:hAnsi="宋体" w:eastAsia="宋体"/>
                <w:sz w:val="16"/>
              </w:rPr>
              <w:t>叶城县巴仁乡人民政府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F8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AA5F6">
            <w:pPr>
              <w:jc w:val="center"/>
            </w:pPr>
            <w:r>
              <w:rPr>
                <w:rFonts w:ascii="宋体" w:hAnsi="宋体" w:eastAsia="宋体"/>
                <w:sz w:val="16"/>
              </w:rPr>
              <w:t>叶城县巴仁乡人民政府</w:t>
            </w:r>
          </w:p>
        </w:tc>
      </w:tr>
      <w:tr w14:paraId="472E8B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A99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61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B8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29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C5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75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F1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727F">
            <w:pPr>
              <w:jc w:val="center"/>
            </w:pPr>
            <w:r>
              <w:rPr>
                <w:rFonts w:ascii="宋体" w:hAnsi="宋体" w:eastAsia="宋体"/>
                <w:sz w:val="16"/>
              </w:rPr>
              <w:t>得分</w:t>
            </w:r>
          </w:p>
        </w:tc>
      </w:tr>
      <w:tr w14:paraId="28E0D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E5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DB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AF60">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C1C2D">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06799">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B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C62BD">
            <w:pPr>
              <w:jc w:val="center"/>
            </w:pPr>
            <w:r>
              <w:rPr>
                <w:rFonts w:ascii="宋体" w:hAnsi="宋体" w:eastAsia="宋体"/>
                <w:sz w:val="16"/>
              </w:rPr>
              <w:t>96.0%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940F">
            <w:pPr>
              <w:jc w:val="center"/>
            </w:pPr>
            <w:r>
              <w:rPr>
                <w:rFonts w:ascii="宋体" w:hAnsi="宋体" w:eastAsia="宋体"/>
                <w:sz w:val="16"/>
              </w:rPr>
              <w:t>9.01分</w:t>
            </w:r>
          </w:p>
        </w:tc>
      </w:tr>
      <w:tr w14:paraId="52EFB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5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75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EA55">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DF8F">
            <w:pPr>
              <w:jc w:val="center"/>
            </w:pPr>
            <w:r>
              <w:rPr>
                <w:rFonts w:ascii="宋体" w:hAnsi="宋体" w:eastAsia="宋体"/>
                <w:sz w:val="16"/>
              </w:rPr>
              <w:t>25.20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B5CAE">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50F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B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07FF">
            <w:pPr>
              <w:jc w:val="center"/>
            </w:pPr>
            <w:r>
              <w:rPr>
                <w:rFonts w:ascii="宋体" w:hAnsi="宋体" w:eastAsia="宋体"/>
                <w:sz w:val="16"/>
              </w:rPr>
              <w:t>—</w:t>
            </w:r>
          </w:p>
        </w:tc>
      </w:tr>
      <w:tr w14:paraId="14421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8BA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C4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87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6B6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7A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D7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1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6AC6">
            <w:pPr>
              <w:jc w:val="center"/>
            </w:pPr>
            <w:r>
              <w:rPr>
                <w:rFonts w:ascii="宋体" w:hAnsi="宋体" w:eastAsia="宋体"/>
                <w:sz w:val="16"/>
              </w:rPr>
              <w:t>—</w:t>
            </w:r>
          </w:p>
        </w:tc>
      </w:tr>
      <w:tr w14:paraId="20EEEC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D8A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25C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0D6793">
            <w:pPr>
              <w:jc w:val="center"/>
            </w:pPr>
            <w:r>
              <w:rPr>
                <w:rFonts w:ascii="宋体" w:hAnsi="宋体" w:eastAsia="宋体"/>
                <w:sz w:val="16"/>
              </w:rPr>
              <w:t>实际完成情况</w:t>
            </w:r>
          </w:p>
        </w:tc>
      </w:tr>
      <w:tr w14:paraId="46ECB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13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12477">
            <w:pPr>
              <w:jc w:val="both"/>
            </w:pPr>
            <w:r>
              <w:rPr>
                <w:rFonts w:ascii="宋体" w:hAnsi="宋体" w:eastAsia="宋体"/>
                <w:sz w:val="16"/>
              </w:rPr>
              <w:t>该项目总资金25.2万元，用于保障叶城县</w:t>
            </w:r>
            <w:bookmarkStart w:id="0" w:name="_GoBack"/>
            <w:bookmarkEnd w:id="0"/>
            <w:r>
              <w:rPr>
                <w:rFonts w:ascii="宋体" w:hAnsi="宋体" w:eastAsia="宋体"/>
                <w:sz w:val="16"/>
              </w:rPr>
              <w:t>巴仁乡人民政府开展各</w:t>
            </w:r>
            <w:r>
              <w:rPr>
                <w:rFonts w:hint="eastAsia" w:ascii="宋体" w:hAnsi="宋体"/>
                <w:sz w:val="16"/>
                <w:lang w:eastAsia="zh-CN"/>
              </w:rPr>
              <w:t>项日常</w:t>
            </w:r>
            <w:r>
              <w:rPr>
                <w:rFonts w:ascii="宋体" w:hAnsi="宋体" w:eastAsia="宋体"/>
                <w:sz w:val="16"/>
              </w:rPr>
              <w:t>工作，提高政府的公信力、执行力、为民办事的能力，提高为群众服务的水平。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B5585">
            <w:pPr>
              <w:jc w:val="both"/>
            </w:pPr>
            <w:r>
              <w:rPr>
                <w:rFonts w:ascii="宋体" w:hAnsi="宋体" w:eastAsia="宋体"/>
                <w:sz w:val="16"/>
              </w:rPr>
              <w:t>实际完成目标：该项目年初预算数为25.2万元，执行数为24.2万元，该资金用于保障叶城县巴仁乡人民政府开展各</w:t>
            </w:r>
            <w:r>
              <w:rPr>
                <w:rFonts w:hint="eastAsia" w:ascii="宋体" w:hAnsi="宋体"/>
                <w:sz w:val="16"/>
                <w:lang w:eastAsia="zh-CN"/>
              </w:rPr>
              <w:t>项日常</w:t>
            </w:r>
            <w:r>
              <w:rPr>
                <w:rFonts w:ascii="宋体" w:hAnsi="宋体" w:eastAsia="宋体"/>
                <w:sz w:val="16"/>
              </w:rPr>
              <w:t>工作，提高政府的公信力、执行力、为民办事的能力，提高为群众服务的水平，提高群众幸福度。</w:t>
            </w:r>
          </w:p>
        </w:tc>
      </w:tr>
      <w:tr w14:paraId="4E0BCD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CF6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17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B7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B1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CCA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AC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83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44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25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9C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5C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E5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1502">
            <w:pPr>
              <w:jc w:val="center"/>
            </w:pPr>
            <w:r>
              <w:rPr>
                <w:rFonts w:ascii="宋体" w:hAnsi="宋体" w:eastAsia="宋体"/>
                <w:sz w:val="16"/>
              </w:rPr>
              <w:t>偏差原因分析及改进措施</w:t>
            </w:r>
          </w:p>
        </w:tc>
      </w:tr>
      <w:tr w14:paraId="4CEC1F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07D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F22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1F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06C5">
            <w:pPr>
              <w:jc w:val="center"/>
            </w:pPr>
            <w:r>
              <w:rPr>
                <w:rFonts w:ascii="宋体" w:hAnsi="宋体" w:eastAsia="宋体"/>
                <w:sz w:val="16"/>
              </w:rPr>
              <w:t>保障经费单位数量（个）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26E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4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1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C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4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F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0B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91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6C348">
            <w:pPr>
              <w:jc w:val="center"/>
            </w:pPr>
          </w:p>
        </w:tc>
      </w:tr>
      <w:tr w14:paraId="7737E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9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C7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CF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ED9E">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6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6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2D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7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3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F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7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83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5975">
            <w:pPr>
              <w:jc w:val="center"/>
            </w:pPr>
          </w:p>
        </w:tc>
      </w:tr>
      <w:tr w14:paraId="7687A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C8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A9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257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005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2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6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44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F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8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C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1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4B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85AD">
            <w:pPr>
              <w:jc w:val="center"/>
            </w:pPr>
          </w:p>
        </w:tc>
      </w:tr>
      <w:tr w14:paraId="5F7A3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A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F8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1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667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ED3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8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B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8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2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CB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C28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73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E2BE">
            <w:pPr>
              <w:jc w:val="center"/>
            </w:pPr>
          </w:p>
        </w:tc>
      </w:tr>
      <w:tr w14:paraId="0CDC3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AE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50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3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0542">
            <w:pPr>
              <w:jc w:val="center"/>
            </w:pPr>
            <w:r>
              <w:rPr>
                <w:rFonts w:ascii="宋体" w:hAnsi="宋体" w:eastAsia="宋体"/>
                <w:sz w:val="16"/>
              </w:rPr>
              <w:t>单位使用经费总成本（万元）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0C85">
            <w:pPr>
              <w:jc w:val="center"/>
            </w:pPr>
            <w:r>
              <w:rPr>
                <w:rFonts w:ascii="宋体" w:hAnsi="宋体" w:eastAsia="宋体"/>
                <w:sz w:val="16"/>
              </w:rPr>
              <w:t>&lt;=25.20万元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CC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F4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2F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65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E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710E">
            <w:pPr>
              <w:jc w:val="center"/>
            </w:pPr>
            <w:r>
              <w:rPr>
                <w:rFonts w:ascii="宋体" w:hAnsi="宋体" w:eastAsia="宋体"/>
                <w:sz w:val="16"/>
              </w:rPr>
              <w:t>=24.2万元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6C65">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C5BDF">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节约资金的原则，有效使用资金。整改措施：做好年初预算。</w:t>
            </w:r>
          </w:p>
        </w:tc>
      </w:tr>
      <w:tr w14:paraId="34E13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3D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46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36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4BAA">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13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C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88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2A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D2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D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F2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B1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4CE60">
            <w:pPr>
              <w:jc w:val="center"/>
            </w:pPr>
          </w:p>
        </w:tc>
      </w:tr>
      <w:tr w14:paraId="11945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5E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FF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0A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CEAA">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9F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7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F7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A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70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2C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26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4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9DF9">
            <w:pPr>
              <w:jc w:val="center"/>
            </w:pPr>
          </w:p>
        </w:tc>
      </w:tr>
      <w:tr w14:paraId="246B677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14B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334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90F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3443">
            <w:pPr>
              <w:jc w:val="center"/>
            </w:pPr>
            <w:r>
              <w:rPr>
                <w:rFonts w:ascii="宋体" w:hAnsi="宋体" w:eastAsia="宋体"/>
                <w:sz w:val="16"/>
              </w:rPr>
              <w:t>97.01分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B1840C"/>
        </w:tc>
      </w:tr>
    </w:tbl>
    <w:p w14:paraId="391A9E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A0281FA">
        <w:tblPrEx>
          <w:tblCellMar>
            <w:top w:w="0" w:type="dxa"/>
            <w:left w:w="108" w:type="dxa"/>
            <w:bottom w:w="0" w:type="dxa"/>
            <w:right w:w="108" w:type="dxa"/>
          </w:tblCellMar>
        </w:tblPrEx>
        <w:tc>
          <w:tcPr>
            <w:tcW w:w="8848" w:type="dxa"/>
            <w:gridSpan w:val="14"/>
            <w:vAlign w:val="center"/>
          </w:tcPr>
          <w:p w14:paraId="0C47C467">
            <w:pPr>
              <w:jc w:val="center"/>
            </w:pPr>
            <w:r>
              <w:rPr>
                <w:rFonts w:ascii="宋体" w:hAnsi="宋体" w:eastAsia="宋体"/>
                <w:sz w:val="24"/>
              </w:rPr>
              <w:t>项目支出绩效自评表</w:t>
            </w:r>
          </w:p>
        </w:tc>
      </w:tr>
      <w:tr w14:paraId="7C1EB0C9">
        <w:tblPrEx>
          <w:tblCellMar>
            <w:top w:w="0" w:type="dxa"/>
            <w:left w:w="108" w:type="dxa"/>
            <w:bottom w:w="0" w:type="dxa"/>
            <w:right w:w="108" w:type="dxa"/>
          </w:tblCellMar>
        </w:tblPrEx>
        <w:tc>
          <w:tcPr>
            <w:tcW w:w="8848" w:type="dxa"/>
            <w:gridSpan w:val="14"/>
            <w:vAlign w:val="center"/>
          </w:tcPr>
          <w:p w14:paraId="0E5B8332">
            <w:pPr>
              <w:jc w:val="center"/>
            </w:pPr>
            <w:r>
              <w:rPr>
                <w:rFonts w:ascii="宋体" w:hAnsi="宋体" w:eastAsia="宋体"/>
                <w:sz w:val="24"/>
              </w:rPr>
              <w:t>(2024年度)</w:t>
            </w:r>
          </w:p>
        </w:tc>
      </w:tr>
      <w:tr w14:paraId="7A991E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D4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D7093">
            <w:pPr>
              <w:jc w:val="center"/>
            </w:pPr>
            <w:r>
              <w:rPr>
                <w:rFonts w:ascii="宋体" w:hAnsi="宋体" w:eastAsia="宋体"/>
                <w:sz w:val="16"/>
              </w:rPr>
              <w:t>叶城县巴仁乡2024年幸福大院消防系统维护费</w:t>
            </w:r>
          </w:p>
        </w:tc>
      </w:tr>
      <w:tr w14:paraId="6959E8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78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237E1">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AB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5F4F4E">
            <w:pPr>
              <w:jc w:val="center"/>
            </w:pPr>
            <w:r>
              <w:rPr>
                <w:rFonts w:ascii="宋体" w:hAnsi="宋体" w:eastAsia="宋体"/>
                <w:sz w:val="16"/>
              </w:rPr>
              <w:t>叶城县巴仁乡人民政府</w:t>
            </w:r>
          </w:p>
        </w:tc>
      </w:tr>
      <w:tr w14:paraId="7724B3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913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96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0D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B8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0B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70A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590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ADD7">
            <w:pPr>
              <w:jc w:val="center"/>
            </w:pPr>
            <w:r>
              <w:rPr>
                <w:rFonts w:ascii="宋体" w:hAnsi="宋体" w:eastAsia="宋体"/>
                <w:sz w:val="16"/>
              </w:rPr>
              <w:t>得分</w:t>
            </w:r>
          </w:p>
        </w:tc>
      </w:tr>
      <w:tr w14:paraId="2825C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C0C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778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58F4">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F13E7">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E6F4">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1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9D10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D359">
            <w:pPr>
              <w:jc w:val="center"/>
            </w:pPr>
            <w:r>
              <w:rPr>
                <w:rFonts w:ascii="宋体" w:hAnsi="宋体" w:eastAsia="宋体"/>
                <w:sz w:val="16"/>
              </w:rPr>
              <w:t>10.00分</w:t>
            </w:r>
          </w:p>
        </w:tc>
      </w:tr>
      <w:tr w14:paraId="1654F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36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41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A641">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4172">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3E568">
            <w:pPr>
              <w:jc w:val="center"/>
            </w:pPr>
            <w:r>
              <w:rPr>
                <w:rFonts w:ascii="宋体" w:hAnsi="宋体" w:eastAsia="宋体"/>
                <w:sz w:val="16"/>
              </w:rPr>
              <w:t>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E5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3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0117">
            <w:pPr>
              <w:jc w:val="center"/>
            </w:pPr>
            <w:r>
              <w:rPr>
                <w:rFonts w:ascii="宋体" w:hAnsi="宋体" w:eastAsia="宋体"/>
                <w:sz w:val="16"/>
              </w:rPr>
              <w:t>—</w:t>
            </w:r>
          </w:p>
        </w:tc>
      </w:tr>
      <w:tr w14:paraId="2DB0C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EE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03B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8D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6C2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0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4FA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D52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BD41">
            <w:pPr>
              <w:jc w:val="center"/>
            </w:pPr>
            <w:r>
              <w:rPr>
                <w:rFonts w:ascii="宋体" w:hAnsi="宋体" w:eastAsia="宋体"/>
                <w:sz w:val="16"/>
              </w:rPr>
              <w:t>—</w:t>
            </w:r>
          </w:p>
        </w:tc>
      </w:tr>
      <w:tr w14:paraId="4A648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722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1DC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69FE7">
            <w:pPr>
              <w:jc w:val="center"/>
            </w:pPr>
            <w:r>
              <w:rPr>
                <w:rFonts w:ascii="宋体" w:hAnsi="宋体" w:eastAsia="宋体"/>
                <w:sz w:val="16"/>
              </w:rPr>
              <w:t>实际完成情况</w:t>
            </w:r>
          </w:p>
        </w:tc>
      </w:tr>
      <w:tr w14:paraId="4347E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A2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D3C15">
            <w:pPr>
              <w:jc w:val="both"/>
            </w:pPr>
            <w:r>
              <w:rPr>
                <w:rFonts w:ascii="宋体" w:hAnsi="宋体" w:eastAsia="宋体"/>
                <w:sz w:val="16"/>
              </w:rPr>
              <w:t>该项目总资金3.1万元，用于保障叶城县巴仁乡人民政府幸福大院开展各</w:t>
            </w:r>
            <w:r>
              <w:rPr>
                <w:rFonts w:hint="eastAsia" w:ascii="宋体" w:hAnsi="宋体"/>
                <w:sz w:val="16"/>
                <w:lang w:eastAsia="zh-CN"/>
              </w:rPr>
              <w:t>项日常</w:t>
            </w:r>
            <w:r>
              <w:rPr>
                <w:rFonts w:ascii="宋体" w:hAnsi="宋体" w:eastAsia="宋体"/>
                <w:sz w:val="16"/>
              </w:rPr>
              <w:t>工作，提高政府的公信力、执行力、为民办事的能力，提高为群众服务的水平。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98DB6">
            <w:pPr>
              <w:jc w:val="both"/>
            </w:pPr>
            <w:r>
              <w:rPr>
                <w:rFonts w:ascii="宋体" w:hAnsi="宋体" w:eastAsia="宋体"/>
                <w:sz w:val="16"/>
              </w:rPr>
              <w:t>截至2024年6月30日，项目实际支付3.1万元，主要用于保障叶城县巴仁乡人民政府幸福大院开展各</w:t>
            </w:r>
            <w:r>
              <w:rPr>
                <w:rFonts w:hint="eastAsia" w:ascii="宋体" w:hAnsi="宋体"/>
                <w:sz w:val="16"/>
                <w:lang w:eastAsia="zh-CN"/>
              </w:rPr>
              <w:t>项日常</w:t>
            </w:r>
            <w:r>
              <w:rPr>
                <w:rFonts w:ascii="宋体" w:hAnsi="宋体" w:eastAsia="宋体"/>
                <w:sz w:val="16"/>
              </w:rPr>
              <w:t>工作，提高政府的公信力、执行力、为民办事的能力，提高为群众服务的水平。</w:t>
            </w:r>
          </w:p>
        </w:tc>
      </w:tr>
      <w:tr w14:paraId="3DD6B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4C4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AB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01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F5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2C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47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0D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DE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FB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6E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0D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03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300F8">
            <w:pPr>
              <w:jc w:val="center"/>
            </w:pPr>
            <w:r>
              <w:rPr>
                <w:rFonts w:ascii="宋体" w:hAnsi="宋体" w:eastAsia="宋体"/>
                <w:sz w:val="16"/>
              </w:rPr>
              <w:t>偏差原因分析及改进措施</w:t>
            </w:r>
          </w:p>
        </w:tc>
      </w:tr>
      <w:tr w14:paraId="5CE270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F1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A6E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74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B303">
            <w:pPr>
              <w:jc w:val="center"/>
            </w:pPr>
            <w:r>
              <w:rPr>
                <w:rFonts w:ascii="宋体" w:hAnsi="宋体" w:eastAsia="宋体"/>
                <w:sz w:val="16"/>
              </w:rPr>
              <w:t>维护消防系统数量（个）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94D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F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7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8E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1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B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06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59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F4C3">
            <w:pPr>
              <w:jc w:val="center"/>
            </w:pPr>
          </w:p>
        </w:tc>
      </w:tr>
      <w:tr w14:paraId="30898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AD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AD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B4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39D1">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E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D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32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F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35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A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4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1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C72A">
            <w:pPr>
              <w:jc w:val="center"/>
            </w:pPr>
          </w:p>
        </w:tc>
      </w:tr>
      <w:tr w14:paraId="56BAC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CE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6FC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000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9F2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D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C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8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93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3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FE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B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4A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7D27">
            <w:pPr>
              <w:jc w:val="center"/>
            </w:pPr>
          </w:p>
        </w:tc>
      </w:tr>
      <w:tr w14:paraId="40C92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D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B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95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75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97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F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2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3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3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6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7655">
            <w:pPr>
              <w:jc w:val="center"/>
            </w:pPr>
            <w:r>
              <w:rPr>
                <w:rFonts w:ascii="宋体" w:hAnsi="宋体" w:eastAsia="宋体"/>
                <w:sz w:val="16"/>
              </w:rPr>
              <w:t>=2024年6月25日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A5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D71BE">
            <w:pPr>
              <w:jc w:val="center"/>
            </w:pPr>
          </w:p>
        </w:tc>
      </w:tr>
      <w:tr w14:paraId="00955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37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00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AA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AA8C">
            <w:pPr>
              <w:jc w:val="center"/>
            </w:pPr>
            <w:r>
              <w:rPr>
                <w:rFonts w:ascii="宋体" w:hAnsi="宋体" w:eastAsia="宋体"/>
                <w:sz w:val="16"/>
              </w:rPr>
              <w:t>维护消防系统总成本（万元）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3496">
            <w:pPr>
              <w:jc w:val="center"/>
            </w:pPr>
            <w:r>
              <w:rPr>
                <w:rFonts w:ascii="宋体" w:hAnsi="宋体" w:eastAsia="宋体"/>
                <w:sz w:val="16"/>
              </w:rPr>
              <w:t>&lt;=3.10万元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37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D9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C1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4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4E2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951C">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6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F0B41">
            <w:pPr>
              <w:jc w:val="center"/>
            </w:pPr>
          </w:p>
        </w:tc>
      </w:tr>
      <w:tr w14:paraId="622CD7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0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A5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0C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BA4C">
            <w:pPr>
              <w:jc w:val="center"/>
            </w:pPr>
            <w:r>
              <w:rPr>
                <w:rFonts w:ascii="宋体" w:hAnsi="宋体" w:eastAsia="宋体"/>
                <w:sz w:val="16"/>
              </w:rPr>
              <w:t>提高幸福大院老人的安全感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FF9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E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C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D8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55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9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E4C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58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50BD3">
            <w:pPr>
              <w:jc w:val="center"/>
            </w:pPr>
          </w:p>
        </w:tc>
      </w:tr>
      <w:tr w14:paraId="26874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92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C5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4AC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84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2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7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5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63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0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A3B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E0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6614">
            <w:pPr>
              <w:jc w:val="center"/>
            </w:pPr>
          </w:p>
        </w:tc>
      </w:tr>
      <w:tr w14:paraId="7FE02E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E00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9F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BBF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1E0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D7FEC7"/>
        </w:tc>
      </w:tr>
    </w:tbl>
    <w:p w14:paraId="344B45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A325796">
        <w:tc>
          <w:tcPr>
            <w:tcW w:w="8848" w:type="dxa"/>
            <w:gridSpan w:val="14"/>
            <w:vAlign w:val="center"/>
          </w:tcPr>
          <w:p w14:paraId="37AE41DE">
            <w:pPr>
              <w:jc w:val="center"/>
            </w:pPr>
            <w:r>
              <w:rPr>
                <w:rFonts w:ascii="宋体" w:hAnsi="宋体" w:eastAsia="宋体"/>
                <w:sz w:val="24"/>
              </w:rPr>
              <w:t>项目支出绩效自评表</w:t>
            </w:r>
          </w:p>
        </w:tc>
      </w:tr>
      <w:tr w14:paraId="0F72C156">
        <w:tblPrEx>
          <w:tblCellMar>
            <w:top w:w="0" w:type="dxa"/>
            <w:left w:w="108" w:type="dxa"/>
            <w:bottom w:w="0" w:type="dxa"/>
            <w:right w:w="108" w:type="dxa"/>
          </w:tblCellMar>
        </w:tblPrEx>
        <w:tc>
          <w:tcPr>
            <w:tcW w:w="8848" w:type="dxa"/>
            <w:gridSpan w:val="14"/>
            <w:vAlign w:val="center"/>
          </w:tcPr>
          <w:p w14:paraId="565DFB91">
            <w:pPr>
              <w:jc w:val="center"/>
            </w:pPr>
            <w:r>
              <w:rPr>
                <w:rFonts w:ascii="宋体" w:hAnsi="宋体" w:eastAsia="宋体"/>
                <w:sz w:val="24"/>
              </w:rPr>
              <w:t>(2024年度)</w:t>
            </w:r>
          </w:p>
        </w:tc>
      </w:tr>
      <w:tr w14:paraId="6FCC4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88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7AB2A8">
            <w:pPr>
              <w:jc w:val="center"/>
            </w:pPr>
            <w:r>
              <w:rPr>
                <w:rFonts w:ascii="宋体" w:hAnsi="宋体" w:eastAsia="宋体"/>
                <w:sz w:val="16"/>
              </w:rPr>
              <w:t>巴仁乡疾病防治经费（整改）项目</w:t>
            </w:r>
          </w:p>
        </w:tc>
      </w:tr>
      <w:tr w14:paraId="3EE0F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8D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1C3E0">
            <w:pPr>
              <w:jc w:val="center"/>
            </w:pPr>
            <w:r>
              <w:rPr>
                <w:rFonts w:ascii="宋体" w:hAnsi="宋体" w:eastAsia="宋体"/>
                <w:sz w:val="16"/>
              </w:rPr>
              <w:t>叶城县巴仁乡人民政府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6F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277B8">
            <w:pPr>
              <w:jc w:val="center"/>
            </w:pPr>
            <w:r>
              <w:rPr>
                <w:rFonts w:ascii="宋体" w:hAnsi="宋体" w:eastAsia="宋体"/>
                <w:sz w:val="16"/>
              </w:rPr>
              <w:t>叶城县巴仁乡人民政府</w:t>
            </w:r>
          </w:p>
        </w:tc>
      </w:tr>
      <w:tr w14:paraId="3D514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B20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83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2A8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87F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925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A3F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2B0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7105">
            <w:pPr>
              <w:jc w:val="center"/>
            </w:pPr>
            <w:r>
              <w:rPr>
                <w:rFonts w:ascii="宋体" w:hAnsi="宋体" w:eastAsia="宋体"/>
                <w:sz w:val="16"/>
              </w:rPr>
              <w:t>得分</w:t>
            </w:r>
          </w:p>
        </w:tc>
      </w:tr>
      <w:tr w14:paraId="2F9CC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CA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F2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D27B">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1770E">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E2957">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F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76A0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1BFA">
            <w:pPr>
              <w:jc w:val="center"/>
            </w:pPr>
            <w:r>
              <w:rPr>
                <w:rFonts w:ascii="宋体" w:hAnsi="宋体" w:eastAsia="宋体"/>
                <w:sz w:val="16"/>
              </w:rPr>
              <w:t>10.00分</w:t>
            </w:r>
          </w:p>
        </w:tc>
      </w:tr>
      <w:tr w14:paraId="7447C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EC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EB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4AB0">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67EC0">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7F57">
            <w:pPr>
              <w:jc w:val="center"/>
            </w:pPr>
            <w:r>
              <w:rPr>
                <w:rFonts w:ascii="宋体" w:hAnsi="宋体" w:eastAsia="宋体"/>
                <w:sz w:val="16"/>
              </w:rPr>
              <w:t>1.74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751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D9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1ACD">
            <w:pPr>
              <w:jc w:val="center"/>
            </w:pPr>
            <w:r>
              <w:rPr>
                <w:rFonts w:ascii="宋体" w:hAnsi="宋体" w:eastAsia="宋体"/>
                <w:sz w:val="16"/>
              </w:rPr>
              <w:t>—</w:t>
            </w:r>
          </w:p>
        </w:tc>
      </w:tr>
      <w:tr w14:paraId="1EBB3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594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2F5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C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AF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0B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B7F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32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AA2D">
            <w:pPr>
              <w:jc w:val="center"/>
            </w:pPr>
            <w:r>
              <w:rPr>
                <w:rFonts w:ascii="宋体" w:hAnsi="宋体" w:eastAsia="宋体"/>
                <w:sz w:val="16"/>
              </w:rPr>
              <w:t>—</w:t>
            </w:r>
          </w:p>
        </w:tc>
      </w:tr>
      <w:tr w14:paraId="1DA2BD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D82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7EF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A6F68">
            <w:pPr>
              <w:jc w:val="center"/>
            </w:pPr>
            <w:r>
              <w:rPr>
                <w:rFonts w:ascii="宋体" w:hAnsi="宋体" w:eastAsia="宋体"/>
                <w:sz w:val="16"/>
              </w:rPr>
              <w:t>实际完成情况</w:t>
            </w:r>
          </w:p>
        </w:tc>
      </w:tr>
      <w:tr w14:paraId="5B481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310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A9136">
            <w:pPr>
              <w:jc w:val="both"/>
            </w:pPr>
            <w:r>
              <w:rPr>
                <w:rFonts w:ascii="宋体" w:hAnsi="宋体" w:eastAsia="宋体"/>
                <w:sz w:val="16"/>
              </w:rPr>
              <w:t>项目预算安排资金1.74万元，其中：财政资金1.74万元，其他资金0万元，用于支付</w:t>
            </w:r>
            <w:r>
              <w:rPr>
                <w:rFonts w:hint="eastAsia" w:ascii="宋体" w:hAnsi="宋体"/>
                <w:sz w:val="16"/>
                <w:lang w:eastAsia="zh-CN"/>
              </w:rPr>
              <w:t>YQ</w:t>
            </w:r>
            <w:r>
              <w:rPr>
                <w:rFonts w:ascii="宋体" w:hAnsi="宋体" w:eastAsia="宋体"/>
                <w:sz w:val="16"/>
              </w:rPr>
              <w:t>防控采购物资欠款。项目的实施，保证相关公司合法权益，提升工作效率。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BB22D7">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年12月31日，项目预算安排1.74万元，到位资金1.74万元，实际支出1.74万元，用于支付</w:t>
            </w:r>
            <w:r>
              <w:rPr>
                <w:rFonts w:hint="eastAsia" w:ascii="宋体" w:hAnsi="宋体"/>
                <w:sz w:val="16"/>
                <w:lang w:eastAsia="zh-CN"/>
              </w:rPr>
              <w:t>YQ</w:t>
            </w:r>
            <w:r>
              <w:rPr>
                <w:rFonts w:ascii="宋体" w:hAnsi="宋体" w:eastAsia="宋体"/>
                <w:sz w:val="16"/>
              </w:rPr>
              <w:t>防控采购物资欠款。项目的实施，保证相关公司合法权益，提升工作效率，提高幸福度。</w:t>
            </w:r>
          </w:p>
        </w:tc>
      </w:tr>
      <w:tr w14:paraId="30D26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28C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8C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D6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EC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6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80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D3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4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99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B9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42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80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953DC">
            <w:pPr>
              <w:jc w:val="center"/>
            </w:pPr>
            <w:r>
              <w:rPr>
                <w:rFonts w:ascii="宋体" w:hAnsi="宋体" w:eastAsia="宋体"/>
                <w:sz w:val="16"/>
              </w:rPr>
              <w:t>偏差原因分析及改进措施</w:t>
            </w:r>
          </w:p>
        </w:tc>
      </w:tr>
      <w:tr w14:paraId="0DA238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288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A88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E9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ED2B">
            <w:pPr>
              <w:jc w:val="center"/>
            </w:pPr>
            <w:r>
              <w:rPr>
                <w:rFonts w:ascii="宋体" w:hAnsi="宋体" w:eastAsia="宋体"/>
                <w:sz w:val="16"/>
              </w:rPr>
              <w:t>支付欠款数（笔）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5EAE">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2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DB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B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9B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5C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42A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7D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F387">
            <w:pPr>
              <w:jc w:val="center"/>
            </w:pPr>
          </w:p>
        </w:tc>
      </w:tr>
      <w:tr w14:paraId="695DD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0B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0A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89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DD19">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4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22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D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A4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5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B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7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8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27AC">
            <w:pPr>
              <w:jc w:val="center"/>
            </w:pPr>
          </w:p>
        </w:tc>
      </w:tr>
      <w:tr w14:paraId="4D7A9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B7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46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9B8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B351">
            <w:pPr>
              <w:jc w:val="center"/>
            </w:pPr>
            <w:r>
              <w:rPr>
                <w:rFonts w:ascii="宋体" w:hAnsi="宋体" w:eastAsia="宋体"/>
                <w:sz w:val="16"/>
              </w:rPr>
              <w:t>资金投入及时率（%）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4C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4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6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B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4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6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5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3F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86D5">
            <w:pPr>
              <w:jc w:val="center"/>
            </w:pPr>
          </w:p>
        </w:tc>
      </w:tr>
      <w:tr w14:paraId="0B0829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C2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F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778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1FC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8C14">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6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DB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7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2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B4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1E71">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75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A9DB4">
            <w:pPr>
              <w:jc w:val="center"/>
            </w:pPr>
          </w:p>
        </w:tc>
      </w:tr>
      <w:tr w14:paraId="4D99E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4EC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45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25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2BB1">
            <w:pPr>
              <w:jc w:val="center"/>
            </w:pPr>
            <w:r>
              <w:rPr>
                <w:rFonts w:ascii="宋体" w:hAnsi="宋体" w:eastAsia="宋体"/>
                <w:sz w:val="16"/>
              </w:rPr>
              <w:t>支出欠款金额（万元）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54E5">
            <w:pPr>
              <w:jc w:val="center"/>
            </w:pPr>
            <w:r>
              <w:rPr>
                <w:rFonts w:ascii="宋体" w:hAnsi="宋体" w:eastAsia="宋体"/>
                <w:sz w:val="16"/>
              </w:rPr>
              <w:t>&lt;=1.74万元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E8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E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AC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6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EC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6B01">
            <w:pPr>
              <w:jc w:val="center"/>
            </w:pPr>
            <w:r>
              <w:rPr>
                <w:rFonts w:ascii="宋体" w:hAnsi="宋体" w:eastAsia="宋体"/>
                <w:sz w:val="16"/>
              </w:rPr>
              <w: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43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B2092">
            <w:pPr>
              <w:jc w:val="center"/>
            </w:pPr>
          </w:p>
        </w:tc>
      </w:tr>
      <w:tr w14:paraId="3C1DA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E4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CB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5B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8144">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1D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B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CD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EB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FF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6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68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84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73390">
            <w:pPr>
              <w:jc w:val="center"/>
            </w:pPr>
          </w:p>
        </w:tc>
      </w:tr>
      <w:tr w14:paraId="40BEC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F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3A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46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4436">
            <w:pPr>
              <w:jc w:val="center"/>
            </w:pPr>
            <w:r>
              <w:rPr>
                <w:rFonts w:ascii="宋体" w:hAnsi="宋体" w:eastAsia="宋体"/>
                <w:sz w:val="16"/>
              </w:rPr>
              <w:t>受益人员</w:t>
            </w:r>
            <w:r>
              <w:rPr>
                <w:rFonts w:hint="eastAsia" w:ascii="宋体" w:hAnsi="宋体"/>
                <w:sz w:val="16"/>
                <w:lang w:eastAsia="zh-CN"/>
              </w:rPr>
              <w:t>满意</w:t>
            </w:r>
            <w:r>
              <w:rPr>
                <w:rFonts w:ascii="宋体" w:hAnsi="宋体" w:eastAsia="宋体"/>
                <w:sz w:val="16"/>
              </w:rPr>
              <w:t>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95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CD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4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A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D6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7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9C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80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1D83">
            <w:pPr>
              <w:jc w:val="center"/>
            </w:pPr>
          </w:p>
        </w:tc>
      </w:tr>
      <w:tr w14:paraId="4099B3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D73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1DA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79B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3E6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A0CDC3"/>
        </w:tc>
      </w:tr>
    </w:tbl>
    <w:p w14:paraId="31EE9A9A">
      <w:r>
        <w:br w:type="page"/>
      </w:r>
    </w:p>
    <w:p w14:paraId="105BF7BD">
      <w:pPr>
        <w:spacing w:line="640" w:lineRule="exact"/>
        <w:ind w:firstLine="640"/>
        <w:jc w:val="both"/>
        <w:outlineLvl w:val="2"/>
      </w:pPr>
      <w:r>
        <w:rPr>
          <w:rFonts w:ascii="黑体" w:hAnsi="黑体" w:eastAsia="黑体"/>
          <w:sz w:val="32"/>
        </w:rPr>
        <w:t>十二、其他需说明的事项</w:t>
      </w:r>
    </w:p>
    <w:p w14:paraId="72C51F17">
      <w:pPr>
        <w:spacing w:line="580" w:lineRule="exact"/>
        <w:ind w:firstLine="640"/>
        <w:jc w:val="both"/>
      </w:pPr>
      <w:r>
        <w:rPr>
          <w:rFonts w:ascii="仿宋_GB2312" w:hAnsi="仿宋_GB2312" w:eastAsia="仿宋_GB2312"/>
          <w:b w:val="0"/>
          <w:sz w:val="32"/>
        </w:rPr>
        <w:t>本单位无其他需说明的事项。</w:t>
      </w:r>
    </w:p>
    <w:p w14:paraId="764677F3">
      <w:r>
        <w:br w:type="page"/>
      </w:r>
    </w:p>
    <w:p w14:paraId="7F009A2A">
      <w:pPr>
        <w:spacing w:line="240" w:lineRule="auto"/>
        <w:jc w:val="center"/>
        <w:outlineLvl w:val="1"/>
      </w:pPr>
      <w:r>
        <w:rPr>
          <w:rFonts w:ascii="黑体" w:hAnsi="黑体" w:eastAsia="黑体"/>
          <w:sz w:val="32"/>
        </w:rPr>
        <w:t>第三部分 专业名词解释</w:t>
      </w:r>
    </w:p>
    <w:p w14:paraId="335EB09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FDB06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1E213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67F136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1D7F4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829A59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398E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69CD9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91FA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AD5C8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31EC5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88CBC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943AE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40E0D2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7453F6">
      <w:r>
        <w:br w:type="page"/>
      </w:r>
    </w:p>
    <w:p w14:paraId="78512B1A">
      <w:pPr>
        <w:spacing w:line="240" w:lineRule="auto"/>
        <w:jc w:val="center"/>
        <w:outlineLvl w:val="1"/>
      </w:pPr>
      <w:r>
        <w:rPr>
          <w:rFonts w:ascii="黑体" w:hAnsi="黑体" w:eastAsia="黑体"/>
          <w:sz w:val="32"/>
        </w:rPr>
        <w:t>第四部分 部门决算报表（见附表）</w:t>
      </w:r>
    </w:p>
    <w:p w14:paraId="1E16BD07">
      <w:pPr>
        <w:spacing w:line="240" w:lineRule="auto"/>
        <w:ind w:firstLine="640"/>
        <w:jc w:val="both"/>
      </w:pPr>
      <w:r>
        <w:rPr>
          <w:rFonts w:ascii="仿宋_GB2312" w:hAnsi="仿宋_GB2312" w:eastAsia="仿宋_GB2312"/>
          <w:b w:val="0"/>
          <w:sz w:val="32"/>
        </w:rPr>
        <w:t>一、《收入支出决算总表》</w:t>
      </w:r>
    </w:p>
    <w:p w14:paraId="365C0657">
      <w:pPr>
        <w:spacing w:line="240" w:lineRule="auto"/>
        <w:ind w:firstLine="640"/>
        <w:jc w:val="both"/>
      </w:pPr>
      <w:r>
        <w:rPr>
          <w:rFonts w:ascii="仿宋_GB2312" w:hAnsi="仿宋_GB2312" w:eastAsia="仿宋_GB2312"/>
          <w:b w:val="0"/>
          <w:sz w:val="32"/>
        </w:rPr>
        <w:t>二、《收入决算表》</w:t>
      </w:r>
    </w:p>
    <w:p w14:paraId="048785B7">
      <w:pPr>
        <w:spacing w:line="240" w:lineRule="auto"/>
        <w:ind w:firstLine="640"/>
        <w:jc w:val="both"/>
      </w:pPr>
      <w:r>
        <w:rPr>
          <w:rFonts w:ascii="仿宋_GB2312" w:hAnsi="仿宋_GB2312" w:eastAsia="仿宋_GB2312"/>
          <w:b w:val="0"/>
          <w:sz w:val="32"/>
        </w:rPr>
        <w:t>三、《支出决算表》</w:t>
      </w:r>
    </w:p>
    <w:p w14:paraId="1F4D8E17">
      <w:pPr>
        <w:spacing w:line="240" w:lineRule="auto"/>
        <w:ind w:firstLine="640"/>
        <w:jc w:val="both"/>
      </w:pPr>
      <w:r>
        <w:rPr>
          <w:rFonts w:ascii="仿宋_GB2312" w:hAnsi="仿宋_GB2312" w:eastAsia="仿宋_GB2312"/>
          <w:b w:val="0"/>
          <w:sz w:val="32"/>
        </w:rPr>
        <w:t>四、《财政拨款收入支出决算总表》</w:t>
      </w:r>
    </w:p>
    <w:p w14:paraId="19BEF0B8">
      <w:pPr>
        <w:spacing w:line="240" w:lineRule="auto"/>
        <w:ind w:firstLine="640"/>
        <w:jc w:val="both"/>
      </w:pPr>
      <w:r>
        <w:rPr>
          <w:rFonts w:ascii="仿宋_GB2312" w:hAnsi="仿宋_GB2312" w:eastAsia="仿宋_GB2312"/>
          <w:b w:val="0"/>
          <w:sz w:val="32"/>
        </w:rPr>
        <w:t>五、《一般公共预算财政拨款支出决算表》</w:t>
      </w:r>
    </w:p>
    <w:p w14:paraId="4F90A144">
      <w:pPr>
        <w:spacing w:line="240" w:lineRule="auto"/>
        <w:ind w:firstLine="640"/>
        <w:jc w:val="both"/>
      </w:pPr>
      <w:r>
        <w:rPr>
          <w:rFonts w:ascii="仿宋_GB2312" w:hAnsi="仿宋_GB2312" w:eastAsia="仿宋_GB2312"/>
          <w:b w:val="0"/>
          <w:sz w:val="32"/>
        </w:rPr>
        <w:t>六、《一般公共预算财政拨款基本支出决算表》</w:t>
      </w:r>
    </w:p>
    <w:p w14:paraId="127E81AF">
      <w:pPr>
        <w:spacing w:line="240" w:lineRule="auto"/>
        <w:ind w:firstLine="640"/>
        <w:jc w:val="both"/>
      </w:pPr>
      <w:r>
        <w:rPr>
          <w:rFonts w:ascii="仿宋_GB2312" w:hAnsi="仿宋_GB2312" w:eastAsia="仿宋_GB2312"/>
          <w:b w:val="0"/>
          <w:sz w:val="32"/>
        </w:rPr>
        <w:t>七、《政府性基金预算财政拨款收入支出决算表》</w:t>
      </w:r>
    </w:p>
    <w:p w14:paraId="1F2B68AA">
      <w:pPr>
        <w:spacing w:line="240" w:lineRule="auto"/>
        <w:ind w:firstLine="640"/>
        <w:jc w:val="both"/>
      </w:pPr>
      <w:r>
        <w:rPr>
          <w:rFonts w:ascii="仿宋_GB2312" w:hAnsi="仿宋_GB2312" w:eastAsia="仿宋_GB2312"/>
          <w:b w:val="0"/>
          <w:sz w:val="32"/>
        </w:rPr>
        <w:t>八、《国有资本经营预算财政拨款收入支出决算表》</w:t>
      </w:r>
    </w:p>
    <w:p w14:paraId="7AEF422C">
      <w:pPr>
        <w:spacing w:line="240" w:lineRule="auto"/>
        <w:ind w:firstLine="640"/>
        <w:jc w:val="both"/>
      </w:pPr>
      <w:r>
        <w:rPr>
          <w:rFonts w:ascii="仿宋_GB2312" w:hAnsi="仿宋_GB2312" w:eastAsia="仿宋_GB2312"/>
          <w:b w:val="0"/>
          <w:sz w:val="32"/>
        </w:rPr>
        <w:t>九、《财政拨款“三公”经费支出决算表》</w:t>
      </w:r>
    </w:p>
    <w:p w14:paraId="13262BF1">
      <w:pPr>
        <w:spacing w:line="240" w:lineRule="auto"/>
        <w:ind w:firstLine="640"/>
        <w:jc w:val="both"/>
      </w:pPr>
    </w:p>
    <w:p w14:paraId="1889D61E">
      <w:pPr>
        <w:spacing w:line="240" w:lineRule="auto"/>
        <w:ind w:firstLine="640"/>
        <w:jc w:val="both"/>
      </w:pPr>
    </w:p>
    <w:p w14:paraId="38A9C9AA">
      <w:pPr>
        <w:spacing w:line="240" w:lineRule="auto"/>
        <w:ind w:firstLine="640"/>
        <w:jc w:val="both"/>
      </w:pPr>
    </w:p>
    <w:p w14:paraId="496AAB32">
      <w:pPr>
        <w:spacing w:line="240" w:lineRule="auto"/>
        <w:ind w:firstLine="640"/>
        <w:jc w:val="both"/>
      </w:pPr>
    </w:p>
    <w:p w14:paraId="19C5790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A30A64-025F-4714-8503-F28755B685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D1F55E1-3764-49A9-933E-31692509E3EB}"/>
  </w:font>
  <w:font w:name="仿宋_GB2312">
    <w:panose1 w:val="02010609030101010101"/>
    <w:charset w:val="86"/>
    <w:family w:val="modern"/>
    <w:pitch w:val="default"/>
    <w:sig w:usb0="00000001" w:usb1="080E0000" w:usb2="00000000" w:usb3="00000000" w:csb0="00040000" w:csb1="00000000"/>
    <w:embedRegular r:id="rId3" w:fontKey="{52E3BF86-6E81-49B1-9E93-740D87CD1FDD}"/>
  </w:font>
  <w:font w:name="楷体_GB2312">
    <w:panose1 w:val="02010609030101010101"/>
    <w:charset w:val="86"/>
    <w:family w:val="auto"/>
    <w:pitch w:val="default"/>
    <w:sig w:usb0="00000001" w:usb1="080E0000" w:usb2="00000000" w:usb3="00000000" w:csb0="00040000" w:csb1="00000000"/>
    <w:embedRegular r:id="rId4" w:fontKey="{26C2FAB3-9A9B-4CE9-8D64-445BBB09126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A4150D"/>
    <w:rsid w:val="19B5554D"/>
    <w:rsid w:val="1A91330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6738</Words>
  <Characters>7828</Characters>
  <Lines>0</Lines>
  <Paragraphs>0</Paragraphs>
  <TotalTime>16</TotalTime>
  <ScaleCrop>false</ScaleCrop>
  <LinksUpToDate>false</LinksUpToDate>
  <CharactersWithSpaces>7836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2025-09-29T11:02:07Z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