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叶城县恰其库木管理区2024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59C413B">
      <w:r>
        <w:br w:type="page"/>
      </w:r>
    </w:p>
    <w:p w14:paraId="76158D40">
      <w:pPr>
        <w:spacing w:line="640" w:lineRule="exact"/>
        <w:jc w:val="center"/>
        <w:outlineLvl w:val="1"/>
      </w:pPr>
      <w:r>
        <w:rPr>
          <w:rFonts w:ascii="黑体" w:hAnsi="黑体" w:eastAsia="黑体"/>
          <w:sz w:val="32"/>
        </w:rPr>
        <w:t>第一部分 单位概况</w:t>
      </w:r>
    </w:p>
    <w:p w14:paraId="204FC062">
      <w:pPr>
        <w:spacing w:line="640" w:lineRule="exact"/>
        <w:ind w:firstLine="640"/>
        <w:jc w:val="both"/>
        <w:outlineLvl w:val="2"/>
      </w:pPr>
      <w:r>
        <w:rPr>
          <w:rFonts w:ascii="黑体" w:hAnsi="黑体" w:eastAsia="黑体"/>
          <w:sz w:val="32"/>
        </w:rPr>
        <w:t>一、主要职能</w:t>
      </w:r>
    </w:p>
    <w:p w14:paraId="5A420BB3">
      <w:pPr>
        <w:spacing w:line="580" w:lineRule="exact"/>
        <w:ind w:firstLine="640"/>
        <w:jc w:val="both"/>
      </w:pPr>
      <w:r>
        <w:rPr>
          <w:rFonts w:ascii="仿宋_GB2312" w:hAnsi="仿宋_GB2312" w:eastAsia="仿宋_GB2312"/>
          <w:sz w:val="32"/>
        </w:rPr>
        <w:t>新疆维吾尔自治区喀什地区叶城县恰其库木管理区负责全片区党政行政管理事务。把党的各项优惠政策落到实处，负责全区经济社会发展、社会事务管理、基层组织建设等全面工作。以全面建设社会主义新农村为出发点，不断深化美丽乡村建设,不断筑牢全区经济社会发展基础，为全区各族群众提供社会服务。</w:t>
      </w:r>
    </w:p>
    <w:p w14:paraId="4C686231">
      <w:pPr>
        <w:spacing w:line="640" w:lineRule="exact"/>
        <w:ind w:firstLine="640"/>
        <w:jc w:val="both"/>
        <w:outlineLvl w:val="2"/>
      </w:pPr>
      <w:r>
        <w:rPr>
          <w:rFonts w:ascii="黑体" w:hAnsi="黑体" w:eastAsia="黑体"/>
          <w:sz w:val="32"/>
        </w:rPr>
        <w:t>二、机构设置及人员情况</w:t>
      </w:r>
    </w:p>
    <w:p w14:paraId="7AA1B3F0">
      <w:pPr>
        <w:spacing w:line="580" w:lineRule="exact"/>
        <w:ind w:firstLine="640"/>
        <w:jc w:val="both"/>
      </w:pPr>
      <w:r>
        <w:rPr>
          <w:rFonts w:ascii="仿宋_GB2312" w:hAnsi="仿宋_GB2312" w:eastAsia="仿宋_GB2312"/>
          <w:sz w:val="32"/>
        </w:rPr>
        <w:t>叶城县恰其库木管理区2024年度，实有人数48人，其中：在职人员48人，减少12人；离休人员0人，增加0人；退休人员0人,增加0人。</w:t>
      </w:r>
    </w:p>
    <w:p w14:paraId="3FA0CBC4">
      <w:pPr>
        <w:spacing w:line="580" w:lineRule="exact"/>
        <w:ind w:firstLine="640"/>
        <w:jc w:val="both"/>
      </w:pPr>
      <w:r>
        <w:rPr>
          <w:rFonts w:ascii="仿宋_GB2312" w:hAnsi="仿宋_GB2312" w:eastAsia="仿宋_GB2312"/>
          <w:sz w:val="32"/>
        </w:rPr>
        <w:t>叶城县恰其库木管理区无下属预算单位，下设5个科室，分别是：党政办、党建办、社会事务办、经济发展办、综合执法办。</w:t>
      </w:r>
    </w:p>
    <w:p w14:paraId="65F74311">
      <w:r>
        <w:br w:type="page"/>
      </w:r>
    </w:p>
    <w:p w14:paraId="7820BEF2">
      <w:pPr>
        <w:spacing w:line="240" w:lineRule="auto"/>
        <w:jc w:val="center"/>
        <w:outlineLvl w:val="1"/>
      </w:pPr>
      <w:r>
        <w:rPr>
          <w:rFonts w:ascii="黑体" w:hAnsi="黑体" w:eastAsia="黑体"/>
          <w:sz w:val="32"/>
        </w:rPr>
        <w:t>第二部分 部门决算情况说明</w:t>
      </w:r>
    </w:p>
    <w:p w14:paraId="0C3227BE">
      <w:pPr>
        <w:spacing w:line="640" w:lineRule="exact"/>
        <w:ind w:firstLine="640"/>
        <w:jc w:val="both"/>
        <w:outlineLvl w:val="2"/>
      </w:pPr>
      <w:r>
        <w:rPr>
          <w:rFonts w:ascii="黑体" w:hAnsi="黑体" w:eastAsia="黑体"/>
          <w:sz w:val="32"/>
        </w:rPr>
        <w:t>一、收入支出决算总体情况说明</w:t>
      </w:r>
    </w:p>
    <w:p w14:paraId="7D7B29FB">
      <w:pPr>
        <w:spacing w:line="580" w:lineRule="exact"/>
        <w:ind w:firstLine="640"/>
        <w:jc w:val="both"/>
      </w:pPr>
      <w:r>
        <w:rPr>
          <w:rFonts w:ascii="仿宋_GB2312" w:hAnsi="仿宋_GB2312" w:eastAsia="仿宋_GB2312"/>
          <w:b/>
          <w:sz w:val="32"/>
        </w:rPr>
        <w:t>2024年度收入总计2,436.95万元，</w:t>
      </w:r>
      <w:r>
        <w:rPr>
          <w:rFonts w:ascii="仿宋_GB2312" w:hAnsi="仿宋_GB2312" w:eastAsia="仿宋_GB2312"/>
          <w:b w:val="0"/>
          <w:sz w:val="32"/>
        </w:rPr>
        <w:t>其中：本年收入合计2,436.95万元，使用非财政拨款结余（含专用结余）0.00万元，年初结转和结余0.00万元。</w:t>
      </w:r>
    </w:p>
    <w:p w14:paraId="06E9D900">
      <w:pPr>
        <w:spacing w:line="580" w:lineRule="exact"/>
        <w:ind w:firstLine="640"/>
        <w:jc w:val="both"/>
      </w:pPr>
      <w:r>
        <w:rPr>
          <w:rFonts w:ascii="仿宋_GB2312" w:hAnsi="仿宋_GB2312" w:eastAsia="仿宋_GB2312"/>
          <w:b/>
          <w:sz w:val="32"/>
        </w:rPr>
        <w:t>2024年度支出总计2,436.95万元，</w:t>
      </w:r>
      <w:r>
        <w:rPr>
          <w:rFonts w:ascii="仿宋_GB2312" w:hAnsi="仿宋_GB2312" w:eastAsia="仿宋_GB2312"/>
          <w:b w:val="0"/>
          <w:sz w:val="32"/>
        </w:rPr>
        <w:t>其中：本年支出合计2,436.95万元，结余分配0.00万元，年末结转和结余0.00万元。</w:t>
      </w:r>
    </w:p>
    <w:p w14:paraId="300E6B56">
      <w:pPr>
        <w:spacing w:line="580" w:lineRule="exact"/>
        <w:ind w:firstLine="640"/>
        <w:jc w:val="both"/>
      </w:pPr>
      <w:r>
        <w:rPr>
          <w:rFonts w:ascii="仿宋_GB2312" w:hAnsi="仿宋_GB2312" w:eastAsia="仿宋_GB2312"/>
          <w:b w:val="0"/>
          <w:sz w:val="32"/>
        </w:rPr>
        <w:t>收入支出总体与上年相比，增加468.05万元，增长23.77%，主要原因是：本年度增加恰其库木管理区2村示范村乡村建设项目、恰其库木管理区土地碎片化整理项目、恰其库木管理区种植业基地配套建设项目。</w:t>
      </w:r>
    </w:p>
    <w:p w14:paraId="5833323C">
      <w:pPr>
        <w:spacing w:line="640" w:lineRule="exact"/>
        <w:ind w:firstLine="640"/>
        <w:jc w:val="both"/>
        <w:outlineLvl w:val="2"/>
      </w:pPr>
      <w:r>
        <w:rPr>
          <w:rFonts w:ascii="黑体" w:hAnsi="黑体" w:eastAsia="黑体"/>
          <w:sz w:val="32"/>
        </w:rPr>
        <w:t>二、收入决算情况说明</w:t>
      </w:r>
    </w:p>
    <w:p w14:paraId="7BF5176A">
      <w:pPr>
        <w:spacing w:line="580" w:lineRule="exact"/>
        <w:ind w:firstLine="640"/>
        <w:jc w:val="both"/>
      </w:pPr>
      <w:r>
        <w:rPr>
          <w:rFonts w:ascii="仿宋_GB2312" w:hAnsi="仿宋_GB2312" w:eastAsia="仿宋_GB2312"/>
          <w:b/>
          <w:sz w:val="32"/>
        </w:rPr>
        <w:t>本年收入2,436.95万元，</w:t>
      </w:r>
      <w:r>
        <w:rPr>
          <w:rFonts w:ascii="仿宋_GB2312" w:hAnsi="仿宋_GB2312" w:eastAsia="仿宋_GB2312"/>
          <w:b w:val="0"/>
          <w:sz w:val="32"/>
        </w:rPr>
        <w:t>其中：财政拨款收入2,427.66万元，占99.62%；上级补助收入0.00万元，占0.00%；事业收入0.00万元，占0.00%；经营收入0.00万元，占0.00%；附属单位上缴收入0.00万元，占0.00%；其他收入9.28万元，占0.38%。</w:t>
      </w:r>
    </w:p>
    <w:p w14:paraId="2BAABF2F">
      <w:pPr>
        <w:spacing w:line="640" w:lineRule="exact"/>
        <w:ind w:firstLine="640"/>
        <w:jc w:val="both"/>
        <w:outlineLvl w:val="2"/>
      </w:pPr>
      <w:r>
        <w:rPr>
          <w:rFonts w:ascii="黑体" w:hAnsi="黑体" w:eastAsia="黑体"/>
          <w:sz w:val="32"/>
        </w:rPr>
        <w:t>三、支出决算情况说明</w:t>
      </w:r>
    </w:p>
    <w:p w14:paraId="26616CAB">
      <w:pPr>
        <w:spacing w:line="580" w:lineRule="exact"/>
        <w:ind w:firstLine="640"/>
        <w:jc w:val="both"/>
      </w:pPr>
      <w:r>
        <w:rPr>
          <w:rFonts w:ascii="仿宋_GB2312" w:hAnsi="仿宋_GB2312" w:eastAsia="仿宋_GB2312"/>
          <w:b/>
          <w:sz w:val="32"/>
        </w:rPr>
        <w:t>本年支出2,436.95万元，</w:t>
      </w:r>
      <w:r>
        <w:rPr>
          <w:rFonts w:ascii="仿宋_GB2312" w:hAnsi="仿宋_GB2312" w:eastAsia="仿宋_GB2312"/>
          <w:b w:val="0"/>
          <w:sz w:val="32"/>
        </w:rPr>
        <w:t>其中：基本支出1,055.73万元，占43.32%；项目支出1,381.22万元，占56.68%；上缴上级支出0.00万元，占0.00%；经营支出0.00万元，占0.00%；对附属单位补助支出0.00万元，占0.00%。</w:t>
      </w:r>
    </w:p>
    <w:p w14:paraId="3D0EC10D">
      <w:pPr>
        <w:spacing w:line="640" w:lineRule="exact"/>
        <w:ind w:firstLine="640"/>
        <w:jc w:val="both"/>
        <w:outlineLvl w:val="2"/>
      </w:pPr>
      <w:r>
        <w:rPr>
          <w:rFonts w:ascii="黑体" w:hAnsi="黑体" w:eastAsia="黑体"/>
          <w:sz w:val="32"/>
        </w:rPr>
        <w:t>四、财政拨款收入支出决算总体情况说明</w:t>
      </w:r>
    </w:p>
    <w:p w14:paraId="3BB58902">
      <w:pPr>
        <w:spacing w:line="580" w:lineRule="exact"/>
        <w:ind w:firstLine="640"/>
        <w:jc w:val="both"/>
      </w:pPr>
      <w:r>
        <w:rPr>
          <w:rFonts w:ascii="仿宋_GB2312" w:hAnsi="仿宋_GB2312" w:eastAsia="仿宋_GB2312"/>
          <w:b/>
          <w:sz w:val="32"/>
        </w:rPr>
        <w:t>2024年度财政拨款收入总计2,427.66万元，</w:t>
      </w:r>
      <w:r>
        <w:rPr>
          <w:rFonts w:ascii="仿宋_GB2312" w:hAnsi="仿宋_GB2312" w:eastAsia="仿宋_GB2312"/>
          <w:b w:val="0"/>
          <w:sz w:val="32"/>
        </w:rPr>
        <w:t>其中：年初财政拨款结转和结余0.00万元，本年财政拨款收入2,427.66万元。</w:t>
      </w:r>
      <w:r>
        <w:rPr>
          <w:rFonts w:ascii="仿宋_GB2312" w:hAnsi="仿宋_GB2312" w:eastAsia="仿宋_GB2312"/>
          <w:b/>
          <w:sz w:val="32"/>
        </w:rPr>
        <w:t>财政拨款支出总计2,427.66万元，</w:t>
      </w:r>
      <w:r>
        <w:rPr>
          <w:rFonts w:ascii="仿宋_GB2312" w:hAnsi="仿宋_GB2312" w:eastAsia="仿宋_GB2312"/>
          <w:b w:val="0"/>
          <w:sz w:val="32"/>
        </w:rPr>
        <w:t>其中：年末财政拨款结转和结余0.00万元，本年财政拨款支出2,427.66万元。</w:t>
      </w:r>
    </w:p>
    <w:p w14:paraId="7784C85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增加458.76万元，增长23.30%，主要原因是：本年度增加恰其库木管理区2村示范村乡村建设项目、恰其库木管理区土地碎片化整理项目、恰其库木管理区种植业基地配套建设项目。</w:t>
      </w:r>
      <w:r>
        <w:rPr>
          <w:rFonts w:ascii="仿宋_GB2312" w:hAnsi="仿宋_GB2312" w:eastAsia="仿宋_GB2312"/>
          <w:b/>
          <w:sz w:val="32"/>
        </w:rPr>
        <w:t>与年初预算相比，</w:t>
      </w:r>
      <w:r>
        <w:rPr>
          <w:rFonts w:ascii="仿宋_GB2312" w:hAnsi="仿宋_GB2312" w:eastAsia="仿宋_GB2312"/>
          <w:b w:val="0"/>
          <w:sz w:val="32"/>
        </w:rPr>
        <w:t>年初预算数1,209.27万元，决算数2,427.66万元，预决算差异率100.75%，主要原因是：年中追加人员工资、社保、公积金基数调增部分经费，追加2村乡村示范村建设项目、种植业基地配套建设项目、土地碎片化整理项目和核桃高产园建设项目。</w:t>
      </w:r>
    </w:p>
    <w:p w14:paraId="1EA539F4">
      <w:pPr>
        <w:spacing w:line="640" w:lineRule="exact"/>
        <w:ind w:firstLine="640"/>
        <w:jc w:val="both"/>
        <w:outlineLvl w:val="2"/>
      </w:pPr>
      <w:r>
        <w:rPr>
          <w:rFonts w:ascii="黑体" w:hAnsi="黑体" w:eastAsia="黑体"/>
          <w:sz w:val="32"/>
        </w:rPr>
        <w:t>五、一般公共预算财政拨款支出决算情况说明</w:t>
      </w:r>
    </w:p>
    <w:p w14:paraId="42FFEB0C">
      <w:pPr>
        <w:spacing w:line="640" w:lineRule="exact"/>
        <w:ind w:firstLine="640"/>
        <w:jc w:val="both"/>
        <w:outlineLvl w:val="3"/>
      </w:pPr>
      <w:r>
        <w:rPr>
          <w:rFonts w:ascii="楷体_GB2312" w:hAnsi="楷体_GB2312" w:eastAsia="楷体_GB2312"/>
          <w:b/>
          <w:sz w:val="32"/>
        </w:rPr>
        <w:t>（一）一般公共预算财政拨款支出决算总体情况</w:t>
      </w:r>
    </w:p>
    <w:p w14:paraId="3A60EE99">
      <w:pPr>
        <w:spacing w:line="580" w:lineRule="exact"/>
        <w:ind w:firstLine="640"/>
        <w:jc w:val="both"/>
      </w:pPr>
      <w:r>
        <w:rPr>
          <w:rFonts w:ascii="仿宋_GB2312" w:hAnsi="仿宋_GB2312" w:eastAsia="仿宋_GB2312"/>
          <w:b/>
          <w:sz w:val="32"/>
        </w:rPr>
        <w:t>2024年度一般公共预算财政拨款支出2,427.66万元，</w:t>
      </w:r>
      <w:r>
        <w:rPr>
          <w:rFonts w:ascii="仿宋_GB2312" w:hAnsi="仿宋_GB2312" w:eastAsia="仿宋_GB2312"/>
          <w:b w:val="0"/>
          <w:sz w:val="32"/>
        </w:rPr>
        <w:t>占本年支出合计的99.62%。</w:t>
      </w:r>
      <w:r>
        <w:rPr>
          <w:rFonts w:ascii="仿宋_GB2312" w:hAnsi="仿宋_GB2312" w:eastAsia="仿宋_GB2312"/>
          <w:b/>
          <w:sz w:val="32"/>
        </w:rPr>
        <w:t>与上年相比，</w:t>
      </w:r>
      <w:r>
        <w:rPr>
          <w:rFonts w:ascii="仿宋_GB2312" w:hAnsi="仿宋_GB2312" w:eastAsia="仿宋_GB2312"/>
          <w:b w:val="0"/>
          <w:sz w:val="32"/>
        </w:rPr>
        <w:t>增加458.76万元，增长23.30%，主要原因是：本年度增加恰其库木管理区2村示范村乡村建设项目、恰其库木管理区土地碎片化整理项目、恰其库木管理区种植业基地配套建设项目。</w:t>
      </w:r>
      <w:r>
        <w:rPr>
          <w:rFonts w:ascii="仿宋_GB2312" w:hAnsi="仿宋_GB2312" w:eastAsia="仿宋_GB2312"/>
          <w:b/>
          <w:sz w:val="32"/>
        </w:rPr>
        <w:t>与年初预算相比,</w:t>
      </w:r>
      <w:r>
        <w:rPr>
          <w:rFonts w:ascii="仿宋_GB2312" w:hAnsi="仿宋_GB2312" w:eastAsia="仿宋_GB2312"/>
          <w:b w:val="0"/>
          <w:sz w:val="32"/>
        </w:rPr>
        <w:t>年初预算数1,209.27万元，决算数2,427.66万元，预决算差异率100.75%，主要原因是：年中追加人员工资、社保、公积金基数调增，增加2村乡村示范村建设项目、种植业基地配套建设项目、土地碎片化整理项目和核桃高产园建设项目。</w:t>
      </w:r>
    </w:p>
    <w:p w14:paraId="065C1D60">
      <w:pPr>
        <w:spacing w:line="640" w:lineRule="exact"/>
        <w:ind w:firstLine="640"/>
        <w:jc w:val="both"/>
        <w:outlineLvl w:val="3"/>
      </w:pPr>
      <w:r>
        <w:rPr>
          <w:rFonts w:ascii="楷体_GB2312" w:hAnsi="楷体_GB2312" w:eastAsia="楷体_GB2312"/>
          <w:b/>
          <w:sz w:val="32"/>
        </w:rPr>
        <w:t>（二）一般公共预算财政拨款支出决算结构情况</w:t>
      </w:r>
    </w:p>
    <w:p w14:paraId="3FD10B9F">
      <w:pPr>
        <w:spacing w:line="580" w:lineRule="exact"/>
        <w:ind w:firstLine="640"/>
        <w:jc w:val="both"/>
      </w:pPr>
      <w:r>
        <w:rPr>
          <w:rFonts w:ascii="仿宋_GB2312" w:hAnsi="仿宋_GB2312" w:eastAsia="仿宋_GB2312"/>
          <w:b w:val="0"/>
          <w:sz w:val="32"/>
        </w:rPr>
        <w:t>1.一般公共服务支出(类)905.27万元,占37.29%。</w:t>
      </w:r>
    </w:p>
    <w:p w14:paraId="72C96243">
      <w:pPr>
        <w:spacing w:line="580" w:lineRule="exact"/>
        <w:ind w:firstLine="640"/>
        <w:jc w:val="both"/>
      </w:pPr>
      <w:r>
        <w:rPr>
          <w:rFonts w:ascii="仿宋_GB2312" w:hAnsi="仿宋_GB2312" w:eastAsia="仿宋_GB2312"/>
          <w:b w:val="0"/>
          <w:sz w:val="32"/>
        </w:rPr>
        <w:t>2.公共安全支出(类)1.98万元,占0.08%。</w:t>
      </w:r>
    </w:p>
    <w:p w14:paraId="183EB5E4">
      <w:pPr>
        <w:spacing w:line="580" w:lineRule="exact"/>
        <w:ind w:firstLine="640"/>
        <w:jc w:val="both"/>
      </w:pPr>
      <w:r>
        <w:rPr>
          <w:rFonts w:ascii="仿宋_GB2312" w:hAnsi="仿宋_GB2312" w:eastAsia="仿宋_GB2312"/>
          <w:b w:val="0"/>
          <w:sz w:val="32"/>
        </w:rPr>
        <w:t>3.文化旅游体育与传媒支出(类)3.17万元,占0.13%。</w:t>
      </w:r>
    </w:p>
    <w:p w14:paraId="459D4EEB">
      <w:pPr>
        <w:spacing w:line="580" w:lineRule="exact"/>
        <w:ind w:firstLine="640"/>
        <w:jc w:val="both"/>
      </w:pPr>
      <w:r>
        <w:rPr>
          <w:rFonts w:ascii="仿宋_GB2312" w:hAnsi="仿宋_GB2312" w:eastAsia="仿宋_GB2312"/>
          <w:b w:val="0"/>
          <w:sz w:val="32"/>
        </w:rPr>
        <w:t>4.社会保障和就业支出(类)118.50万元,占4.88%。</w:t>
      </w:r>
    </w:p>
    <w:p w14:paraId="384B3A79">
      <w:pPr>
        <w:spacing w:line="580" w:lineRule="exact"/>
        <w:ind w:firstLine="640"/>
        <w:jc w:val="both"/>
      </w:pPr>
      <w:r>
        <w:rPr>
          <w:rFonts w:ascii="仿宋_GB2312" w:hAnsi="仿宋_GB2312" w:eastAsia="仿宋_GB2312"/>
          <w:b w:val="0"/>
          <w:sz w:val="32"/>
        </w:rPr>
        <w:t>5.卫生健康支出(类)56.44万元,占2.32%。</w:t>
      </w:r>
    </w:p>
    <w:p w14:paraId="4731B22C">
      <w:pPr>
        <w:spacing w:line="580" w:lineRule="exact"/>
        <w:ind w:firstLine="640"/>
        <w:jc w:val="both"/>
      </w:pPr>
      <w:r>
        <w:rPr>
          <w:rFonts w:ascii="仿宋_GB2312" w:hAnsi="仿宋_GB2312" w:eastAsia="仿宋_GB2312"/>
          <w:b w:val="0"/>
          <w:sz w:val="32"/>
        </w:rPr>
        <w:t>6.农林水支出(类)1,254.80万元,占51.69%。</w:t>
      </w:r>
    </w:p>
    <w:p w14:paraId="26804DA8">
      <w:pPr>
        <w:spacing w:line="580" w:lineRule="exact"/>
        <w:ind w:firstLine="640"/>
        <w:jc w:val="both"/>
      </w:pPr>
      <w:r>
        <w:rPr>
          <w:rFonts w:ascii="仿宋_GB2312" w:hAnsi="仿宋_GB2312" w:eastAsia="仿宋_GB2312"/>
          <w:b w:val="0"/>
          <w:sz w:val="32"/>
        </w:rPr>
        <w:t>7.交通运输支出(类)0.24万元,占0.01%。</w:t>
      </w:r>
    </w:p>
    <w:p w14:paraId="76B428A7">
      <w:pPr>
        <w:spacing w:line="580" w:lineRule="exact"/>
        <w:ind w:firstLine="640"/>
        <w:jc w:val="both"/>
      </w:pPr>
      <w:r>
        <w:rPr>
          <w:rFonts w:ascii="仿宋_GB2312" w:hAnsi="仿宋_GB2312" w:eastAsia="仿宋_GB2312"/>
          <w:b w:val="0"/>
          <w:sz w:val="32"/>
        </w:rPr>
        <w:t>8.住房保障支出(类)87.26万元,占3.59%。</w:t>
      </w:r>
    </w:p>
    <w:p w14:paraId="4B4C0DF7">
      <w:pPr>
        <w:spacing w:line="640" w:lineRule="exact"/>
        <w:ind w:firstLine="640"/>
        <w:jc w:val="both"/>
        <w:outlineLvl w:val="3"/>
      </w:pPr>
      <w:r>
        <w:rPr>
          <w:rFonts w:ascii="楷体_GB2312" w:hAnsi="楷体_GB2312" w:eastAsia="楷体_GB2312"/>
          <w:b/>
          <w:sz w:val="32"/>
        </w:rPr>
        <w:t>（三）一般公共预算财政拨款支出决算具体情况</w:t>
      </w:r>
    </w:p>
    <w:p w14:paraId="44202A5F">
      <w:pPr>
        <w:spacing w:line="580" w:lineRule="exact"/>
        <w:ind w:firstLine="640"/>
        <w:jc w:val="both"/>
      </w:pPr>
      <w:r>
        <w:rPr>
          <w:rFonts w:ascii="仿宋_GB2312" w:hAnsi="仿宋_GB2312" w:eastAsia="仿宋_GB2312"/>
          <w:b w:val="0"/>
          <w:sz w:val="32"/>
        </w:rPr>
        <w:t>1.一般公共服务支出(类)人大事务(款)代表工作(项):支出决算数为0.76万元，比上年决算减少0.35万元，下降31.53%,主要原因是：本年度减少自治区人大代表活动经费。</w:t>
      </w:r>
    </w:p>
    <w:p w14:paraId="6ACCA612">
      <w:pPr>
        <w:spacing w:line="580" w:lineRule="exact"/>
        <w:ind w:firstLine="640"/>
        <w:jc w:val="both"/>
      </w:pPr>
      <w:r>
        <w:rPr>
          <w:rFonts w:ascii="仿宋_GB2312" w:hAnsi="仿宋_GB2312" w:eastAsia="仿宋_GB2312"/>
          <w:b w:val="0"/>
          <w:sz w:val="32"/>
        </w:rPr>
        <w:t>2.一般公共服务支出(类)人大事务(款)其他人大事务支出(项):支出决算数为0.00万元，比上年决算减少0.18万元，下降100.00%,主要原因是：本年度减少自治区人大活动经费项目。</w:t>
      </w:r>
    </w:p>
    <w:p w14:paraId="2FE80874">
      <w:pPr>
        <w:spacing w:line="580" w:lineRule="exact"/>
        <w:ind w:firstLine="640"/>
        <w:jc w:val="both"/>
      </w:pPr>
      <w:r>
        <w:rPr>
          <w:rFonts w:ascii="仿宋_GB2312" w:hAnsi="仿宋_GB2312" w:eastAsia="仿宋_GB2312"/>
          <w:b w:val="0"/>
          <w:sz w:val="32"/>
        </w:rPr>
        <w:t>3.一般公共服务支出(类)政府办公厅（室）及相关机构事务(款)行政运行(项):支出决算数为798.52万元，比上年决算减少45.51万元，下降5.39%,主要原因是：本年在职人员减少，相应人员经费较上年减少。</w:t>
      </w:r>
    </w:p>
    <w:p w14:paraId="3E0F4330">
      <w:pPr>
        <w:spacing w:line="580" w:lineRule="exact"/>
        <w:ind w:firstLine="640"/>
        <w:jc w:val="both"/>
      </w:pPr>
      <w:r>
        <w:rPr>
          <w:rFonts w:ascii="仿宋_GB2312" w:hAnsi="仿宋_GB2312" w:eastAsia="仿宋_GB2312"/>
          <w:b w:val="0"/>
          <w:sz w:val="32"/>
        </w:rPr>
        <w:t>4.一般公共服务支出(类)政府办公厅（室）及相关机构事务(款)一般行政管理事务(项):支出决算数为33.10万元，比上年决算增加13.10万元，增长65.50%,主要原因是：本年增加2024年乡镇工作经费项目。</w:t>
      </w:r>
    </w:p>
    <w:p w14:paraId="138B4522">
      <w:pPr>
        <w:spacing w:line="580" w:lineRule="exact"/>
        <w:ind w:firstLine="640"/>
        <w:jc w:val="both"/>
      </w:pPr>
      <w:r>
        <w:rPr>
          <w:rFonts w:ascii="仿宋_GB2312" w:hAnsi="仿宋_GB2312" w:eastAsia="仿宋_GB2312"/>
          <w:b w:val="0"/>
          <w:sz w:val="32"/>
        </w:rPr>
        <w:t>5.一般公共服务支出(类)组织事务(款)其他组织事务支出(项):支出决算数为71.89万元，比上年决算减少0.55万元，下降0.76%,主要原因是：本年减少恰其库木管理区2023年为民办实事经费。</w:t>
      </w:r>
    </w:p>
    <w:p w14:paraId="3344F41E">
      <w:pPr>
        <w:spacing w:line="580" w:lineRule="exact"/>
        <w:ind w:firstLine="640"/>
        <w:jc w:val="both"/>
      </w:pPr>
      <w:r>
        <w:rPr>
          <w:rFonts w:ascii="仿宋_GB2312" w:hAnsi="仿宋_GB2312" w:eastAsia="仿宋_GB2312"/>
          <w:b w:val="0"/>
          <w:sz w:val="32"/>
        </w:rPr>
        <w:t>6.一般公共服务支出(类)统战事务(款)宗教事务(项):支出决算数为1.00万元，比上年决算增加1.00万元，增长100.00%,主要原因是：2024年管委会经费项目从其他统战事务支出(项)调整为宗教事务(项)列支，导致经费增加。</w:t>
      </w:r>
    </w:p>
    <w:p w14:paraId="2008DBAE">
      <w:pPr>
        <w:spacing w:line="580" w:lineRule="exact"/>
        <w:ind w:firstLine="640"/>
        <w:jc w:val="both"/>
      </w:pPr>
      <w:r>
        <w:rPr>
          <w:rFonts w:ascii="仿宋_GB2312" w:hAnsi="仿宋_GB2312" w:eastAsia="仿宋_GB2312"/>
          <w:b w:val="0"/>
          <w:sz w:val="32"/>
        </w:rPr>
        <w:t>7.一般公共服务支出(类)统战事务(款)其他统战事务支出(项):支出决算数为0.00万元，比上年决算减少3.50万元，下降100.00%,主要原因是：2024年管委会经费项目从其他统战事务支出(项)调整为宗教事务(项)列支，导致经费减少。</w:t>
      </w:r>
    </w:p>
    <w:p w14:paraId="1DF52C6F">
      <w:pPr>
        <w:spacing w:line="580" w:lineRule="exact"/>
        <w:ind w:firstLine="640"/>
        <w:jc w:val="both"/>
      </w:pPr>
      <w:r>
        <w:rPr>
          <w:rFonts w:ascii="仿宋_GB2312" w:hAnsi="仿宋_GB2312" w:eastAsia="仿宋_GB2312"/>
          <w:b w:val="0"/>
          <w:sz w:val="32"/>
        </w:rPr>
        <w:t>8.公共安全支出(类)其他公共安全支出(款)其他公共安全支出(项):支出决算数为1.98万元，比上年决算减少5.02万元，下降71.71%,主要原因是：本年减少乡镇信息奖励经费。</w:t>
      </w:r>
    </w:p>
    <w:p w14:paraId="1EF22155">
      <w:pPr>
        <w:spacing w:line="580" w:lineRule="exact"/>
        <w:ind w:firstLine="640"/>
        <w:jc w:val="both"/>
      </w:pPr>
      <w:r>
        <w:rPr>
          <w:rFonts w:ascii="仿宋_GB2312" w:hAnsi="仿宋_GB2312" w:eastAsia="仿宋_GB2312"/>
          <w:b w:val="0"/>
          <w:sz w:val="32"/>
        </w:rPr>
        <w:t>9.文化旅游体育与传媒支出(类)文化和旅游(款)其他文化和旅游支出(项):支出决算数为0.00万元，比上年决算减少5.00万元，下降100.00%,主要原因是：2024年自治区补助地方文化项目减少，相关经费减少。</w:t>
      </w:r>
    </w:p>
    <w:p w14:paraId="1AE532A1">
      <w:pPr>
        <w:spacing w:line="580" w:lineRule="exact"/>
        <w:ind w:firstLine="640"/>
        <w:jc w:val="both"/>
      </w:pPr>
      <w:r>
        <w:rPr>
          <w:rFonts w:ascii="仿宋_GB2312" w:hAnsi="仿宋_GB2312" w:eastAsia="仿宋_GB2312"/>
          <w:b w:val="0"/>
          <w:sz w:val="32"/>
        </w:rPr>
        <w:t>10.文化旅游体育与传媒支出(类)其他文化旅游体育与传媒支出(款)其他文化旅游体育与传媒支出(项):支出决算数为3.17万元，比上年决算减少0.19万元，下降5.65%,主要原因是：本年文化站免费开放补助资金较上年减少。</w:t>
      </w:r>
    </w:p>
    <w:p w14:paraId="2C78F770">
      <w:pPr>
        <w:spacing w:line="580" w:lineRule="exact"/>
        <w:ind w:firstLine="640"/>
        <w:jc w:val="both"/>
      </w:pPr>
      <w:r>
        <w:rPr>
          <w:rFonts w:ascii="仿宋_GB2312" w:hAnsi="仿宋_GB2312" w:eastAsia="仿宋_GB2312"/>
          <w:b w:val="0"/>
          <w:sz w:val="32"/>
        </w:rPr>
        <w:t>11.社会保障和就业支出(类)民政管理事务(款)其他民政管理事务支出(项):支出决算数为5.00万元，比上年决算增加0.00万元，增长0.00%,主要原因是：2024年自治区农村幸福大院补助资金与上年一致，无变化。</w:t>
      </w:r>
    </w:p>
    <w:p w14:paraId="346C1ED6">
      <w:pPr>
        <w:spacing w:line="580" w:lineRule="exact"/>
        <w:ind w:firstLine="640"/>
        <w:jc w:val="both"/>
      </w:pPr>
      <w:r>
        <w:rPr>
          <w:rFonts w:ascii="仿宋_GB2312" w:hAnsi="仿宋_GB2312" w:eastAsia="仿宋_GB2312"/>
          <w:b w:val="0"/>
          <w:sz w:val="32"/>
        </w:rPr>
        <w:t>12.社会保障和就业支出(类)行政事业单位养老支出(款)机关事业单位基本养老保险缴费支出(项):支出决算数为106.13万元，比上年决算增加28.92万元，增长37.46%,主要原因是：本年在职人员工资基数调增，养老缴费基数上涨，相应支出增加。</w:t>
      </w:r>
    </w:p>
    <w:p w14:paraId="75EE7389">
      <w:pPr>
        <w:spacing w:line="580" w:lineRule="exact"/>
        <w:ind w:firstLine="640"/>
        <w:jc w:val="both"/>
      </w:pPr>
      <w:r>
        <w:rPr>
          <w:rFonts w:ascii="仿宋_GB2312" w:hAnsi="仿宋_GB2312" w:eastAsia="仿宋_GB2312"/>
          <w:b w:val="0"/>
          <w:sz w:val="32"/>
        </w:rPr>
        <w:t>13.社会保障和就业支出(类)行政事业单位养老支出(款)机关事业单位职业年金缴费支出(项):支出决算数为7.38万元，比上年决算增加7.38万元，增长100.00%,主要原因是：本年度有人员调离，单位职业年金缴费支出增加。</w:t>
      </w:r>
    </w:p>
    <w:p w14:paraId="11EE0609">
      <w:pPr>
        <w:spacing w:line="580" w:lineRule="exact"/>
        <w:ind w:firstLine="640"/>
        <w:jc w:val="both"/>
      </w:pPr>
      <w:r>
        <w:rPr>
          <w:rFonts w:ascii="仿宋_GB2312" w:hAnsi="仿宋_GB2312" w:eastAsia="仿宋_GB2312"/>
          <w:b w:val="0"/>
          <w:sz w:val="32"/>
        </w:rPr>
        <w:t>14.卫生健康支出(类)行政事业单位医疗(款)行政单位医疗(项):支出决算数为45.10万元，比上年决算增加12.29万元，增长37.46%,主要原因是：本年在职人员工资基数调增，医疗缴费基数上涨，相应支出增加。</w:t>
      </w:r>
    </w:p>
    <w:p w14:paraId="0A3F01E9">
      <w:pPr>
        <w:spacing w:line="580" w:lineRule="exact"/>
        <w:ind w:firstLine="640"/>
        <w:jc w:val="both"/>
      </w:pPr>
      <w:r>
        <w:rPr>
          <w:rFonts w:ascii="仿宋_GB2312" w:hAnsi="仿宋_GB2312" w:eastAsia="仿宋_GB2312"/>
          <w:b w:val="0"/>
          <w:sz w:val="32"/>
        </w:rPr>
        <w:t>15.卫生健康支出(类)行政事业单位医疗(款)公务员医疗补助(项):支出决算数为11.34万元，比上年决算增加2.20万元，增长24.07%,主要原因是：本年在职人员工资基数调增，医疗缴费基数上涨，相应支出增加。</w:t>
      </w:r>
    </w:p>
    <w:p w14:paraId="38F7F801">
      <w:pPr>
        <w:spacing w:line="580" w:lineRule="exact"/>
        <w:ind w:firstLine="640"/>
        <w:jc w:val="both"/>
      </w:pPr>
      <w:r>
        <w:rPr>
          <w:rFonts w:ascii="仿宋_GB2312" w:hAnsi="仿宋_GB2312" w:eastAsia="仿宋_GB2312"/>
          <w:b w:val="0"/>
          <w:sz w:val="32"/>
        </w:rPr>
        <w:t>16.农林水支出(类)农业农村(款)行政运行(项):支出决算数为0.00万元，比上年决算减少36.37万元，下降100.00%,主要原因是：本年</w:t>
      </w:r>
      <w:r>
        <w:rPr>
          <w:rFonts w:hint="eastAsia" w:ascii="仿宋_GB2312" w:hAnsi="仿宋_GB2312" w:eastAsia="仿宋_GB2312"/>
          <w:b w:val="0"/>
          <w:sz w:val="32"/>
          <w:lang w:val="en-US" w:eastAsia="zh-CN"/>
        </w:rPr>
        <w:t>部分</w:t>
      </w:r>
      <w:r>
        <w:rPr>
          <w:rFonts w:ascii="仿宋_GB2312" w:hAnsi="仿宋_GB2312" w:eastAsia="仿宋_GB2312"/>
          <w:b w:val="0"/>
          <w:sz w:val="32"/>
        </w:rPr>
        <w:t>在职人员津贴补贴由此科目调整至政府办公厅（室）及相关机构事务（款）行政运行科目列支，导致经费较上年减少。</w:t>
      </w:r>
    </w:p>
    <w:p w14:paraId="24993D8E">
      <w:pPr>
        <w:spacing w:line="580" w:lineRule="exact"/>
        <w:ind w:firstLine="640"/>
        <w:jc w:val="both"/>
      </w:pPr>
      <w:r>
        <w:rPr>
          <w:rFonts w:ascii="仿宋_GB2312" w:hAnsi="仿宋_GB2312" w:eastAsia="仿宋_GB2312"/>
          <w:b w:val="0"/>
          <w:sz w:val="32"/>
        </w:rPr>
        <w:t>17.农林水支出(类)巩固脱贫攻坚成果衔接乡村振兴(款)生产发展(项):支出决算数为1,254.80万元，比上年决算增加461.16万元，增长58.11%,主要原因是：本年度项目增加恰其库木管理区2村示范村乡村建设项目、恰其库木管理区土地碎片化整理项目、恰其库木管理区种植业基地配套建设项目。</w:t>
      </w:r>
    </w:p>
    <w:p w14:paraId="7F927B0F">
      <w:pPr>
        <w:spacing w:line="580" w:lineRule="exact"/>
        <w:ind w:firstLine="640"/>
        <w:jc w:val="both"/>
      </w:pPr>
      <w:r>
        <w:rPr>
          <w:rFonts w:ascii="仿宋_GB2312" w:hAnsi="仿宋_GB2312" w:eastAsia="仿宋_GB2312"/>
          <w:b w:val="0"/>
          <w:sz w:val="32"/>
        </w:rPr>
        <w:t>18.交通运输支出(类)邮政业支出(款)邮政普遍服务与特殊服务(项):支出决算数为0.24万元，比上年决算增加0.00万元，增长0.00%,主要原因是：2024年农牧区投递员专项补贴资金与上年一致，无变化。</w:t>
      </w:r>
    </w:p>
    <w:p w14:paraId="75053C4D">
      <w:pPr>
        <w:spacing w:line="580" w:lineRule="exact"/>
        <w:ind w:firstLine="640"/>
        <w:jc w:val="both"/>
      </w:pPr>
      <w:r>
        <w:rPr>
          <w:rFonts w:ascii="仿宋_GB2312" w:hAnsi="仿宋_GB2312" w:eastAsia="仿宋_GB2312"/>
          <w:b w:val="0"/>
          <w:sz w:val="32"/>
        </w:rPr>
        <w:t>19.住房保障支出(类)住房改革支出(款)住房公积金(项):支出决算数为87.26万元，比上年决算增加29.40万元，增长50.81%,主要原因是：本年在职人员工资基数调增，公积金缴费基数上涨，相应支出增加。</w:t>
      </w:r>
    </w:p>
    <w:p w14:paraId="593D2F6A">
      <w:pPr>
        <w:spacing w:line="640" w:lineRule="exact"/>
        <w:ind w:firstLine="640"/>
        <w:jc w:val="both"/>
        <w:outlineLvl w:val="2"/>
      </w:pPr>
      <w:r>
        <w:rPr>
          <w:rFonts w:ascii="黑体" w:hAnsi="黑体" w:eastAsia="黑体"/>
          <w:sz w:val="32"/>
        </w:rPr>
        <w:t>六、一般公共预算财政拨款基本支出决算情况说明</w:t>
      </w:r>
    </w:p>
    <w:p w14:paraId="3EB25F36">
      <w:pPr>
        <w:spacing w:line="580" w:lineRule="exact"/>
        <w:ind w:firstLine="640"/>
        <w:jc w:val="both"/>
      </w:pPr>
      <w:r>
        <w:rPr>
          <w:rFonts w:ascii="仿宋_GB2312" w:hAnsi="仿宋_GB2312" w:eastAsia="仿宋_GB2312"/>
          <w:b w:val="0"/>
          <w:sz w:val="32"/>
        </w:rPr>
        <w:t>2024年度一般公共预算财政拨款基本支出1,055.73万元，其中：</w:t>
      </w:r>
      <w:r>
        <w:rPr>
          <w:rFonts w:ascii="仿宋_GB2312" w:hAnsi="仿宋_GB2312" w:eastAsia="仿宋_GB2312"/>
          <w:b/>
          <w:sz w:val="32"/>
        </w:rPr>
        <w:t>人员经费1,024.34万元，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w:t>
      </w:r>
    </w:p>
    <w:p w14:paraId="70400571">
      <w:pPr>
        <w:spacing w:line="580" w:lineRule="exact"/>
        <w:ind w:firstLine="640"/>
        <w:jc w:val="both"/>
      </w:pPr>
      <w:r>
        <w:rPr>
          <w:rFonts w:ascii="仿宋_GB2312" w:hAnsi="仿宋_GB2312" w:eastAsia="仿宋_GB2312"/>
          <w:b/>
          <w:sz w:val="32"/>
        </w:rPr>
        <w:t>公用经费31.39万元，</w:t>
      </w:r>
      <w:r>
        <w:rPr>
          <w:rFonts w:ascii="仿宋_GB2312" w:hAnsi="仿宋_GB2312" w:eastAsia="仿宋_GB2312"/>
          <w:b w:val="0"/>
          <w:sz w:val="32"/>
        </w:rPr>
        <w:t>包括：办公费、电费、邮电费、取暖费、公务用车运行维护费。</w:t>
      </w:r>
    </w:p>
    <w:p w14:paraId="0FB2F440">
      <w:pPr>
        <w:spacing w:line="640" w:lineRule="exact"/>
        <w:ind w:firstLine="640"/>
        <w:jc w:val="both"/>
        <w:outlineLvl w:val="2"/>
      </w:pPr>
      <w:r>
        <w:rPr>
          <w:rFonts w:ascii="黑体" w:hAnsi="黑体" w:eastAsia="黑体"/>
          <w:sz w:val="32"/>
        </w:rPr>
        <w:t>七、政府性基金预算财政拨款收入支出决算情况说明</w:t>
      </w:r>
    </w:p>
    <w:p w14:paraId="30B27E1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D84695C">
      <w:pPr>
        <w:spacing w:line="640" w:lineRule="exact"/>
        <w:ind w:firstLine="640"/>
        <w:jc w:val="both"/>
        <w:outlineLvl w:val="2"/>
      </w:pPr>
      <w:r>
        <w:rPr>
          <w:rFonts w:ascii="黑体" w:hAnsi="黑体" w:eastAsia="黑体"/>
          <w:sz w:val="32"/>
        </w:rPr>
        <w:t>八、国有资本经营预算财政拨款收入支出决算情况说明</w:t>
      </w:r>
    </w:p>
    <w:p w14:paraId="65DCA33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ECF1C3A">
      <w:pPr>
        <w:spacing w:line="640" w:lineRule="exact"/>
        <w:ind w:firstLine="640"/>
        <w:jc w:val="both"/>
        <w:outlineLvl w:val="2"/>
      </w:pPr>
      <w:r>
        <w:rPr>
          <w:rFonts w:ascii="黑体" w:hAnsi="黑体" w:eastAsia="黑体"/>
          <w:sz w:val="32"/>
        </w:rPr>
        <w:t>九、财政拨款“三公”经费支出决算情况说明</w:t>
      </w:r>
    </w:p>
    <w:p w14:paraId="673E5B21">
      <w:pPr>
        <w:spacing w:line="580" w:lineRule="exact"/>
        <w:ind w:firstLine="640"/>
        <w:jc w:val="both"/>
      </w:pPr>
      <w:r>
        <w:rPr>
          <w:rFonts w:ascii="仿宋_GB2312" w:hAnsi="仿宋_GB2312" w:eastAsia="仿宋_GB2312"/>
          <w:b/>
          <w:sz w:val="32"/>
        </w:rPr>
        <w:t>2024年度财政拨款“三公”经费支出4.13万元，</w:t>
      </w:r>
      <w:r>
        <w:rPr>
          <w:rFonts w:ascii="仿宋_GB2312" w:hAnsi="仿宋_GB2312" w:eastAsia="仿宋_GB2312"/>
          <w:b w:val="0"/>
          <w:sz w:val="32"/>
        </w:rPr>
        <w:t>比上年减少0.80万元，下降16.23%，主要原因是：严格执行</w:t>
      </w:r>
      <w:r>
        <w:rPr>
          <w:rFonts w:hint="eastAsia" w:ascii="仿宋_GB2312" w:hAnsi="仿宋_GB2312" w:eastAsia="仿宋_GB2312"/>
          <w:b w:val="0"/>
          <w:sz w:val="32"/>
          <w:lang w:eastAsia="zh-CN"/>
        </w:rPr>
        <w:t>中央八项规定</w:t>
      </w:r>
      <w:r>
        <w:rPr>
          <w:rFonts w:ascii="仿宋_GB2312" w:hAnsi="仿宋_GB2312" w:eastAsia="仿宋_GB2312"/>
          <w:b w:val="0"/>
          <w:sz w:val="32"/>
        </w:rPr>
        <w:t>，厉行节约，减少公务用车运行维护费。其中：因公出国（境）费支出0.00万元，占0.00%，比上年增加0.00万元，增长0.00%，主要原因是：2023年与2024年均未安排因公出国（境）费支出。公务用车购置及运行维护费支出4.13万元，占100.00%，比上年减少0.80万元，下降16.23%，主要原因是：严格执行</w:t>
      </w:r>
      <w:r>
        <w:rPr>
          <w:rFonts w:hint="eastAsia" w:ascii="仿宋_GB2312" w:hAnsi="仿宋_GB2312" w:eastAsia="仿宋_GB2312"/>
          <w:b w:val="0"/>
          <w:sz w:val="32"/>
          <w:lang w:eastAsia="zh-CN"/>
        </w:rPr>
        <w:t>中央八项规定</w:t>
      </w:r>
      <w:r>
        <w:rPr>
          <w:rFonts w:ascii="仿宋_GB2312" w:hAnsi="仿宋_GB2312" w:eastAsia="仿宋_GB2312"/>
          <w:b w:val="0"/>
          <w:sz w:val="32"/>
        </w:rPr>
        <w:t>，厉行节约，减少公务用车运行维护费。公务接待费支出0.00万元，占0.00%，比上年增加0.00万元，增长0.00%，主要原因是：2023年与2024年均未安排公务接待费支出。</w:t>
      </w:r>
    </w:p>
    <w:p w14:paraId="2B45105C">
      <w:pPr>
        <w:spacing w:line="580" w:lineRule="exact"/>
        <w:ind w:firstLine="640"/>
        <w:jc w:val="both"/>
      </w:pPr>
      <w:r>
        <w:rPr>
          <w:rFonts w:ascii="仿宋_GB2312" w:hAnsi="仿宋_GB2312" w:eastAsia="仿宋_GB2312"/>
          <w:b/>
          <w:sz w:val="32"/>
        </w:rPr>
        <w:t>具体情况如下：</w:t>
      </w:r>
    </w:p>
    <w:p w14:paraId="6825A91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47DBA7D">
      <w:pPr>
        <w:spacing w:line="580" w:lineRule="exact"/>
        <w:ind w:firstLine="640"/>
        <w:jc w:val="both"/>
      </w:pPr>
      <w:r>
        <w:rPr>
          <w:rFonts w:ascii="仿宋_GB2312" w:hAnsi="仿宋_GB2312" w:eastAsia="仿宋_GB2312"/>
          <w:b w:val="0"/>
          <w:sz w:val="32"/>
        </w:rPr>
        <w:t>公务用车购置及运行维护费4.13万元，其中：公务用车购置费0.00万元，公务用车运行维护费4.13万元。公务用车运行维护费开支内容包括车辆加油费、维修费、保险费、审车费、过路费。公务用车购置数0辆，公务用车保有量4辆。国有资产占用情况中固定资产车辆4辆，与公务用车保有量差异原因是：本单位固定资产车辆与公务用车保有量一致无差异。</w:t>
      </w:r>
    </w:p>
    <w:p w14:paraId="41A6343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859ADC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4.13万元，决算数4.13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4.13万元，决算数4.13万元，预决算差异率0.00%，主要原因是：严格按照预算执行，预决算无差异。公务接待费全年预算数0.00万元，决算数0.00万元，预决算差异率0.00%，主要原因是：本单位无公务接待费。</w:t>
      </w:r>
    </w:p>
    <w:p w14:paraId="2B15F2D2">
      <w:pPr>
        <w:spacing w:line="640" w:lineRule="exact"/>
        <w:ind w:firstLine="640"/>
        <w:jc w:val="both"/>
        <w:outlineLvl w:val="2"/>
      </w:pPr>
      <w:r>
        <w:rPr>
          <w:rFonts w:ascii="黑体" w:hAnsi="黑体" w:eastAsia="黑体"/>
          <w:sz w:val="32"/>
        </w:rPr>
        <w:t>十、其他重要事项的情况说明</w:t>
      </w:r>
    </w:p>
    <w:p w14:paraId="5C8D8F26">
      <w:pPr>
        <w:spacing w:line="640" w:lineRule="exact"/>
        <w:ind w:firstLine="640"/>
        <w:jc w:val="both"/>
        <w:outlineLvl w:val="3"/>
      </w:pPr>
      <w:r>
        <w:rPr>
          <w:rFonts w:ascii="楷体_GB2312" w:hAnsi="楷体_GB2312" w:eastAsia="楷体_GB2312"/>
          <w:b/>
          <w:sz w:val="32"/>
        </w:rPr>
        <w:t>（一）机关运行经费及公用经费支出情况</w:t>
      </w:r>
    </w:p>
    <w:p w14:paraId="021C7F68">
      <w:pPr>
        <w:spacing w:line="580" w:lineRule="exact"/>
        <w:ind w:firstLine="640"/>
        <w:jc w:val="both"/>
      </w:pPr>
      <w:r>
        <w:rPr>
          <w:rFonts w:ascii="仿宋_GB2312" w:hAnsi="仿宋_GB2312" w:eastAsia="仿宋_GB2312"/>
          <w:b w:val="0"/>
          <w:sz w:val="32"/>
        </w:rPr>
        <w:t>2024年度叶城县恰其库木管理区（行政单位和参照公务员法管理事业单位）机关运行经费支出31.39万元，比上年增加11.77万元，增长59.99%，主要原因是：本年办公费、电费增加，导致公用经费增加。</w:t>
      </w:r>
    </w:p>
    <w:p w14:paraId="3DBC37C6">
      <w:pPr>
        <w:spacing w:line="640" w:lineRule="exact"/>
        <w:ind w:firstLine="640"/>
        <w:jc w:val="both"/>
        <w:outlineLvl w:val="3"/>
      </w:pPr>
      <w:r>
        <w:rPr>
          <w:rFonts w:ascii="楷体_GB2312" w:hAnsi="楷体_GB2312" w:eastAsia="楷体_GB2312"/>
          <w:b/>
          <w:sz w:val="32"/>
        </w:rPr>
        <w:t>（二）政府采购情况</w:t>
      </w:r>
    </w:p>
    <w:p w14:paraId="29DA4BEC">
      <w:pPr>
        <w:spacing w:line="580" w:lineRule="exact"/>
        <w:ind w:firstLine="640"/>
        <w:jc w:val="both"/>
      </w:pPr>
      <w:r>
        <w:rPr>
          <w:rFonts w:ascii="仿宋_GB2312" w:hAnsi="仿宋_GB2312" w:eastAsia="仿宋_GB2312"/>
          <w:b w:val="0"/>
          <w:sz w:val="32"/>
        </w:rPr>
        <w:t>2024年度政府采购支出总额65.95万元，其中：政府采购货物支出25.75万元、政府采购工程支出0.00万元、政府采购服务支出40.20万元。</w:t>
      </w:r>
    </w:p>
    <w:p w14:paraId="7B522E16">
      <w:pPr>
        <w:spacing w:line="580" w:lineRule="exact"/>
        <w:ind w:firstLine="640"/>
        <w:jc w:val="both"/>
      </w:pPr>
      <w:r>
        <w:rPr>
          <w:rFonts w:ascii="仿宋_GB2312" w:hAnsi="仿宋_GB2312" w:eastAsia="仿宋_GB2312"/>
          <w:b w:val="0"/>
          <w:sz w:val="32"/>
        </w:rPr>
        <w:t>授予中小企业合同金额58.86万元，占政府采购支出总额的89.25%，其中：授予小微企业合同金额57.29万元，占政府采购支出总额的86.87%。</w:t>
      </w:r>
    </w:p>
    <w:p w14:paraId="0A772055">
      <w:pPr>
        <w:spacing w:line="640" w:lineRule="exact"/>
        <w:ind w:firstLine="640"/>
        <w:jc w:val="both"/>
        <w:outlineLvl w:val="3"/>
      </w:pPr>
      <w:r>
        <w:rPr>
          <w:rFonts w:ascii="楷体_GB2312" w:hAnsi="楷体_GB2312" w:eastAsia="楷体_GB2312"/>
          <w:b/>
          <w:sz w:val="32"/>
        </w:rPr>
        <w:t>（三）国有资产占用情况说明</w:t>
      </w:r>
    </w:p>
    <w:p w14:paraId="2F38B48D">
      <w:pPr>
        <w:spacing w:line="580" w:lineRule="exact"/>
        <w:ind w:firstLine="640"/>
        <w:jc w:val="both"/>
      </w:pPr>
      <w:r>
        <w:rPr>
          <w:rFonts w:ascii="仿宋_GB2312" w:hAnsi="仿宋_GB2312" w:eastAsia="仿宋_GB2312"/>
          <w:b w:val="0"/>
          <w:sz w:val="32"/>
        </w:rPr>
        <w:t>截至2024年12月31日，房屋9,240.00平方米，价值1,091.83万元。车辆4辆，价值33.60万元，其中：副部（省）级及以上领导用车0辆、主要负责人用车0辆、机要通信用车0辆、应急保障用车0辆、执法执勤用车0辆、特种专业技术用车0辆、离退休干部服务用车0辆、其他用车4辆，其他用车主要是：一般公务用车。单价100万元（含）以上设备（不含车辆）0台（套）。</w:t>
      </w:r>
    </w:p>
    <w:p w14:paraId="5252F6B3">
      <w:pPr>
        <w:spacing w:line="640" w:lineRule="exact"/>
        <w:ind w:firstLine="640"/>
        <w:jc w:val="both"/>
        <w:outlineLvl w:val="2"/>
      </w:pPr>
      <w:r>
        <w:rPr>
          <w:rFonts w:ascii="黑体" w:hAnsi="黑体" w:eastAsia="黑体"/>
          <w:sz w:val="32"/>
        </w:rPr>
        <w:t>十一、预算绩效的情况说明</w:t>
      </w:r>
    </w:p>
    <w:p w14:paraId="4F8BD84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2,436.95万元，实际执行总额2,436.95万元；预算绩效评价项目1个，全年预算数33.10万元，全年执行数33.10万元。预算绩效管理取得的成效：一是项目实施后的自评等过程的掌握，获得准确的实施情况；二是及时查漏补缺促使项目高效完成，提高了项目实施效果。发现的问题及原因：一是因项目前期确定资金使用范围内人员身份识别不精准等原因，导致项目资金支付滞缓，影响了项目实施的进度，造成了部分资金未及时充分发挥效益；二是支出资金时发现实际支出与年初预算数有偏差，未控制好支出费用，年初预算编制不充分、不准确、不合理的现象；三是对项目实施过程中遇到的实际问题准备不充分，导致项目招投标、采购、验收等工作存在不连贯、不熟练的现象，需加强相关人员的业务及操作能力培训。下一步改进措施：一是做好年初预算，避免年初预算编制不充分、不准确、不合理的现象出现；二是加强相关人员的培训，提升干部对绩效管理工作的认识；三是持续细化预算编制工作，认真</w:t>
      </w:r>
      <w:r>
        <w:rPr>
          <w:rFonts w:hint="eastAsia" w:ascii="仿宋_GB2312" w:hAnsi="仿宋_GB2312" w:eastAsia="仿宋_GB2312"/>
          <w:b w:val="0"/>
          <w:sz w:val="32"/>
          <w:lang w:eastAsia="zh-CN"/>
        </w:rPr>
        <w:t>做好</w:t>
      </w:r>
      <w:r>
        <w:rPr>
          <w:rFonts w:ascii="仿宋_GB2312" w:hAnsi="仿宋_GB2312" w:eastAsia="仿宋_GB2312"/>
          <w:b w:val="0"/>
          <w:sz w:val="32"/>
        </w:rPr>
        <w:t>年度年初预算的编制，通过加强乡政府各部门的预算管理意识，严格按照预算编制相关制度和要求进行预算编制，确保年初预算的全面性、准确性、科学性；四是持续加强财务管理，加快资金支付力度。在支付报账</w:t>
      </w:r>
      <w:r>
        <w:rPr>
          <w:rFonts w:hint="eastAsia" w:ascii="仿宋_GB2312" w:hAnsi="仿宋_GB2312" w:eastAsia="仿宋_GB2312"/>
          <w:b w:val="0"/>
          <w:sz w:val="32"/>
          <w:lang w:eastAsia="zh-CN"/>
        </w:rPr>
        <w:t>时</w:t>
      </w:r>
      <w:r>
        <w:rPr>
          <w:rFonts w:ascii="仿宋_GB2312" w:hAnsi="仿宋_GB2312" w:eastAsia="仿宋_GB2312"/>
          <w:b w:val="0"/>
          <w:sz w:val="32"/>
        </w:rPr>
        <w:t>，严格按照预算规定的项目范围、用途及使用规则审核支付，坚决杜绝超支现象的发生。具体附整体支出绩效自评表，项目支出绩效自评表和评价报告。</w:t>
      </w:r>
    </w:p>
    <w:p w14:paraId="72BCF4E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33EF7B2">
        <w:tblPrEx>
          <w:tblCellMar>
            <w:top w:w="0" w:type="dxa"/>
            <w:left w:w="108" w:type="dxa"/>
            <w:bottom w:w="0" w:type="dxa"/>
            <w:right w:w="108" w:type="dxa"/>
          </w:tblCellMar>
        </w:tblPrEx>
        <w:tc>
          <w:tcPr>
            <w:tcW w:w="8847" w:type="dxa"/>
            <w:gridSpan w:val="9"/>
            <w:vAlign w:val="center"/>
          </w:tcPr>
          <w:p w14:paraId="5A161FA6">
            <w:pPr>
              <w:jc w:val="center"/>
            </w:pPr>
            <w:r>
              <w:rPr>
                <w:rFonts w:ascii="宋体" w:hAnsi="宋体" w:eastAsia="宋体"/>
                <w:sz w:val="24"/>
              </w:rPr>
              <w:t>单位整体支出绩效自评表</w:t>
            </w:r>
          </w:p>
        </w:tc>
      </w:tr>
      <w:tr w14:paraId="73261703">
        <w:tblPrEx>
          <w:tblCellMar>
            <w:top w:w="0" w:type="dxa"/>
            <w:left w:w="108" w:type="dxa"/>
            <w:bottom w:w="0" w:type="dxa"/>
            <w:right w:w="108" w:type="dxa"/>
          </w:tblCellMar>
        </w:tblPrEx>
        <w:tc>
          <w:tcPr>
            <w:tcW w:w="8847" w:type="dxa"/>
            <w:gridSpan w:val="9"/>
            <w:vAlign w:val="center"/>
          </w:tcPr>
          <w:p w14:paraId="2D208213">
            <w:pPr>
              <w:jc w:val="center"/>
            </w:pPr>
            <w:r>
              <w:rPr>
                <w:rFonts w:ascii="宋体" w:hAnsi="宋体" w:eastAsia="宋体"/>
                <w:sz w:val="24"/>
              </w:rPr>
              <w:t>（2024年度）</w:t>
            </w:r>
          </w:p>
        </w:tc>
      </w:tr>
      <w:tr w14:paraId="1ACE560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D6E7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E543776">
            <w:pPr>
              <w:jc w:val="center"/>
            </w:pPr>
            <w:r>
              <w:rPr>
                <w:rFonts w:ascii="宋体" w:hAnsi="宋体" w:eastAsia="宋体"/>
                <w:sz w:val="16"/>
              </w:rPr>
              <w:t>叶城县恰其库木管理区</w:t>
            </w:r>
          </w:p>
        </w:tc>
      </w:tr>
      <w:tr w14:paraId="5E0276E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4D57D0">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4965C">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B432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12879">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D44D5">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E102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DE37D">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21378">
            <w:pPr>
              <w:jc w:val="center"/>
            </w:pPr>
            <w:r>
              <w:rPr>
                <w:rFonts w:ascii="宋体" w:hAnsi="宋体" w:eastAsia="宋体"/>
                <w:sz w:val="16"/>
              </w:rPr>
              <w:t>得分</w:t>
            </w:r>
          </w:p>
        </w:tc>
      </w:tr>
      <w:tr w14:paraId="555728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991C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3FAA5">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8F5F4">
            <w:pPr>
              <w:jc w:val="center"/>
            </w:pPr>
            <w:r>
              <w:rPr>
                <w:rFonts w:ascii="宋体" w:hAnsi="宋体" w:eastAsia="宋体"/>
                <w:sz w:val="16"/>
              </w:rPr>
              <w:t>1,209.28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AACD9">
            <w:pPr>
              <w:jc w:val="center"/>
            </w:pPr>
            <w:r>
              <w:rPr>
                <w:rFonts w:ascii="宋体" w:hAnsi="宋体" w:eastAsia="宋体"/>
                <w:sz w:val="16"/>
              </w:rPr>
              <w:t>2,436.95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66868">
            <w:pPr>
              <w:jc w:val="center"/>
            </w:pPr>
            <w:r>
              <w:rPr>
                <w:rFonts w:ascii="宋体" w:hAnsi="宋体" w:eastAsia="宋体"/>
                <w:sz w:val="16"/>
              </w:rPr>
              <w:t>2,436.95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F646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9B1C8">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BAD8D">
            <w:pPr>
              <w:jc w:val="center"/>
            </w:pPr>
            <w:r>
              <w:rPr>
                <w:rFonts w:ascii="宋体" w:hAnsi="宋体" w:eastAsia="宋体"/>
                <w:sz w:val="16"/>
              </w:rPr>
              <w:t>10</w:t>
            </w:r>
          </w:p>
        </w:tc>
      </w:tr>
      <w:tr w14:paraId="15D7D2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3B33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1A44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1878C">
            <w:pPr>
              <w:jc w:val="center"/>
            </w:pPr>
            <w:r>
              <w:rPr>
                <w:rFonts w:ascii="宋体" w:hAnsi="宋体" w:eastAsia="宋体"/>
                <w:sz w:val="16"/>
              </w:rPr>
              <w:t>17.03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DD427">
            <w:pPr>
              <w:jc w:val="center"/>
            </w:pPr>
            <w:r>
              <w:rPr>
                <w:rFonts w:ascii="宋体" w:hAnsi="宋体" w:eastAsia="宋体"/>
                <w:sz w:val="16"/>
              </w:rPr>
              <w:t>1,381.22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CE2AF">
            <w:pPr>
              <w:jc w:val="center"/>
            </w:pPr>
            <w:r>
              <w:rPr>
                <w:rFonts w:ascii="宋体" w:hAnsi="宋体" w:eastAsia="宋体"/>
                <w:sz w:val="16"/>
              </w:rPr>
              <w:t>1,381.22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1BF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A0B1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A0F53">
            <w:pPr>
              <w:jc w:val="center"/>
            </w:pPr>
            <w:r>
              <w:rPr>
                <w:rFonts w:ascii="宋体" w:hAnsi="宋体" w:eastAsia="宋体"/>
                <w:sz w:val="16"/>
              </w:rPr>
              <w:t>—</w:t>
            </w:r>
          </w:p>
        </w:tc>
      </w:tr>
      <w:tr w14:paraId="615A97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37EC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CD289">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E8341">
            <w:pPr>
              <w:jc w:val="center"/>
            </w:pPr>
            <w:r>
              <w:rPr>
                <w:rFonts w:ascii="宋体" w:hAnsi="宋体" w:eastAsia="宋体"/>
                <w:sz w:val="16"/>
              </w:rPr>
              <w:t>1,192.25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9C532">
            <w:pPr>
              <w:jc w:val="center"/>
            </w:pPr>
            <w:r>
              <w:rPr>
                <w:rFonts w:ascii="宋体" w:hAnsi="宋体" w:eastAsia="宋体"/>
                <w:sz w:val="16"/>
              </w:rPr>
              <w:t>1,055.73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7561B">
            <w:pPr>
              <w:jc w:val="center"/>
            </w:pPr>
            <w:r>
              <w:rPr>
                <w:rFonts w:ascii="宋体" w:hAnsi="宋体" w:eastAsia="宋体"/>
                <w:sz w:val="16"/>
              </w:rPr>
              <w:t>1,055.73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9EB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060B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58E6A">
            <w:pPr>
              <w:jc w:val="center"/>
            </w:pPr>
            <w:r>
              <w:rPr>
                <w:rFonts w:ascii="宋体" w:hAnsi="宋体" w:eastAsia="宋体"/>
                <w:sz w:val="16"/>
              </w:rPr>
              <w:t>—</w:t>
            </w:r>
          </w:p>
        </w:tc>
      </w:tr>
      <w:tr w14:paraId="244558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1089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12F36">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EBB9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11C4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2190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BC7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E35F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A5615">
            <w:pPr>
              <w:jc w:val="center"/>
            </w:pPr>
            <w:r>
              <w:rPr>
                <w:rFonts w:ascii="宋体" w:hAnsi="宋体" w:eastAsia="宋体"/>
                <w:sz w:val="16"/>
              </w:rPr>
              <w:t>—</w:t>
            </w:r>
          </w:p>
        </w:tc>
      </w:tr>
      <w:tr w14:paraId="19D14E9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79A33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F0333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EE9886">
            <w:pPr>
              <w:jc w:val="center"/>
            </w:pPr>
            <w:r>
              <w:rPr>
                <w:rFonts w:ascii="宋体" w:hAnsi="宋体" w:eastAsia="宋体"/>
                <w:sz w:val="16"/>
              </w:rPr>
              <w:t>实际完成情况</w:t>
            </w:r>
          </w:p>
        </w:tc>
      </w:tr>
      <w:tr w14:paraId="4959CA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8BDD8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6D5D89">
            <w:pPr>
              <w:jc w:val="both"/>
            </w:pPr>
            <w:r>
              <w:rPr>
                <w:rFonts w:ascii="宋体" w:hAnsi="宋体" w:eastAsia="宋体"/>
                <w:sz w:val="16"/>
              </w:rPr>
              <w:t>新疆维吾尔自治区喀什地区叶城县恰其库木管理区负责全片区党政行政管理事务。坚决贯彻执行党中央、国务院、自治区、地区及县委、县人民政府的有关方面政策指示，把党的各项优惠政策落实到实处，负责全区经济社会发展、社会事务管理、社会安全、基层组织建设等全面工作。以全面建设社会主义新农村为根本出发点，不断深化美丽乡村建设为总目标,不断铸牢全区经济社会发展基础，为全区各族群众提供社会服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274EFE">
            <w:pPr>
              <w:jc w:val="both"/>
            </w:pPr>
            <w:r>
              <w:rPr>
                <w:rFonts w:hint="eastAsia" w:ascii="宋体" w:hAnsi="宋体"/>
                <w:sz w:val="16"/>
                <w:lang w:eastAsia="zh-CN"/>
              </w:rPr>
              <w:t>截至</w:t>
            </w:r>
            <w:r>
              <w:rPr>
                <w:rFonts w:ascii="宋体" w:hAnsi="宋体" w:eastAsia="宋体"/>
                <w:sz w:val="16"/>
              </w:rPr>
              <w:t>2024年12月31日，已完成认真贯彻新时代党的路线、方针、政策，促进职能转变，巩固加强基层政权建设，建设健全适应新农村经济发展和社会稳定的体制机制。加快农村经济发展，解放思想，转变观念，不断增加农民收入，为壮大乡村经济发展创造有利条件。做好乡村发展规划，保障运转幸福大院1个，培育主导产业，推动产业结构调整，提高农业综合生产能力，嫁接核桃数量9000株。建立新型农业社会化服务体系，发展农民专业合作组织，提高农产品质量安全水平。稳定和完善农村基本经营制度，探索集体经济有效实现形式，引导农民珍惜土地，示范田面积2400亩，增加投入，耕地面积1.8万亩，发展集约经营。落实强农惠农措施，确保</w:t>
            </w:r>
            <w:bookmarkStart w:id="0" w:name="_GoBack"/>
            <w:bookmarkEnd w:id="0"/>
            <w:r>
              <w:rPr>
                <w:rFonts w:ascii="宋体" w:hAnsi="宋体" w:eastAsia="宋体"/>
                <w:sz w:val="16"/>
              </w:rPr>
              <w:t>农民受益。促进民营经济发展，引导农民多渠道就业，增加收入，不断提高生活水平。</w:t>
            </w:r>
          </w:p>
        </w:tc>
      </w:tr>
      <w:tr w14:paraId="1043176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BFDF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6301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1D8C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96542">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A9163">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5659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E9BF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E3472">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33F66">
            <w:pPr>
              <w:jc w:val="center"/>
            </w:pPr>
            <w:r>
              <w:rPr>
                <w:rFonts w:ascii="宋体" w:hAnsi="宋体" w:eastAsia="宋体"/>
                <w:sz w:val="16"/>
              </w:rPr>
              <w:t>得分</w:t>
            </w:r>
          </w:p>
        </w:tc>
      </w:tr>
      <w:tr w14:paraId="374F8E8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573F9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0CD06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B9659">
            <w:pPr>
              <w:jc w:val="center"/>
            </w:pPr>
            <w:r>
              <w:rPr>
                <w:rFonts w:ascii="宋体" w:hAnsi="宋体" w:eastAsia="宋体"/>
                <w:sz w:val="16"/>
              </w:rPr>
              <w:t>保障运转幸福大院数量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49F45">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0FBF5">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849A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9E135">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FA5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FB02D">
            <w:pPr>
              <w:jc w:val="center"/>
            </w:pPr>
            <w:r>
              <w:rPr>
                <w:rFonts w:ascii="宋体" w:hAnsi="宋体" w:eastAsia="宋体"/>
                <w:sz w:val="16"/>
              </w:rPr>
              <w:t>18</w:t>
            </w:r>
          </w:p>
        </w:tc>
      </w:tr>
      <w:tr w14:paraId="3BF5ED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C2A4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F207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02FEC">
            <w:pPr>
              <w:jc w:val="center"/>
            </w:pPr>
            <w:r>
              <w:rPr>
                <w:rFonts w:ascii="宋体" w:hAnsi="宋体" w:eastAsia="宋体"/>
                <w:sz w:val="16"/>
              </w:rPr>
              <w:t>保障职工工资人数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8A2C8">
            <w:pPr>
              <w:jc w:val="center"/>
            </w:pPr>
            <w:r>
              <w:rPr>
                <w:rFonts w:ascii="宋体" w:hAnsi="宋体" w:eastAsia="宋体"/>
                <w:sz w:val="16"/>
              </w:rPr>
              <w:t>&gt;=60人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E16D0">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E8A8D">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13D85">
            <w:pPr>
              <w:jc w:val="center"/>
            </w:pPr>
            <w:r>
              <w:rPr>
                <w:rFonts w:ascii="宋体" w:hAnsi="宋体" w:eastAsia="宋体"/>
                <w:sz w:val="16"/>
              </w:rPr>
              <w:t>=56人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5E1D7">
            <w:pPr>
              <w:jc w:val="center"/>
            </w:pPr>
            <w:r>
              <w:rPr>
                <w:rFonts w:ascii="宋体" w:hAnsi="宋体" w:eastAsia="宋体"/>
                <w:sz w:val="16"/>
              </w:rPr>
              <w:t>93.33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151DE">
            <w:pPr>
              <w:jc w:val="center"/>
            </w:pPr>
            <w:r>
              <w:rPr>
                <w:rFonts w:ascii="宋体" w:hAnsi="宋体" w:eastAsia="宋体"/>
                <w:sz w:val="16"/>
              </w:rPr>
              <w:t>17</w:t>
            </w:r>
          </w:p>
        </w:tc>
      </w:tr>
      <w:tr w14:paraId="3CE38E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F730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D818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509CA">
            <w:pPr>
              <w:jc w:val="center"/>
            </w:pPr>
            <w:r>
              <w:rPr>
                <w:rFonts w:ascii="宋体" w:hAnsi="宋体" w:eastAsia="宋体"/>
                <w:sz w:val="16"/>
              </w:rPr>
              <w:t>耕地面积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40415">
            <w:pPr>
              <w:jc w:val="center"/>
            </w:pPr>
            <w:r>
              <w:rPr>
                <w:rFonts w:ascii="宋体" w:hAnsi="宋体" w:eastAsia="宋体"/>
                <w:sz w:val="16"/>
              </w:rPr>
              <w:t>&gt;=1.70万亩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27156">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FA41D">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FBA33">
            <w:pPr>
              <w:jc w:val="center"/>
            </w:pPr>
            <w:r>
              <w:rPr>
                <w:rFonts w:ascii="宋体" w:hAnsi="宋体" w:eastAsia="宋体"/>
                <w:sz w:val="16"/>
              </w:rPr>
              <w:t>=1.8万亩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E16E1">
            <w:pPr>
              <w:jc w:val="center"/>
            </w:pPr>
            <w:r>
              <w:rPr>
                <w:rFonts w:ascii="宋体" w:hAnsi="宋体" w:eastAsia="宋体"/>
                <w:sz w:val="16"/>
              </w:rPr>
              <w:t>105.88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705AB">
            <w:pPr>
              <w:jc w:val="center"/>
            </w:pPr>
            <w:r>
              <w:rPr>
                <w:rFonts w:ascii="宋体" w:hAnsi="宋体" w:eastAsia="宋体"/>
                <w:sz w:val="16"/>
              </w:rPr>
              <w:t>18</w:t>
            </w:r>
          </w:p>
        </w:tc>
      </w:tr>
      <w:tr w14:paraId="507261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9797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D5195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225A9">
            <w:pPr>
              <w:jc w:val="center"/>
            </w:pPr>
            <w:r>
              <w:rPr>
                <w:rFonts w:ascii="宋体" w:hAnsi="宋体" w:eastAsia="宋体"/>
                <w:sz w:val="16"/>
              </w:rPr>
              <w:t>示范田面积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16312">
            <w:pPr>
              <w:jc w:val="center"/>
            </w:pPr>
            <w:r>
              <w:rPr>
                <w:rFonts w:ascii="宋体" w:hAnsi="宋体" w:eastAsia="宋体"/>
                <w:sz w:val="16"/>
              </w:rPr>
              <w:t>&gt;=2200亩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43884">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C539A">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6AAD3">
            <w:pPr>
              <w:jc w:val="center"/>
            </w:pPr>
            <w:r>
              <w:rPr>
                <w:rFonts w:ascii="宋体" w:hAnsi="宋体" w:eastAsia="宋体"/>
                <w:sz w:val="16"/>
              </w:rPr>
              <w:t>=2400亩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34E2E">
            <w:pPr>
              <w:jc w:val="center"/>
            </w:pPr>
            <w:r>
              <w:rPr>
                <w:rFonts w:ascii="宋体" w:hAnsi="宋体" w:eastAsia="宋体"/>
                <w:sz w:val="16"/>
              </w:rPr>
              <w:t>109.09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90E3E">
            <w:pPr>
              <w:jc w:val="center"/>
            </w:pPr>
            <w:r>
              <w:rPr>
                <w:rFonts w:ascii="宋体" w:hAnsi="宋体" w:eastAsia="宋体"/>
                <w:sz w:val="16"/>
              </w:rPr>
              <w:t>18</w:t>
            </w:r>
          </w:p>
        </w:tc>
      </w:tr>
      <w:tr w14:paraId="1C1B77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8C07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9385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08F37">
            <w:pPr>
              <w:jc w:val="center"/>
            </w:pPr>
            <w:r>
              <w:rPr>
                <w:rFonts w:ascii="宋体" w:hAnsi="宋体" w:eastAsia="宋体"/>
                <w:sz w:val="16"/>
              </w:rPr>
              <w:t>核桃嫁接数量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79D8B">
            <w:pPr>
              <w:jc w:val="center"/>
            </w:pPr>
            <w:r>
              <w:rPr>
                <w:rFonts w:ascii="宋体" w:hAnsi="宋体" w:eastAsia="宋体"/>
                <w:sz w:val="16"/>
              </w:rPr>
              <w:t>&gt;=9000株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6D8F5">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5F275">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255FA">
            <w:pPr>
              <w:jc w:val="center"/>
            </w:pPr>
            <w:r>
              <w:rPr>
                <w:rFonts w:ascii="宋体" w:hAnsi="宋体" w:eastAsia="宋体"/>
                <w:sz w:val="16"/>
              </w:rPr>
              <w:t>=9000株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5FE1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2E717">
            <w:pPr>
              <w:jc w:val="center"/>
            </w:pPr>
            <w:r>
              <w:rPr>
                <w:rFonts w:ascii="宋体" w:hAnsi="宋体" w:eastAsia="宋体"/>
                <w:sz w:val="16"/>
              </w:rPr>
              <w:t>18</w:t>
            </w:r>
          </w:p>
        </w:tc>
      </w:tr>
    </w:tbl>
    <w:p w14:paraId="3D084BC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B706D45">
        <w:tblPrEx>
          <w:tblCellMar>
            <w:top w:w="0" w:type="dxa"/>
            <w:left w:w="108" w:type="dxa"/>
            <w:bottom w:w="0" w:type="dxa"/>
            <w:right w:w="108" w:type="dxa"/>
          </w:tblCellMar>
        </w:tblPrEx>
        <w:tc>
          <w:tcPr>
            <w:tcW w:w="8848" w:type="dxa"/>
            <w:gridSpan w:val="14"/>
            <w:vAlign w:val="center"/>
          </w:tcPr>
          <w:p w14:paraId="3957C92E">
            <w:pPr>
              <w:jc w:val="center"/>
            </w:pPr>
            <w:r>
              <w:rPr>
                <w:rFonts w:ascii="宋体" w:hAnsi="宋体" w:eastAsia="宋体"/>
                <w:sz w:val="24"/>
              </w:rPr>
              <w:t>项目支出绩效自评表</w:t>
            </w:r>
          </w:p>
        </w:tc>
      </w:tr>
      <w:tr w14:paraId="3AFC00C9">
        <w:tblPrEx>
          <w:tblCellMar>
            <w:top w:w="0" w:type="dxa"/>
            <w:left w:w="108" w:type="dxa"/>
            <w:bottom w:w="0" w:type="dxa"/>
            <w:right w:w="108" w:type="dxa"/>
          </w:tblCellMar>
        </w:tblPrEx>
        <w:tc>
          <w:tcPr>
            <w:tcW w:w="8848" w:type="dxa"/>
            <w:gridSpan w:val="14"/>
            <w:vAlign w:val="center"/>
          </w:tcPr>
          <w:p w14:paraId="42C6B268">
            <w:pPr>
              <w:jc w:val="center"/>
            </w:pPr>
            <w:r>
              <w:rPr>
                <w:rFonts w:ascii="宋体" w:hAnsi="宋体" w:eastAsia="宋体"/>
                <w:sz w:val="24"/>
              </w:rPr>
              <w:t>(2024年度)</w:t>
            </w:r>
          </w:p>
        </w:tc>
      </w:tr>
      <w:tr w14:paraId="559385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AF56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28EC6B">
            <w:pPr>
              <w:jc w:val="center"/>
            </w:pPr>
            <w:r>
              <w:rPr>
                <w:rFonts w:ascii="宋体" w:hAnsi="宋体" w:eastAsia="宋体"/>
                <w:sz w:val="16"/>
              </w:rPr>
              <w:t>叶城县恰其库木管理区2024年县级专项公用经费项目</w:t>
            </w:r>
          </w:p>
        </w:tc>
      </w:tr>
      <w:tr w14:paraId="4ACC86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A0D1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D22468">
            <w:pPr>
              <w:jc w:val="center"/>
            </w:pPr>
            <w:r>
              <w:rPr>
                <w:rFonts w:ascii="宋体" w:hAnsi="宋体" w:eastAsia="宋体"/>
                <w:sz w:val="16"/>
              </w:rPr>
              <w:t>叶城县恰其库木管理区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D3D0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36C030">
            <w:pPr>
              <w:jc w:val="center"/>
            </w:pPr>
            <w:r>
              <w:rPr>
                <w:rFonts w:ascii="宋体" w:hAnsi="宋体" w:eastAsia="宋体"/>
                <w:sz w:val="16"/>
              </w:rPr>
              <w:t>叶城县恰其库木管理区</w:t>
            </w:r>
          </w:p>
        </w:tc>
      </w:tr>
      <w:tr w14:paraId="561141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A7BC7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3631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EAAD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C510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29F8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ED25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E7D9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53B66">
            <w:pPr>
              <w:jc w:val="center"/>
            </w:pPr>
            <w:r>
              <w:rPr>
                <w:rFonts w:ascii="宋体" w:hAnsi="宋体" w:eastAsia="宋体"/>
                <w:sz w:val="16"/>
              </w:rPr>
              <w:t>得分</w:t>
            </w:r>
          </w:p>
        </w:tc>
      </w:tr>
      <w:tr w14:paraId="7CF3DD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869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2D4F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62275">
            <w:pPr>
              <w:jc w:val="center"/>
            </w:pPr>
            <w:r>
              <w:rPr>
                <w:rFonts w:ascii="宋体" w:hAnsi="宋体" w:eastAsia="宋体"/>
                <w:sz w:val="16"/>
              </w:rPr>
              <w:t>33.10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18CDB">
            <w:pPr>
              <w:jc w:val="center"/>
            </w:pPr>
            <w:r>
              <w:rPr>
                <w:rFonts w:ascii="宋体" w:hAnsi="宋体" w:eastAsia="宋体"/>
                <w:sz w:val="16"/>
              </w:rPr>
              <w:t>33.10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4D2F8">
            <w:pPr>
              <w:jc w:val="center"/>
            </w:pPr>
            <w:r>
              <w:rPr>
                <w:rFonts w:ascii="宋体" w:hAnsi="宋体" w:eastAsia="宋体"/>
                <w:sz w:val="16"/>
              </w:rPr>
              <w:t>33.10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054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F99F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2F7F2">
            <w:pPr>
              <w:jc w:val="center"/>
            </w:pPr>
            <w:r>
              <w:rPr>
                <w:rFonts w:ascii="宋体" w:hAnsi="宋体" w:eastAsia="宋体"/>
                <w:sz w:val="16"/>
              </w:rPr>
              <w:t>10.00分</w:t>
            </w:r>
          </w:p>
        </w:tc>
      </w:tr>
      <w:tr w14:paraId="01FA86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D07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138B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C2302">
            <w:pPr>
              <w:jc w:val="center"/>
            </w:pPr>
            <w:r>
              <w:rPr>
                <w:rFonts w:ascii="宋体" w:hAnsi="宋体" w:eastAsia="宋体"/>
                <w:sz w:val="16"/>
              </w:rPr>
              <w:t>33.10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69641">
            <w:pPr>
              <w:jc w:val="center"/>
            </w:pPr>
            <w:r>
              <w:rPr>
                <w:rFonts w:ascii="宋体" w:hAnsi="宋体" w:eastAsia="宋体"/>
                <w:sz w:val="16"/>
              </w:rPr>
              <w:t>33.10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0D1FA">
            <w:pPr>
              <w:jc w:val="center"/>
            </w:pPr>
            <w:r>
              <w:rPr>
                <w:rFonts w:ascii="宋体" w:hAnsi="宋体" w:eastAsia="宋体"/>
                <w:sz w:val="16"/>
              </w:rPr>
              <w:t>33.10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6F8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AC4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F9F10">
            <w:pPr>
              <w:jc w:val="center"/>
            </w:pPr>
            <w:r>
              <w:rPr>
                <w:rFonts w:ascii="宋体" w:hAnsi="宋体" w:eastAsia="宋体"/>
                <w:sz w:val="16"/>
              </w:rPr>
              <w:t>—</w:t>
            </w:r>
          </w:p>
        </w:tc>
      </w:tr>
      <w:tr w14:paraId="16298D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386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F1AB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725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A90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CC7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ABF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055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F8081">
            <w:pPr>
              <w:jc w:val="center"/>
            </w:pPr>
            <w:r>
              <w:rPr>
                <w:rFonts w:ascii="宋体" w:hAnsi="宋体" w:eastAsia="宋体"/>
                <w:sz w:val="16"/>
              </w:rPr>
              <w:t>—</w:t>
            </w:r>
          </w:p>
        </w:tc>
      </w:tr>
      <w:tr w14:paraId="614BE1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AD48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8A4FB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C033F8">
            <w:pPr>
              <w:jc w:val="center"/>
            </w:pPr>
            <w:r>
              <w:rPr>
                <w:rFonts w:ascii="宋体" w:hAnsi="宋体" w:eastAsia="宋体"/>
                <w:sz w:val="16"/>
              </w:rPr>
              <w:t>实际完成情况</w:t>
            </w:r>
          </w:p>
        </w:tc>
      </w:tr>
      <w:tr w14:paraId="2B12C1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E1AF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CC5CDD">
            <w:pPr>
              <w:jc w:val="both"/>
            </w:pPr>
            <w:r>
              <w:rPr>
                <w:rFonts w:ascii="宋体" w:hAnsi="宋体" w:eastAsia="宋体"/>
                <w:sz w:val="16"/>
              </w:rPr>
              <w:t>2024年，我管理区申请</w:t>
            </w:r>
            <w:r>
              <w:rPr>
                <w:rFonts w:hint="eastAsia" w:ascii="宋体" w:hAnsi="宋体"/>
                <w:sz w:val="16"/>
                <w:lang w:eastAsia="zh-CN"/>
              </w:rPr>
              <w:t>资金</w:t>
            </w:r>
            <w:r>
              <w:rPr>
                <w:rFonts w:ascii="宋体" w:hAnsi="宋体" w:eastAsia="宋体"/>
                <w:sz w:val="16"/>
              </w:rPr>
              <w:t>33.1万元，其中：2024年工作经费县（区）级预算安排资金33.1万元。主要用于机关日常办公用品采购、公务用车维修事宜和根据实际情况支付乡本级往期各类费用，保障机关办公运转，提高为民服务本领。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F5A68A">
            <w:pPr>
              <w:jc w:val="both"/>
            </w:pPr>
            <w:r>
              <w:rPr>
                <w:rFonts w:ascii="宋体" w:hAnsi="宋体" w:eastAsia="宋体"/>
                <w:sz w:val="16"/>
              </w:rPr>
              <w:t>实际完成目标：</w:t>
            </w:r>
            <w:r>
              <w:rPr>
                <w:rFonts w:hint="eastAsia" w:ascii="宋体" w:hAnsi="宋体"/>
                <w:sz w:val="16"/>
                <w:lang w:eastAsia="zh-CN"/>
              </w:rPr>
              <w:t>截至2024</w:t>
            </w:r>
            <w:r>
              <w:rPr>
                <w:rFonts w:ascii="宋体" w:hAnsi="宋体" w:eastAsia="宋体"/>
                <w:sz w:val="16"/>
              </w:rPr>
              <w:t>年12月31日，该项目预算资金33.1万元，到位资金33.1万元，已支付33.1万元，项目用于机关日常办公用品采购、公务用车维修事宜和根据实际情况支付乡本级往期各类费用，保障机关办公运转，提高为民服务本领，提高办事效率，提高群众幸福度。</w:t>
            </w:r>
          </w:p>
        </w:tc>
      </w:tr>
      <w:tr w14:paraId="2F984E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88C2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A5C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8FF3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01AD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0950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A848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9BC4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82E8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E55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AC42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9B67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2566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8245B">
            <w:pPr>
              <w:jc w:val="center"/>
            </w:pPr>
            <w:r>
              <w:rPr>
                <w:rFonts w:ascii="宋体" w:hAnsi="宋体" w:eastAsia="宋体"/>
                <w:sz w:val="16"/>
              </w:rPr>
              <w:t>偏差原因分析及改进措施</w:t>
            </w:r>
          </w:p>
        </w:tc>
      </w:tr>
      <w:tr w14:paraId="6C95D3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ACBC1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BE90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FBE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7C801">
            <w:pPr>
              <w:jc w:val="center"/>
            </w:pPr>
            <w:r>
              <w:rPr>
                <w:rFonts w:ascii="宋体" w:hAnsi="宋体" w:eastAsia="宋体"/>
                <w:sz w:val="16"/>
              </w:rPr>
              <w:t>覆盖乡镇（个）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9754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B62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B50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6CF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CB0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CF2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93D0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24C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AAFFD">
            <w:pPr>
              <w:jc w:val="center"/>
            </w:pPr>
          </w:p>
        </w:tc>
      </w:tr>
      <w:tr w14:paraId="6B8ECF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784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FA2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D5F9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7C4AB">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6BD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711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09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E4C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0E3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5FB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FA5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C85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F3F45">
            <w:pPr>
              <w:jc w:val="center"/>
            </w:pPr>
          </w:p>
        </w:tc>
      </w:tr>
      <w:tr w14:paraId="7EFCF2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EDA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E9D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3B488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73BB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E95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A9B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EC2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B2E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CAA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62C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04D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E38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96C4E">
            <w:pPr>
              <w:jc w:val="center"/>
            </w:pPr>
          </w:p>
        </w:tc>
      </w:tr>
      <w:tr w14:paraId="4C072D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9A5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8E7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065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D50D6">
            <w:pPr>
              <w:jc w:val="center"/>
            </w:pPr>
            <w:r>
              <w:rPr>
                <w:rFonts w:ascii="宋体" w:hAnsi="宋体" w:eastAsia="宋体"/>
                <w:sz w:val="16"/>
              </w:rPr>
              <w:t>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C5ADC">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7CE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584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8119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47B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EAF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7C9F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F0D5C">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828D8">
            <w:pPr>
              <w:jc w:val="center"/>
            </w:pPr>
          </w:p>
        </w:tc>
      </w:tr>
      <w:tr w14:paraId="62834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7DD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12CD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9C16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44548">
            <w:pPr>
              <w:jc w:val="center"/>
            </w:pPr>
            <w:r>
              <w:rPr>
                <w:rFonts w:ascii="宋体" w:hAnsi="宋体" w:eastAsia="宋体"/>
                <w:sz w:val="16"/>
              </w:rPr>
              <w:t>项目经费总额（元）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39BB8">
            <w:pPr>
              <w:jc w:val="center"/>
            </w:pPr>
            <w:r>
              <w:rPr>
                <w:rFonts w:ascii="宋体" w:hAnsi="宋体" w:eastAsia="宋体"/>
                <w:sz w:val="16"/>
              </w:rPr>
              <w:t>=33.10万元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B6C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DFE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424E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0ED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D4C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803F4">
            <w:pPr>
              <w:jc w:val="center"/>
            </w:pPr>
            <w:r>
              <w:rPr>
                <w:rFonts w:ascii="宋体" w:hAnsi="宋体" w:eastAsia="宋体"/>
                <w:sz w:val="16"/>
              </w:rPr>
              <w:t>=33.1万元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3AC9C">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C46D5">
            <w:pPr>
              <w:jc w:val="center"/>
            </w:pPr>
          </w:p>
        </w:tc>
      </w:tr>
      <w:tr w14:paraId="79704A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747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A531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3E56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DC58">
            <w:pPr>
              <w:jc w:val="center"/>
            </w:pPr>
            <w:r>
              <w:rPr>
                <w:rFonts w:ascii="宋体" w:hAnsi="宋体" w:eastAsia="宋体"/>
                <w:sz w:val="16"/>
              </w:rPr>
              <w:t>提升乡镇干部工作积极性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ABA2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C20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410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7436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7A8D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ACC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6AE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A886F">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3A624">
            <w:pPr>
              <w:jc w:val="center"/>
            </w:pPr>
          </w:p>
        </w:tc>
      </w:tr>
      <w:tr w14:paraId="217BA4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FAD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FB1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551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FB403">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689C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473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D20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555B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75C4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80B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C806E">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5C49">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FDD44">
            <w:pPr>
              <w:jc w:val="center"/>
            </w:pPr>
          </w:p>
        </w:tc>
      </w:tr>
      <w:tr w14:paraId="7BA9FFE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B0F20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3E63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E1BBB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0713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EEB7B5F"/>
        </w:tc>
      </w:tr>
    </w:tbl>
    <w:p w14:paraId="15BBEB34">
      <w:r>
        <w:br w:type="page"/>
      </w:r>
    </w:p>
    <w:p w14:paraId="2C47061B">
      <w:pPr>
        <w:spacing w:line="640" w:lineRule="exact"/>
        <w:ind w:firstLine="640"/>
        <w:jc w:val="both"/>
        <w:outlineLvl w:val="2"/>
      </w:pPr>
      <w:r>
        <w:rPr>
          <w:rFonts w:ascii="黑体" w:hAnsi="黑体" w:eastAsia="黑体"/>
          <w:sz w:val="32"/>
        </w:rPr>
        <w:t>十二、其他需说明的事项</w:t>
      </w:r>
    </w:p>
    <w:p w14:paraId="2D0C8620">
      <w:pPr>
        <w:spacing w:line="580" w:lineRule="exact"/>
        <w:ind w:firstLine="640"/>
        <w:jc w:val="both"/>
      </w:pPr>
      <w:r>
        <w:rPr>
          <w:rFonts w:ascii="仿宋_GB2312" w:hAnsi="仿宋_GB2312" w:eastAsia="仿宋_GB2312"/>
          <w:b w:val="0"/>
          <w:sz w:val="32"/>
        </w:rPr>
        <w:t>本单位无其他需说明的事项。</w:t>
      </w:r>
    </w:p>
    <w:p w14:paraId="6ADCA8B5">
      <w:r>
        <w:br w:type="page"/>
      </w:r>
    </w:p>
    <w:p w14:paraId="3DB7C85C">
      <w:pPr>
        <w:spacing w:line="240" w:lineRule="auto"/>
        <w:jc w:val="center"/>
        <w:outlineLvl w:val="1"/>
      </w:pPr>
      <w:r>
        <w:rPr>
          <w:rFonts w:ascii="黑体" w:hAnsi="黑体" w:eastAsia="黑体"/>
          <w:sz w:val="32"/>
        </w:rPr>
        <w:t>第三部分 专业名词解释</w:t>
      </w:r>
    </w:p>
    <w:p w14:paraId="3CF569D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C0DD87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B369BB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EC348F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0BFC84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748976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3C67A8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DBA858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6D6E9C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79FCCB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224277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8851C3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34B1DB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3B0AA9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8B10C9D">
      <w:r>
        <w:br w:type="page"/>
      </w:r>
    </w:p>
    <w:p w14:paraId="7B5FA545">
      <w:pPr>
        <w:spacing w:line="240" w:lineRule="auto"/>
        <w:jc w:val="center"/>
        <w:outlineLvl w:val="1"/>
      </w:pPr>
      <w:r>
        <w:rPr>
          <w:rFonts w:ascii="黑体" w:hAnsi="黑体" w:eastAsia="黑体"/>
          <w:sz w:val="32"/>
        </w:rPr>
        <w:t>第四部分 部门决算报表（见附表）</w:t>
      </w:r>
    </w:p>
    <w:p w14:paraId="61878EEE">
      <w:pPr>
        <w:spacing w:line="240" w:lineRule="auto"/>
        <w:ind w:firstLine="640"/>
        <w:jc w:val="both"/>
      </w:pPr>
      <w:r>
        <w:rPr>
          <w:rFonts w:ascii="仿宋_GB2312" w:hAnsi="仿宋_GB2312" w:eastAsia="仿宋_GB2312"/>
          <w:b w:val="0"/>
          <w:sz w:val="32"/>
        </w:rPr>
        <w:t>一、《收入支出决算总表》</w:t>
      </w:r>
    </w:p>
    <w:p w14:paraId="6A606DFD">
      <w:pPr>
        <w:spacing w:line="240" w:lineRule="auto"/>
        <w:ind w:firstLine="640"/>
        <w:jc w:val="both"/>
      </w:pPr>
      <w:r>
        <w:rPr>
          <w:rFonts w:ascii="仿宋_GB2312" w:hAnsi="仿宋_GB2312" w:eastAsia="仿宋_GB2312"/>
          <w:b w:val="0"/>
          <w:sz w:val="32"/>
        </w:rPr>
        <w:t>二、《收入决算表》</w:t>
      </w:r>
    </w:p>
    <w:p w14:paraId="1296928E">
      <w:pPr>
        <w:spacing w:line="240" w:lineRule="auto"/>
        <w:ind w:firstLine="640"/>
        <w:jc w:val="both"/>
      </w:pPr>
      <w:r>
        <w:rPr>
          <w:rFonts w:ascii="仿宋_GB2312" w:hAnsi="仿宋_GB2312" w:eastAsia="仿宋_GB2312"/>
          <w:b w:val="0"/>
          <w:sz w:val="32"/>
        </w:rPr>
        <w:t>三、《支出决算表》</w:t>
      </w:r>
    </w:p>
    <w:p w14:paraId="410179E5">
      <w:pPr>
        <w:spacing w:line="240" w:lineRule="auto"/>
        <w:ind w:firstLine="640"/>
        <w:jc w:val="both"/>
      </w:pPr>
      <w:r>
        <w:rPr>
          <w:rFonts w:ascii="仿宋_GB2312" w:hAnsi="仿宋_GB2312" w:eastAsia="仿宋_GB2312"/>
          <w:b w:val="0"/>
          <w:sz w:val="32"/>
        </w:rPr>
        <w:t>四、《财政拨款收入支出决算总表》</w:t>
      </w:r>
    </w:p>
    <w:p w14:paraId="06CD2681">
      <w:pPr>
        <w:spacing w:line="240" w:lineRule="auto"/>
        <w:ind w:firstLine="640"/>
        <w:jc w:val="both"/>
      </w:pPr>
      <w:r>
        <w:rPr>
          <w:rFonts w:ascii="仿宋_GB2312" w:hAnsi="仿宋_GB2312" w:eastAsia="仿宋_GB2312"/>
          <w:b w:val="0"/>
          <w:sz w:val="32"/>
        </w:rPr>
        <w:t>五、《一般公共预算财政拨款支出决算表》</w:t>
      </w:r>
    </w:p>
    <w:p w14:paraId="5B8299C1">
      <w:pPr>
        <w:spacing w:line="240" w:lineRule="auto"/>
        <w:ind w:firstLine="640"/>
        <w:jc w:val="both"/>
      </w:pPr>
      <w:r>
        <w:rPr>
          <w:rFonts w:ascii="仿宋_GB2312" w:hAnsi="仿宋_GB2312" w:eastAsia="仿宋_GB2312"/>
          <w:b w:val="0"/>
          <w:sz w:val="32"/>
        </w:rPr>
        <w:t>六、《一般公共预算财政拨款基本支出决算表》</w:t>
      </w:r>
    </w:p>
    <w:p w14:paraId="37A11C83">
      <w:pPr>
        <w:spacing w:line="240" w:lineRule="auto"/>
        <w:ind w:firstLine="640"/>
        <w:jc w:val="both"/>
      </w:pPr>
      <w:r>
        <w:rPr>
          <w:rFonts w:ascii="仿宋_GB2312" w:hAnsi="仿宋_GB2312" w:eastAsia="仿宋_GB2312"/>
          <w:b w:val="0"/>
          <w:sz w:val="32"/>
        </w:rPr>
        <w:t>七、《政府性基金预算财政拨款收入支出决算表》</w:t>
      </w:r>
    </w:p>
    <w:p w14:paraId="18150770">
      <w:pPr>
        <w:spacing w:line="240" w:lineRule="auto"/>
        <w:ind w:firstLine="640"/>
        <w:jc w:val="both"/>
      </w:pPr>
      <w:r>
        <w:rPr>
          <w:rFonts w:ascii="仿宋_GB2312" w:hAnsi="仿宋_GB2312" w:eastAsia="仿宋_GB2312"/>
          <w:b w:val="0"/>
          <w:sz w:val="32"/>
        </w:rPr>
        <w:t>八、《国有资本经营预算财政拨款收入支出决算表》</w:t>
      </w:r>
    </w:p>
    <w:p w14:paraId="6A0F6CB0">
      <w:pPr>
        <w:spacing w:line="240" w:lineRule="auto"/>
        <w:ind w:firstLine="640"/>
        <w:jc w:val="both"/>
      </w:pPr>
      <w:r>
        <w:rPr>
          <w:rFonts w:ascii="仿宋_GB2312" w:hAnsi="仿宋_GB2312" w:eastAsia="仿宋_GB2312"/>
          <w:b w:val="0"/>
          <w:sz w:val="32"/>
        </w:rPr>
        <w:t>九、《财政拨款“三公”经费支出决算表》</w:t>
      </w:r>
    </w:p>
    <w:p w14:paraId="00103C95">
      <w:pPr>
        <w:spacing w:line="240" w:lineRule="auto"/>
        <w:ind w:firstLine="640"/>
        <w:jc w:val="both"/>
      </w:pPr>
    </w:p>
    <w:p w14:paraId="453AB1D6">
      <w:pPr>
        <w:spacing w:line="240" w:lineRule="auto"/>
        <w:ind w:firstLine="640"/>
        <w:jc w:val="both"/>
      </w:pPr>
    </w:p>
    <w:p w14:paraId="01A8B6CA">
      <w:pPr>
        <w:spacing w:line="240" w:lineRule="auto"/>
        <w:ind w:firstLine="640"/>
        <w:jc w:val="both"/>
      </w:pPr>
    </w:p>
    <w:p w14:paraId="0E35D7FA">
      <w:pPr>
        <w:spacing w:line="240" w:lineRule="auto"/>
        <w:ind w:firstLine="640"/>
        <w:jc w:val="both"/>
      </w:pPr>
    </w:p>
    <w:p w14:paraId="02B61FC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3AEF77B-B67C-428B-ADAE-FC01E0AFC49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A0A7041-5EE5-4363-923B-443A904BA11A}"/>
  </w:font>
  <w:font w:name="仿宋_GB2312">
    <w:panose1 w:val="02010609030101010101"/>
    <w:charset w:val="86"/>
    <w:family w:val="modern"/>
    <w:pitch w:val="default"/>
    <w:sig w:usb0="00000001" w:usb1="080E0000" w:usb2="00000000" w:usb3="00000000" w:csb0="00040000" w:csb1="00000000"/>
    <w:embedRegular r:id="rId3" w:fontKey="{3C772622-BB24-408F-8264-61046BA9564B}"/>
  </w:font>
  <w:font w:name="楷体_GB2312">
    <w:panose1 w:val="02010609030101010101"/>
    <w:charset w:val="86"/>
    <w:family w:val="auto"/>
    <w:pitch w:val="default"/>
    <w:sig w:usb0="00000001" w:usb1="080E0000" w:usb2="00000000" w:usb3="00000000" w:csb0="00040000" w:csb1="00000000"/>
    <w:embedRegular r:id="rId4" w:fontKey="{AADE10AE-37EE-4BFF-99DB-B2D78E2C8AD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A63FD8"/>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97439BC"/>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6673</Words>
  <Characters>7779</Characters>
  <Lines>0</Lines>
  <Paragraphs>0</Paragraphs>
  <TotalTime>6</TotalTime>
  <ScaleCrop>false</ScaleCrop>
  <LinksUpToDate>false</LinksUpToDate>
  <CharactersWithSpaces>7787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2025-09-30T04:13:48Z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