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B65F5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叶城县恰尔巴格镇人民政府2024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C21CEF">
      <w:r>
        <w:br w:type="page"/>
      </w:r>
    </w:p>
    <w:p w14:paraId="13770EF5">
      <w:pPr>
        <w:spacing w:line="640" w:lineRule="exact"/>
        <w:jc w:val="center"/>
        <w:outlineLvl w:val="1"/>
      </w:pPr>
      <w:r>
        <w:rPr>
          <w:rFonts w:ascii="黑体" w:hAnsi="黑体" w:eastAsia="黑体"/>
          <w:sz w:val="32"/>
        </w:rPr>
        <w:t>第一部分 单位概况</w:t>
      </w:r>
    </w:p>
    <w:p w14:paraId="4351819C">
      <w:pPr>
        <w:spacing w:line="640" w:lineRule="exact"/>
        <w:ind w:firstLine="640"/>
        <w:jc w:val="both"/>
        <w:outlineLvl w:val="2"/>
      </w:pPr>
      <w:r>
        <w:rPr>
          <w:rFonts w:ascii="黑体" w:hAnsi="黑体" w:eastAsia="黑体"/>
          <w:sz w:val="32"/>
        </w:rPr>
        <w:t>一、主要职能</w:t>
      </w:r>
    </w:p>
    <w:p w14:paraId="412673B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新疆维吾尔自治区喀什地区叶城县恰尔巴格镇人民政府负责全片区党政行政管理事务。以贯彻落实党的二十大精神，以习近平新时代中国特色社会主义思想为指导，坚决贯彻执行党中央、国务院、自治区、地区及县委、县人民政府的有关方面政策指示，把党的各项优惠政策落实到实处，负责全区经济社会发展、社会事务管理、社会安全、基层组织建设等全面工作。以全面建设社会主义新农村为根本出发点，不断深化美丽乡村建设为总目标，不断铸牢全区经济社会发展基础，为全区各族群众提供社会服务。</w:t>
      </w:r>
    </w:p>
    <w:p w14:paraId="4161F20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以时不我待的精神，按照“总目标”要求，以全面推进</w:t>
      </w:r>
      <w:r>
        <w:rPr>
          <w:rFonts w:hint="eastAsia" w:ascii="仿宋_GB2312" w:hAnsi="仿宋_GB2312" w:eastAsia="仿宋_GB2312"/>
          <w:sz w:val="32"/>
          <w:lang w:eastAsia="zh-CN"/>
        </w:rPr>
        <w:t>乡村振兴</w:t>
      </w:r>
      <w:r>
        <w:rPr>
          <w:rFonts w:ascii="仿宋_GB2312" w:hAnsi="仿宋_GB2312" w:eastAsia="仿宋_GB2312"/>
          <w:sz w:val="32"/>
        </w:rPr>
        <w:t>为总抓手，按照</w:t>
      </w:r>
      <w:r>
        <w:rPr>
          <w:rFonts w:hint="eastAsia" w:ascii="仿宋_GB2312" w:hAnsi="仿宋_GB2312" w:eastAsia="仿宋_GB2312"/>
          <w:sz w:val="32"/>
          <w:lang w:eastAsia="zh-CN"/>
        </w:rPr>
        <w:t>习近平总书记重要讲话精神</w:t>
      </w:r>
      <w:r>
        <w:rPr>
          <w:rFonts w:ascii="仿宋_GB2312" w:hAnsi="仿宋_GB2312" w:eastAsia="仿宋_GB2312"/>
          <w:sz w:val="32"/>
        </w:rPr>
        <w:t>为指引，以学习党史为契机，大力改进干部工作作风，以全心全意为中国人民谋幸福，为中华谋复兴的中国梦为总思路，带领全片区各族人民大力发展特色产业，不断优化产业结构，发展以“小商品市场经济、跳蚤市场”为首的各项经济。</w:t>
      </w:r>
    </w:p>
    <w:p w14:paraId="2AFB6C78">
      <w:pPr>
        <w:spacing w:line="640" w:lineRule="exact"/>
        <w:ind w:firstLine="640"/>
        <w:jc w:val="both"/>
        <w:outlineLvl w:val="2"/>
      </w:pPr>
      <w:r>
        <w:rPr>
          <w:rFonts w:ascii="黑体" w:hAnsi="黑体" w:eastAsia="黑体"/>
          <w:sz w:val="32"/>
        </w:rPr>
        <w:t>二、机构设置及人员情况</w:t>
      </w:r>
    </w:p>
    <w:p w14:paraId="324DC7EC">
      <w:pPr>
        <w:spacing w:line="580" w:lineRule="exact"/>
        <w:ind w:firstLine="640"/>
        <w:jc w:val="both"/>
      </w:pPr>
      <w:r>
        <w:rPr>
          <w:rFonts w:ascii="仿宋_GB2312" w:hAnsi="仿宋_GB2312" w:eastAsia="仿宋_GB2312"/>
          <w:sz w:val="32"/>
        </w:rPr>
        <w:t>叶城县恰尔巴格镇人民政府2024年度，实有人数120人，其中：在职人员101人，减少14人；离休人员0人，增加0人；退休人员19人,增加6人。</w:t>
      </w:r>
    </w:p>
    <w:p w14:paraId="605A09CC">
      <w:pPr>
        <w:spacing w:line="580" w:lineRule="exact"/>
        <w:ind w:firstLine="640"/>
        <w:jc w:val="both"/>
      </w:pPr>
      <w:r>
        <w:rPr>
          <w:rFonts w:ascii="仿宋_GB2312" w:hAnsi="仿宋_GB2312" w:eastAsia="仿宋_GB2312"/>
          <w:sz w:val="32"/>
        </w:rPr>
        <w:t>叶城县恰尔巴格镇人民政府无下属预算单位，下设5个科室，分别是：党政办、党建办、综治办、社会事务办、农业发展中心。</w:t>
      </w:r>
    </w:p>
    <w:p w14:paraId="61961B09">
      <w:r>
        <w:br w:type="page"/>
      </w:r>
    </w:p>
    <w:p w14:paraId="75DA55CE">
      <w:pPr>
        <w:spacing w:line="240" w:lineRule="auto"/>
        <w:jc w:val="center"/>
        <w:outlineLvl w:val="1"/>
      </w:pPr>
      <w:r>
        <w:rPr>
          <w:rFonts w:ascii="黑体" w:hAnsi="黑体" w:eastAsia="黑体"/>
          <w:sz w:val="32"/>
        </w:rPr>
        <w:t>第二部分 部门决算情况说明</w:t>
      </w:r>
    </w:p>
    <w:p w14:paraId="5DE3299F">
      <w:pPr>
        <w:spacing w:line="640" w:lineRule="exact"/>
        <w:ind w:firstLine="640"/>
        <w:jc w:val="both"/>
        <w:outlineLvl w:val="2"/>
      </w:pPr>
      <w:r>
        <w:rPr>
          <w:rFonts w:ascii="黑体" w:hAnsi="黑体" w:eastAsia="黑体"/>
          <w:sz w:val="32"/>
        </w:rPr>
        <w:t>一、收入支出决算总体情况说明</w:t>
      </w:r>
    </w:p>
    <w:p w14:paraId="627C2D08">
      <w:pPr>
        <w:spacing w:line="580" w:lineRule="exact"/>
        <w:ind w:firstLine="640"/>
        <w:jc w:val="both"/>
      </w:pPr>
      <w:r>
        <w:rPr>
          <w:rFonts w:ascii="仿宋_GB2312" w:hAnsi="仿宋_GB2312" w:eastAsia="仿宋_GB2312"/>
          <w:b/>
          <w:sz w:val="32"/>
        </w:rPr>
        <w:t>2024年度收入总计14,416.62万元，</w:t>
      </w:r>
      <w:r>
        <w:rPr>
          <w:rFonts w:ascii="仿宋_GB2312" w:hAnsi="仿宋_GB2312" w:eastAsia="仿宋_GB2312"/>
          <w:b w:val="0"/>
          <w:sz w:val="32"/>
        </w:rPr>
        <w:t>其中：本年收入合计14,416.62万元，使用非财政拨款结余（含专用结余）0.00万元，年初结转和结余0.00万元。</w:t>
      </w:r>
    </w:p>
    <w:p w14:paraId="58AFCD74">
      <w:pPr>
        <w:spacing w:line="580" w:lineRule="exact"/>
        <w:ind w:firstLine="640"/>
        <w:jc w:val="both"/>
      </w:pPr>
      <w:r>
        <w:rPr>
          <w:rFonts w:ascii="仿宋_GB2312" w:hAnsi="仿宋_GB2312" w:eastAsia="仿宋_GB2312"/>
          <w:b/>
          <w:sz w:val="32"/>
        </w:rPr>
        <w:t>2024年度支出总计14,416.62万元，</w:t>
      </w:r>
      <w:r>
        <w:rPr>
          <w:rFonts w:ascii="仿宋_GB2312" w:hAnsi="仿宋_GB2312" w:eastAsia="仿宋_GB2312"/>
          <w:b w:val="0"/>
          <w:sz w:val="32"/>
        </w:rPr>
        <w:t>其中：本年支出合计14,416.62万元，结余分配0.00万元，年末结转和结余0.00万元。</w:t>
      </w:r>
    </w:p>
    <w:p w14:paraId="71809703">
      <w:pPr>
        <w:spacing w:line="580" w:lineRule="exact"/>
        <w:ind w:firstLine="640"/>
        <w:jc w:val="both"/>
      </w:pPr>
      <w:r>
        <w:rPr>
          <w:rFonts w:ascii="仿宋_GB2312" w:hAnsi="仿宋_GB2312" w:eastAsia="仿宋_GB2312"/>
          <w:b w:val="0"/>
          <w:sz w:val="32"/>
        </w:rPr>
        <w:t>收入支出总体与上年相比，增加7,201.73万元，增长99.82%，主要原因是：本年增加2024年核桃精深加工厂建设项目、恰尔巴格镇5、6、7、13村温室大棚建设项目。</w:t>
      </w:r>
    </w:p>
    <w:p w14:paraId="0D75F875">
      <w:pPr>
        <w:spacing w:line="640" w:lineRule="exact"/>
        <w:ind w:firstLine="640"/>
        <w:jc w:val="both"/>
        <w:outlineLvl w:val="2"/>
      </w:pPr>
      <w:r>
        <w:rPr>
          <w:rFonts w:ascii="黑体" w:hAnsi="黑体" w:eastAsia="黑体"/>
          <w:sz w:val="32"/>
        </w:rPr>
        <w:t>二、收入决算情况说明</w:t>
      </w:r>
    </w:p>
    <w:p w14:paraId="122A1632">
      <w:pPr>
        <w:spacing w:line="580" w:lineRule="exact"/>
        <w:ind w:firstLine="640"/>
        <w:jc w:val="both"/>
      </w:pPr>
      <w:r>
        <w:rPr>
          <w:rFonts w:ascii="仿宋_GB2312" w:hAnsi="仿宋_GB2312" w:eastAsia="仿宋_GB2312"/>
          <w:b/>
          <w:sz w:val="32"/>
        </w:rPr>
        <w:t>本年收入14,416.62万元，</w:t>
      </w:r>
      <w:r>
        <w:rPr>
          <w:rFonts w:ascii="仿宋_GB2312" w:hAnsi="仿宋_GB2312" w:eastAsia="仿宋_GB2312"/>
          <w:b w:val="0"/>
          <w:sz w:val="32"/>
        </w:rPr>
        <w:t>其中：财政拨款收入13,489.32万元，占93.57%；上级补助收入0.00万元，占0.00%；事业收入0.00万元，占0.00%；经营收入0.00万元，占0.00%；附属单位上缴收入0.00万元，占0.00%；其他收入927.29万元，占6.43%。</w:t>
      </w:r>
    </w:p>
    <w:p w14:paraId="33B7D8A9">
      <w:pPr>
        <w:spacing w:line="640" w:lineRule="exact"/>
        <w:ind w:firstLine="640"/>
        <w:jc w:val="both"/>
        <w:outlineLvl w:val="2"/>
      </w:pPr>
      <w:r>
        <w:rPr>
          <w:rFonts w:ascii="黑体" w:hAnsi="黑体" w:eastAsia="黑体"/>
          <w:sz w:val="32"/>
        </w:rPr>
        <w:t>三、支出决算情况说明</w:t>
      </w:r>
    </w:p>
    <w:p w14:paraId="3CC7D08E">
      <w:pPr>
        <w:spacing w:line="580" w:lineRule="exact"/>
        <w:ind w:firstLine="640"/>
        <w:jc w:val="both"/>
      </w:pPr>
      <w:r>
        <w:rPr>
          <w:rFonts w:ascii="仿宋_GB2312" w:hAnsi="仿宋_GB2312" w:eastAsia="仿宋_GB2312"/>
          <w:b/>
          <w:sz w:val="32"/>
        </w:rPr>
        <w:t>本年支出14,416.62万元，</w:t>
      </w:r>
      <w:r>
        <w:rPr>
          <w:rFonts w:ascii="仿宋_GB2312" w:hAnsi="仿宋_GB2312" w:eastAsia="仿宋_GB2312"/>
          <w:b w:val="0"/>
          <w:sz w:val="32"/>
        </w:rPr>
        <w:t>其中：基本支出2,163.15万元，占15.01%；项目支出12,253.47万元，占85.00%；上缴上级支出0.00万元，占0.00%；经营支出0.00万元，占0.00%；对附属单位补助支出0.00万元，占0.00%。</w:t>
      </w:r>
    </w:p>
    <w:p w14:paraId="0E2E59EE">
      <w:pPr>
        <w:spacing w:line="640" w:lineRule="exact"/>
        <w:ind w:firstLine="640"/>
        <w:jc w:val="both"/>
        <w:outlineLvl w:val="2"/>
      </w:pPr>
      <w:r>
        <w:rPr>
          <w:rFonts w:ascii="黑体" w:hAnsi="黑体" w:eastAsia="黑体"/>
          <w:sz w:val="32"/>
        </w:rPr>
        <w:t>四、财政拨款收入支出决算总体情况说明</w:t>
      </w:r>
    </w:p>
    <w:p w14:paraId="6F35B89D">
      <w:pPr>
        <w:spacing w:line="580" w:lineRule="exact"/>
        <w:ind w:firstLine="640"/>
        <w:jc w:val="both"/>
      </w:pPr>
      <w:r>
        <w:rPr>
          <w:rFonts w:ascii="仿宋_GB2312" w:hAnsi="仿宋_GB2312" w:eastAsia="仿宋_GB2312"/>
          <w:b/>
          <w:sz w:val="32"/>
        </w:rPr>
        <w:t>2024年度财政拨款收入总计13,489.32万元，</w:t>
      </w:r>
      <w:r>
        <w:rPr>
          <w:rFonts w:ascii="仿宋_GB2312" w:hAnsi="仿宋_GB2312" w:eastAsia="仿宋_GB2312"/>
          <w:b w:val="0"/>
          <w:sz w:val="32"/>
        </w:rPr>
        <w:t>其中：年初财政拨款结转和结余0.00万元，本年财政拨款收入13,489.32万元。</w:t>
      </w:r>
      <w:r>
        <w:rPr>
          <w:rFonts w:ascii="仿宋_GB2312" w:hAnsi="仿宋_GB2312" w:eastAsia="仿宋_GB2312"/>
          <w:b/>
          <w:sz w:val="32"/>
        </w:rPr>
        <w:t>财政拨款支出总计13,489.32万元，</w:t>
      </w:r>
      <w:r>
        <w:rPr>
          <w:rFonts w:ascii="仿宋_GB2312" w:hAnsi="仿宋_GB2312" w:eastAsia="仿宋_GB2312"/>
          <w:b w:val="0"/>
          <w:sz w:val="32"/>
        </w:rPr>
        <w:t>其中：年末财政拨款结转和结余0.00万元，本年财政拨款支出13,489.32万元。</w:t>
      </w:r>
    </w:p>
    <w:p w14:paraId="33650FB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增加6,955.20万元，增长106.44%，主要原因是：本年增加2024年核桃精深加工厂建设项目、恰尔巴格镇5、6、7、13村温室大棚建设项目。</w:t>
      </w:r>
      <w:r>
        <w:rPr>
          <w:rFonts w:ascii="仿宋_GB2312" w:hAnsi="仿宋_GB2312" w:eastAsia="仿宋_GB2312"/>
          <w:b/>
          <w:sz w:val="32"/>
        </w:rPr>
        <w:t>与年初预算相比，</w:t>
      </w:r>
      <w:r>
        <w:rPr>
          <w:rFonts w:ascii="仿宋_GB2312" w:hAnsi="仿宋_GB2312" w:eastAsia="仿宋_GB2312"/>
          <w:b w:val="0"/>
          <w:sz w:val="32"/>
        </w:rPr>
        <w:t>年初预算数2,490.80万元，决算数13,489.32万元，预决算差异率441.57%，主要原因是：年中追加人员工资、社保、公积金基数调增部分资金，追加核桃油高值化精深加工建设项目、种植业基地配套建设项目、林粮间作节水设施配套项目、林果业整形修剪补助项目、核桃高产示范园建设项目等项目资金，导致预决算存在差异。</w:t>
      </w:r>
    </w:p>
    <w:p w14:paraId="466166F2">
      <w:pPr>
        <w:spacing w:line="640" w:lineRule="exact"/>
        <w:ind w:firstLine="640"/>
        <w:jc w:val="both"/>
        <w:outlineLvl w:val="2"/>
      </w:pPr>
      <w:r>
        <w:rPr>
          <w:rFonts w:ascii="黑体" w:hAnsi="黑体" w:eastAsia="黑体"/>
          <w:sz w:val="32"/>
        </w:rPr>
        <w:t>五、一般公共预算财政拨款支出决算情况说明</w:t>
      </w:r>
    </w:p>
    <w:p w14:paraId="64F1E0C5">
      <w:pPr>
        <w:spacing w:line="640" w:lineRule="exact"/>
        <w:ind w:firstLine="640"/>
        <w:jc w:val="both"/>
        <w:outlineLvl w:val="3"/>
      </w:pPr>
      <w:r>
        <w:rPr>
          <w:rFonts w:ascii="楷体_GB2312" w:hAnsi="楷体_GB2312" w:eastAsia="楷体_GB2312"/>
          <w:b/>
          <w:sz w:val="32"/>
        </w:rPr>
        <w:t>（一）一般公共预算财政拨款支出决算总体情况</w:t>
      </w:r>
    </w:p>
    <w:p w14:paraId="3CF92512">
      <w:pPr>
        <w:spacing w:line="580" w:lineRule="exact"/>
        <w:ind w:firstLine="640"/>
        <w:jc w:val="both"/>
      </w:pPr>
      <w:r>
        <w:rPr>
          <w:rFonts w:ascii="仿宋_GB2312" w:hAnsi="仿宋_GB2312" w:eastAsia="仿宋_GB2312"/>
          <w:b/>
          <w:sz w:val="32"/>
        </w:rPr>
        <w:t>2024年度一般公共预算财政拨款支出13,489.32万元，</w:t>
      </w:r>
      <w:r>
        <w:rPr>
          <w:rFonts w:ascii="仿宋_GB2312" w:hAnsi="仿宋_GB2312" w:eastAsia="仿宋_GB2312"/>
          <w:b w:val="0"/>
          <w:sz w:val="32"/>
        </w:rPr>
        <w:t>占本年支出合计的93.57%。</w:t>
      </w:r>
      <w:r>
        <w:rPr>
          <w:rFonts w:ascii="仿宋_GB2312" w:hAnsi="仿宋_GB2312" w:eastAsia="仿宋_GB2312"/>
          <w:b/>
          <w:sz w:val="32"/>
        </w:rPr>
        <w:t>与上年相比，</w:t>
      </w:r>
      <w:r>
        <w:rPr>
          <w:rFonts w:ascii="仿宋_GB2312" w:hAnsi="仿宋_GB2312" w:eastAsia="仿宋_GB2312"/>
          <w:b w:val="0"/>
          <w:sz w:val="32"/>
        </w:rPr>
        <w:t>增加6,955.20万元，增长106.44%，主要原因是：本年增加2024年核桃精深加工厂建设项目、恰尔巴格镇5、6、7、13村温室大棚建设项目。</w:t>
      </w:r>
      <w:r>
        <w:rPr>
          <w:rFonts w:ascii="仿宋_GB2312" w:hAnsi="仿宋_GB2312" w:eastAsia="仿宋_GB2312"/>
          <w:b/>
          <w:sz w:val="32"/>
        </w:rPr>
        <w:t>与年初预算相比,</w:t>
      </w:r>
      <w:r>
        <w:rPr>
          <w:rFonts w:ascii="仿宋_GB2312" w:hAnsi="仿宋_GB2312" w:eastAsia="仿宋_GB2312"/>
          <w:b w:val="0"/>
          <w:sz w:val="32"/>
        </w:rPr>
        <w:t>年初预算数2,490.80万元，决算数13,489.32万元，预决算差异率441.57%，主要原因是：年中追加人员工资、社保、公积金基数调增部分资金，追加核桃油高值化精深加工建设项目、种植业基地配套建设项目、林粮间作节水设施配套项目、林果业整形修剪补助项目、核桃高产示范园建设项目等项目资金，导致预决算存在差异。</w:t>
      </w:r>
    </w:p>
    <w:p w14:paraId="27F83F12">
      <w:pPr>
        <w:spacing w:line="640" w:lineRule="exact"/>
        <w:ind w:firstLine="640"/>
        <w:jc w:val="both"/>
        <w:outlineLvl w:val="3"/>
      </w:pPr>
      <w:r>
        <w:rPr>
          <w:rFonts w:ascii="楷体_GB2312" w:hAnsi="楷体_GB2312" w:eastAsia="楷体_GB2312"/>
          <w:b/>
          <w:sz w:val="32"/>
        </w:rPr>
        <w:t>（二）一般公共预算财政拨款支出决算结构情况</w:t>
      </w:r>
    </w:p>
    <w:p w14:paraId="5449525A">
      <w:pPr>
        <w:spacing w:line="580" w:lineRule="exact"/>
        <w:ind w:firstLine="640"/>
        <w:jc w:val="both"/>
      </w:pPr>
      <w:r>
        <w:rPr>
          <w:rFonts w:ascii="仿宋_GB2312" w:hAnsi="仿宋_GB2312" w:eastAsia="仿宋_GB2312"/>
          <w:b w:val="0"/>
          <w:sz w:val="32"/>
        </w:rPr>
        <w:t>1.一般公共服务支出(类)1,867.16万元,占13.84%。</w:t>
      </w:r>
    </w:p>
    <w:p w14:paraId="210CA58D">
      <w:pPr>
        <w:spacing w:line="580" w:lineRule="exact"/>
        <w:ind w:firstLine="640"/>
        <w:jc w:val="both"/>
      </w:pPr>
      <w:r>
        <w:rPr>
          <w:rFonts w:ascii="仿宋_GB2312" w:hAnsi="仿宋_GB2312" w:eastAsia="仿宋_GB2312"/>
          <w:b w:val="0"/>
          <w:sz w:val="32"/>
        </w:rPr>
        <w:t>2.公共安全支出(类)3.10万元,占0.02%。</w:t>
      </w:r>
    </w:p>
    <w:p w14:paraId="5DA21411">
      <w:pPr>
        <w:spacing w:line="580" w:lineRule="exact"/>
        <w:ind w:firstLine="640"/>
        <w:jc w:val="both"/>
      </w:pPr>
      <w:r>
        <w:rPr>
          <w:rFonts w:ascii="仿宋_GB2312" w:hAnsi="仿宋_GB2312" w:eastAsia="仿宋_GB2312"/>
          <w:b w:val="0"/>
          <w:sz w:val="32"/>
        </w:rPr>
        <w:t>3.文化旅游体育与传媒支出(类)3.24万元,占0.02%。</w:t>
      </w:r>
    </w:p>
    <w:p w14:paraId="68035FF1">
      <w:pPr>
        <w:spacing w:line="580" w:lineRule="exact"/>
        <w:ind w:firstLine="640"/>
        <w:jc w:val="both"/>
      </w:pPr>
      <w:r>
        <w:rPr>
          <w:rFonts w:ascii="仿宋_GB2312" w:hAnsi="仿宋_GB2312" w:eastAsia="仿宋_GB2312"/>
          <w:b w:val="0"/>
          <w:sz w:val="32"/>
        </w:rPr>
        <w:t>4.社会保障和就业支出(类)255.43万元,占1.89%。</w:t>
      </w:r>
    </w:p>
    <w:p w14:paraId="7F38DF2F">
      <w:pPr>
        <w:spacing w:line="580" w:lineRule="exact"/>
        <w:ind w:firstLine="640"/>
        <w:jc w:val="both"/>
      </w:pPr>
      <w:r>
        <w:rPr>
          <w:rFonts w:ascii="仿宋_GB2312" w:hAnsi="仿宋_GB2312" w:eastAsia="仿宋_GB2312"/>
          <w:b w:val="0"/>
          <w:sz w:val="32"/>
        </w:rPr>
        <w:t>5.卫生健康支出(类)113.33万元,占0.84%。</w:t>
      </w:r>
    </w:p>
    <w:p w14:paraId="2E6A5E51">
      <w:pPr>
        <w:spacing w:line="580" w:lineRule="exact"/>
        <w:ind w:firstLine="640"/>
        <w:jc w:val="both"/>
      </w:pPr>
      <w:r>
        <w:rPr>
          <w:rFonts w:ascii="仿宋_GB2312" w:hAnsi="仿宋_GB2312" w:eastAsia="仿宋_GB2312"/>
          <w:b w:val="0"/>
          <w:sz w:val="32"/>
        </w:rPr>
        <w:t>6.节能环保支出(类)8.35万元,占0.06%。</w:t>
      </w:r>
    </w:p>
    <w:p w14:paraId="77FDE483">
      <w:pPr>
        <w:spacing w:line="580" w:lineRule="exact"/>
        <w:ind w:firstLine="640"/>
        <w:jc w:val="both"/>
      </w:pPr>
      <w:r>
        <w:rPr>
          <w:rFonts w:ascii="仿宋_GB2312" w:hAnsi="仿宋_GB2312" w:eastAsia="仿宋_GB2312"/>
          <w:b w:val="0"/>
          <w:sz w:val="32"/>
        </w:rPr>
        <w:t>7.农林水支出(类)11,065.87万元,占82.03%。</w:t>
      </w:r>
    </w:p>
    <w:p w14:paraId="10350877">
      <w:pPr>
        <w:spacing w:line="580" w:lineRule="exact"/>
        <w:ind w:firstLine="640"/>
        <w:jc w:val="both"/>
      </w:pPr>
      <w:r>
        <w:rPr>
          <w:rFonts w:ascii="仿宋_GB2312" w:hAnsi="仿宋_GB2312" w:eastAsia="仿宋_GB2312"/>
          <w:b w:val="0"/>
          <w:sz w:val="32"/>
        </w:rPr>
        <w:t>8.交通运输支出(类)0.24万元,占0.002%。</w:t>
      </w:r>
    </w:p>
    <w:p w14:paraId="60DA549E">
      <w:pPr>
        <w:spacing w:line="580" w:lineRule="exact"/>
        <w:ind w:firstLine="640"/>
        <w:jc w:val="both"/>
      </w:pPr>
      <w:r>
        <w:rPr>
          <w:rFonts w:ascii="仿宋_GB2312" w:hAnsi="仿宋_GB2312" w:eastAsia="仿宋_GB2312"/>
          <w:b w:val="0"/>
          <w:sz w:val="32"/>
        </w:rPr>
        <w:t>9.住房保障支出(类)172.62万元,占1.28%。</w:t>
      </w:r>
    </w:p>
    <w:p w14:paraId="2C6C0E02">
      <w:pPr>
        <w:spacing w:line="640" w:lineRule="exact"/>
        <w:ind w:firstLine="640"/>
        <w:jc w:val="both"/>
        <w:outlineLvl w:val="3"/>
      </w:pPr>
      <w:r>
        <w:rPr>
          <w:rFonts w:ascii="楷体_GB2312" w:hAnsi="楷体_GB2312" w:eastAsia="楷体_GB2312"/>
          <w:b/>
          <w:sz w:val="32"/>
        </w:rPr>
        <w:t>（三）一般公共预算财政拨款支出决算具体情况</w:t>
      </w:r>
    </w:p>
    <w:p w14:paraId="2814C50F">
      <w:pPr>
        <w:spacing w:line="580" w:lineRule="exact"/>
        <w:ind w:firstLine="640"/>
        <w:jc w:val="both"/>
      </w:pPr>
      <w:r>
        <w:rPr>
          <w:rFonts w:ascii="仿宋_GB2312" w:hAnsi="仿宋_GB2312" w:eastAsia="仿宋_GB2312"/>
          <w:b w:val="0"/>
          <w:sz w:val="32"/>
        </w:rPr>
        <w:t>1.一般公共服务支出(类)人大事务(款)代表工作(项):支出决算数为2.58万元，比上年决算减少1.54万元，下降37.38%,主要原因是：本年度人大活动经费减少。</w:t>
      </w:r>
    </w:p>
    <w:p w14:paraId="61E2DBDC">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2.一般公共服务支出(类)人大事务(款)其他人大事务支出(项):支出决算数为0.00万元，比上年决算减少2.58万元，下降100.00%,主要原因是：本年减少自治区人大代表活动经费项目。</w:t>
      </w:r>
    </w:p>
    <w:p w14:paraId="6C960B87">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3.一般公共服务支出(类)政府办公厅（室）及相关机构事务(款)行政运行(项):支出决算数为1,626.78万元，比上年决算减少166.81万元，下降9.30%,主要原因是：本年在职人员减少，相应人员经费较上年减少。</w:t>
      </w:r>
    </w:p>
    <w:p w14:paraId="0735B0C6">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4.一般公共服务支出(类)政府办公厅（室）及相关机构事务(款)一般行政管理事务(项):支出决算数为49.30万元，比上年决算增加9.30万元，增长23.25%,主要原因是：2024年乡镇工作经费项目较上年增加。</w:t>
      </w:r>
    </w:p>
    <w:p w14:paraId="20478EF7">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5.一般公共服务支出(类)纪检监察事务(款)其他纪检监察事务支出(项):支出决算数为2.00万元，比上年决算增加1.00万元，增长100.00%,主要原因是：本年纪检经费增加。</w:t>
      </w:r>
    </w:p>
    <w:p w14:paraId="18E984D6">
      <w:pPr>
        <w:spacing w:line="580" w:lineRule="exact"/>
        <w:ind w:firstLine="640"/>
        <w:jc w:val="both"/>
      </w:pPr>
      <w:r>
        <w:rPr>
          <w:rFonts w:ascii="仿宋_GB2312" w:hAnsi="仿宋_GB2312" w:eastAsia="仿宋_GB2312"/>
          <w:b w:val="0"/>
          <w:sz w:val="32"/>
        </w:rPr>
        <w:t>6.一般公共服务支出(类)组织事务(款)其他组织事务支出(项):支出决算数为180.50万元，比上年决算减少44.47万元，下降19.77%,主要原因是：本年减少恰尔巴格镇2023年为民办实事经费和村级运转经费。</w:t>
      </w:r>
    </w:p>
    <w:p w14:paraId="69808B5E">
      <w:pPr>
        <w:spacing w:line="580" w:lineRule="exact"/>
        <w:ind w:firstLine="640"/>
        <w:jc w:val="both"/>
      </w:pPr>
      <w:r>
        <w:rPr>
          <w:rFonts w:ascii="仿宋_GB2312" w:hAnsi="仿宋_GB2312" w:eastAsia="仿宋_GB2312"/>
          <w:b w:val="0"/>
          <w:sz w:val="32"/>
        </w:rPr>
        <w:t>7.一般公共服务支出(类)统战事务(款)宗教事务(项):支出决算数为6.00万元，比上年决算增加6.00万元，增长100.00%,主要原因是：本年管委会工作经费由其他统战事务支出(项)调整至宗教事务(项)列支。</w:t>
      </w:r>
    </w:p>
    <w:p w14:paraId="5A62612A">
      <w:pPr>
        <w:spacing w:line="580" w:lineRule="exact"/>
        <w:ind w:firstLine="640"/>
        <w:jc w:val="both"/>
      </w:pPr>
      <w:r>
        <w:rPr>
          <w:rFonts w:ascii="仿宋_GB2312" w:hAnsi="仿宋_GB2312" w:eastAsia="仿宋_GB2312"/>
          <w:b w:val="0"/>
          <w:sz w:val="32"/>
        </w:rPr>
        <w:t>8.一般公共服务支出(类)统战事务(款)其他统战事务支出(项):支出决算数为0.00万元，比上年决算减少9.68万元，下降100.00%,主要原因是：本年管委会工作经费由其他统战事务支出(项)调整至宗教事务(项)列支。</w:t>
      </w:r>
    </w:p>
    <w:p w14:paraId="59C8DF92">
      <w:pPr>
        <w:spacing w:line="580" w:lineRule="exact"/>
        <w:ind w:firstLine="640"/>
        <w:jc w:val="both"/>
      </w:pPr>
      <w:r>
        <w:rPr>
          <w:rFonts w:ascii="仿宋_GB2312" w:hAnsi="仿宋_GB2312" w:eastAsia="仿宋_GB2312"/>
          <w:b w:val="0"/>
          <w:sz w:val="32"/>
        </w:rPr>
        <w:t>9.公共安全支出(类)其他公共安全支出(款)其他公共安全支出(项):支出决算数为3.10万元，比上年决算减少6.90万元，下降69.00%,主要原因是：本年信息奖励经费减少。</w:t>
      </w:r>
    </w:p>
    <w:p w14:paraId="5C31DD5D">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10.文化旅游体育与传媒支出(类)文化和旅游(款)其他文化和旅游支出(项):支出决算数为0.46万元，比上年决算减少4.54万元，下降90.80%,主要原因是：本年文化站免费开放补助资金较上年减少。</w:t>
      </w:r>
    </w:p>
    <w:p w14:paraId="54D8886D">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2.77万元，比上年决算减少3.59万元，下降56.45%,主要原因是：本年公共文化服务体系建设补助资金减少。</w:t>
      </w:r>
    </w:p>
    <w:p w14:paraId="125C5BE8">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12.社会保障和就业支出(类)民政管理事务(款)其他民政管理事务支出(项):支出决算数为5.00万元，比上年决算增加0.00万元，增长0.00%,主要原因是：2024年自治区农村幸福大院补助资金与上年一致无变化。</w:t>
      </w:r>
    </w:p>
    <w:p w14:paraId="424902AB">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13.社会保障和就业支出(类)行政事业单位养老支出(款)行政单位离退休(项):支出决算数为18.23万元，比上年决算增加0.16万元，增长0.89%,主要原因是：本年退休增加6人，相应行政单位离退休经费增加。</w:t>
      </w:r>
    </w:p>
    <w:p w14:paraId="67C6143F">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217.72万元，比上年决算增加39.50万元，增长22.16%,主要原因是：本年在职人员工资基数调增，养老缴费基数上涨，相应支出增加。</w:t>
      </w:r>
    </w:p>
    <w:p w14:paraId="24CDA1EB">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15.社会保障和就业支出(类)行政事业单位养老支出(款)机关事业单位职业年金缴费支出(项):支出决算数为14.48万元，比上年决算增加5.12万元，增长54.70%,主要原因是：本年退休人员增加，职业年金缴费支出增加。</w:t>
      </w:r>
    </w:p>
    <w:p w14:paraId="098C28C1">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16.社会保障和就业支出(类)抚恤(款)死亡抚恤(项):支出决算数为0.00万元，比上年决算减少26.31万元，下降100.00%,主要原因是：本年无新增死亡人员，死亡抚恤支出较上年减少。</w:t>
      </w:r>
    </w:p>
    <w:p w14:paraId="2149CDE4">
      <w:pPr>
        <w:spacing w:line="580" w:lineRule="exact"/>
        <w:ind w:firstLine="640"/>
        <w:jc w:val="both"/>
      </w:pPr>
      <w:r>
        <w:rPr>
          <w:rFonts w:ascii="仿宋_GB2312" w:hAnsi="仿宋_GB2312" w:eastAsia="仿宋_GB2312"/>
          <w:b w:val="0"/>
          <w:sz w:val="32"/>
        </w:rPr>
        <w:t>17.卫生健康支出(类)行政事业单位医疗(款)行政单位医疗(项):支出决算数为92.53万元，比上年决算增加20.57万元，增长28.59%,主要原因是：本年在职人员工资基数调增，医疗缴费基数上涨，相应支出增加。</w:t>
      </w:r>
    </w:p>
    <w:p w14:paraId="1994C8CF">
      <w:pPr>
        <w:spacing w:line="580" w:lineRule="exact"/>
        <w:ind w:firstLine="640"/>
        <w:jc w:val="both"/>
      </w:pPr>
      <w:r>
        <w:rPr>
          <w:rFonts w:ascii="仿宋_GB2312" w:hAnsi="仿宋_GB2312" w:eastAsia="仿宋_GB2312"/>
          <w:b w:val="0"/>
          <w:sz w:val="32"/>
        </w:rPr>
        <w:t>18.卫生健康支出(类)行政事业单位医疗(款)公务员医疗补助(项):支出决算数为20.80万元，比上年决算增加3.92万元，增长23.22%,主要原因是：本年在职人员工资基数调增，公务员医疗补助缴费基数上涨，公务员医疗补助支出增加。</w:t>
      </w:r>
    </w:p>
    <w:p w14:paraId="1971AC62">
      <w:pPr>
        <w:spacing w:line="580" w:lineRule="exact"/>
        <w:ind w:firstLine="640"/>
        <w:jc w:val="both"/>
      </w:pPr>
      <w:r>
        <w:rPr>
          <w:rFonts w:ascii="仿宋_GB2312" w:hAnsi="仿宋_GB2312" w:eastAsia="仿宋_GB2312"/>
          <w:b w:val="0"/>
          <w:sz w:val="32"/>
        </w:rPr>
        <w:t>19.节能环保支出(类)自然生态保护(款)农村环境保护(项):支出决算数为0.00万元，比上年决算减少201.08万元，下降100.00%,主要原因是：本年减少中央农村环境整治资金。</w:t>
      </w:r>
    </w:p>
    <w:p w14:paraId="2AFBD800">
      <w:pPr>
        <w:spacing w:line="580" w:lineRule="exact"/>
        <w:ind w:firstLine="640"/>
        <w:jc w:val="both"/>
      </w:pPr>
      <w:r>
        <w:rPr>
          <w:rFonts w:ascii="仿宋_GB2312" w:hAnsi="仿宋_GB2312" w:eastAsia="仿宋_GB2312"/>
          <w:b w:val="0"/>
          <w:sz w:val="32"/>
        </w:rPr>
        <w:t>20.节能环保支出(类)能源节约利用(款)能源节约利用(项):支出决算数为8.35万元，比上年决算减少1,049.61万元，下降99.21%,主要原因是：本年减少煤改电项目资金。</w:t>
      </w:r>
    </w:p>
    <w:p w14:paraId="632A3C2E">
      <w:pPr>
        <w:spacing w:line="580" w:lineRule="exact"/>
        <w:ind w:firstLine="640"/>
        <w:jc w:val="both"/>
      </w:pPr>
      <w:r>
        <w:rPr>
          <w:rFonts w:ascii="仿宋_GB2312" w:hAnsi="仿宋_GB2312" w:eastAsia="仿宋_GB2312"/>
          <w:b w:val="0"/>
          <w:sz w:val="32"/>
        </w:rPr>
        <w:t>21.农林水支出(类)农业农村(款)行政运行(项):支出决算数为0.00万元，比上年决算减少58.81万元，下降100.00%,主要原因是：本年功能科目调整，奖金上年度在农林水支出(类)农业农村(款)行政运行(项)，本年调整至一般公共服务支出(类)政府办公厅（室）及相关机构事务(款)行政运行(项)。</w:t>
      </w:r>
    </w:p>
    <w:p w14:paraId="163EFB16">
      <w:pPr>
        <w:spacing w:line="580" w:lineRule="exact"/>
        <w:ind w:firstLine="640"/>
        <w:jc w:val="both"/>
      </w:pPr>
      <w:r>
        <w:rPr>
          <w:rFonts w:ascii="仿宋_GB2312" w:hAnsi="仿宋_GB2312" w:eastAsia="仿宋_GB2312"/>
          <w:b w:val="0"/>
          <w:sz w:val="32"/>
        </w:rPr>
        <w:t>22.农林水支出(类)农业农村(款)农业生产发展(项):支出决算数为3.52万元，比上年决算增加3.52万元，增长100.00%,主要原因是：本年度增加高素质农民培育项目。</w:t>
      </w:r>
    </w:p>
    <w:p w14:paraId="0CC84546">
      <w:pPr>
        <w:spacing w:line="580" w:lineRule="exact"/>
        <w:ind w:firstLine="640"/>
        <w:jc w:val="both"/>
      </w:pPr>
      <w:r>
        <w:rPr>
          <w:rFonts w:ascii="仿宋_GB2312" w:hAnsi="仿宋_GB2312" w:eastAsia="仿宋_GB2312"/>
          <w:b w:val="0"/>
          <w:sz w:val="32"/>
        </w:rPr>
        <w:t>23.农林水支出(类)巩固脱贫攻坚成果衔接乡村振兴(款)农村基础设施建设(项):支出决算数为0.00万元，比上年决算减少8.59万元，下降100.00%,主要原因是：本年减少叶城县恰尔巴格镇林果加工产业基地一期工程。</w:t>
      </w:r>
    </w:p>
    <w:p w14:paraId="0471F5F0">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11,062.35万元，比上年决算增加8,400.90万元，增长315.65%,主要原因是：本年增加2024年核桃精深加工厂建设项目、恰尔巴格镇5、6、7、13村温室大棚建设项目。</w:t>
      </w:r>
    </w:p>
    <w:p w14:paraId="641EAAB5">
      <w:pPr>
        <w:spacing w:line="580" w:lineRule="exact"/>
        <w:ind w:firstLine="640"/>
        <w:jc w:val="both"/>
      </w:pPr>
      <w:r>
        <w:rPr>
          <w:rFonts w:ascii="仿宋_GB2312" w:hAnsi="仿宋_GB2312" w:eastAsia="仿宋_GB2312"/>
          <w:b w:val="0"/>
          <w:sz w:val="32"/>
        </w:rPr>
        <w:t>25.交通运输支出(类)邮政业支出(款)邮政普遍服务与特殊服务(项):支出决算数为0.24万元，比上年决算增加0.00万元，增长0.00%,主要原因是：2024年农牧区投递员专项补贴资金与上年持平。</w:t>
      </w:r>
    </w:p>
    <w:p w14:paraId="5027A4D9">
      <w:pPr>
        <w:spacing w:line="580" w:lineRule="exact"/>
        <w:ind w:firstLine="640"/>
        <w:jc w:val="both"/>
      </w:pPr>
      <w:r>
        <w:rPr>
          <w:rFonts w:ascii="仿宋_GB2312" w:hAnsi="仿宋_GB2312" w:eastAsia="仿宋_GB2312"/>
          <w:b w:val="0"/>
          <w:sz w:val="32"/>
        </w:rPr>
        <w:t>26.住房保障支出(类)住房改革支出(款)住房公积金(项):支出决算数为172.62万元，比上年决算增加49.72万元，增长40.46%,主要原因是：本年在职人员工资基数调增，公积金缴费基数上涨，相应支出增加。</w:t>
      </w:r>
    </w:p>
    <w:p w14:paraId="13AADECE">
      <w:pPr>
        <w:spacing w:line="640" w:lineRule="exact"/>
        <w:ind w:firstLine="640"/>
        <w:jc w:val="both"/>
        <w:outlineLvl w:val="2"/>
      </w:pPr>
      <w:r>
        <w:rPr>
          <w:rFonts w:ascii="黑体" w:hAnsi="黑体" w:eastAsia="黑体"/>
          <w:sz w:val="32"/>
        </w:rPr>
        <w:t>六、一般公共预算财政拨款基本支出决算情况说明</w:t>
      </w:r>
    </w:p>
    <w:p w14:paraId="641748B0">
      <w:pPr>
        <w:spacing w:line="580" w:lineRule="exact"/>
        <w:ind w:firstLine="640"/>
        <w:jc w:val="both"/>
      </w:pPr>
      <w:r>
        <w:rPr>
          <w:rFonts w:ascii="仿宋_GB2312" w:hAnsi="仿宋_GB2312" w:eastAsia="仿宋_GB2312"/>
          <w:b w:val="0"/>
          <w:sz w:val="32"/>
        </w:rPr>
        <w:t>2024年度一般公共预算财政拨款基本支出2,163.15万元，其中：</w:t>
      </w:r>
      <w:r>
        <w:rPr>
          <w:rFonts w:ascii="仿宋_GB2312" w:hAnsi="仿宋_GB2312" w:eastAsia="仿宋_GB2312"/>
          <w:b/>
          <w:sz w:val="32"/>
        </w:rPr>
        <w:t>人员经费2,108.53万元，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25268565">
      <w:pPr>
        <w:spacing w:line="580" w:lineRule="exact"/>
        <w:ind w:firstLine="640"/>
        <w:jc w:val="both"/>
      </w:pPr>
      <w:r>
        <w:rPr>
          <w:rFonts w:ascii="仿宋_GB2312" w:hAnsi="仿宋_GB2312" w:eastAsia="仿宋_GB2312"/>
          <w:b/>
          <w:sz w:val="32"/>
        </w:rPr>
        <w:t>公用经费54.62万元，</w:t>
      </w:r>
      <w:r>
        <w:rPr>
          <w:rFonts w:ascii="仿宋_GB2312" w:hAnsi="仿宋_GB2312" w:eastAsia="仿宋_GB2312"/>
          <w:b w:val="0"/>
          <w:sz w:val="32"/>
        </w:rPr>
        <w:t>包括：办公费、印刷费、水费、电费、邮电费、公务用车运行维护费。</w:t>
      </w:r>
    </w:p>
    <w:p w14:paraId="049CAD1B">
      <w:pPr>
        <w:spacing w:line="640" w:lineRule="exact"/>
        <w:ind w:firstLine="640"/>
        <w:jc w:val="both"/>
        <w:outlineLvl w:val="2"/>
      </w:pPr>
      <w:r>
        <w:rPr>
          <w:rFonts w:ascii="黑体" w:hAnsi="黑体" w:eastAsia="黑体"/>
          <w:sz w:val="32"/>
        </w:rPr>
        <w:t>七、政府性基金预算财政拨款收入支出决算情况说明</w:t>
      </w:r>
    </w:p>
    <w:p w14:paraId="00C2C57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588B607">
      <w:pPr>
        <w:spacing w:line="640" w:lineRule="exact"/>
        <w:ind w:firstLine="640"/>
        <w:jc w:val="both"/>
        <w:outlineLvl w:val="2"/>
      </w:pPr>
      <w:r>
        <w:rPr>
          <w:rFonts w:ascii="黑体" w:hAnsi="黑体" w:eastAsia="黑体"/>
          <w:sz w:val="32"/>
        </w:rPr>
        <w:t>八、国有资本经营预算财政拨款收入支出决算情况说明</w:t>
      </w:r>
    </w:p>
    <w:p w14:paraId="5FBBFA2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531017">
      <w:pPr>
        <w:spacing w:line="640" w:lineRule="exact"/>
        <w:ind w:firstLine="640"/>
        <w:jc w:val="both"/>
        <w:outlineLvl w:val="2"/>
      </w:pPr>
      <w:r>
        <w:rPr>
          <w:rFonts w:ascii="黑体" w:hAnsi="黑体" w:eastAsia="黑体"/>
          <w:sz w:val="32"/>
        </w:rPr>
        <w:t>九、财政拨款“三公”经费支出决算情况说明</w:t>
      </w:r>
    </w:p>
    <w:p w14:paraId="38218E8D">
      <w:pPr>
        <w:spacing w:line="580" w:lineRule="exact"/>
        <w:ind w:firstLine="640"/>
        <w:jc w:val="both"/>
      </w:pPr>
      <w:r>
        <w:rPr>
          <w:rFonts w:ascii="仿宋_GB2312" w:hAnsi="仿宋_GB2312" w:eastAsia="仿宋_GB2312"/>
          <w:b/>
          <w:sz w:val="32"/>
        </w:rPr>
        <w:t>2024年度财政拨款“三公”经费支出3.39万元，</w:t>
      </w:r>
      <w:r>
        <w:rPr>
          <w:rFonts w:ascii="仿宋_GB2312" w:hAnsi="仿宋_GB2312" w:eastAsia="仿宋_GB2312"/>
          <w:b w:val="0"/>
          <w:sz w:val="32"/>
        </w:rPr>
        <w:t>比上年减少2.13万元，下降38.59%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3.39万元，占100.00%，比上年减少2.13万元，下降38.59%，主要原因是：严格落实中央八项规定精神，厉行节约，减少公务用车运行维护费。公务接待费支出0.00万元，占0.00%，比上年增加0.00万元，增长0.00%，主要原因是：2023年与2024年均未安排公务接待费支出。</w:t>
      </w:r>
    </w:p>
    <w:p w14:paraId="34484CFC">
      <w:pPr>
        <w:spacing w:line="580" w:lineRule="exact"/>
        <w:ind w:firstLine="640"/>
        <w:jc w:val="both"/>
      </w:pPr>
      <w:r>
        <w:rPr>
          <w:rFonts w:ascii="仿宋_GB2312" w:hAnsi="仿宋_GB2312" w:eastAsia="仿宋_GB2312"/>
          <w:b/>
          <w:sz w:val="32"/>
        </w:rPr>
        <w:t>具体情况如下：</w:t>
      </w:r>
    </w:p>
    <w:p w14:paraId="486823A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DE873A">
      <w:pPr>
        <w:spacing w:line="580" w:lineRule="exact"/>
        <w:ind w:firstLine="640"/>
        <w:jc w:val="both"/>
      </w:pPr>
      <w:r>
        <w:rPr>
          <w:rFonts w:ascii="仿宋_GB2312" w:hAnsi="仿宋_GB2312" w:eastAsia="仿宋_GB2312"/>
          <w:b w:val="0"/>
          <w:sz w:val="32"/>
        </w:rPr>
        <w:t>公务用车购置及运行维护费3.39万元，其中：公务用车购置费0.00万元，公务用车运行维护费3.39万元。公务用车运行维护费开支内容包括燃油费、车辆保险费、维修维护费。公务用车购置数0辆，公务用车保有量6辆。国有资产占用情况中固定资产车辆6辆，与公务用车保有量差异原因是：本单位固定资产车辆与公务用车保有量一致无差异。</w:t>
      </w:r>
    </w:p>
    <w:p w14:paraId="520D12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8978C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5.67万元，决算数3.39万元，预决算差异率-40.21%，主要原因是：严格落实中央八项规定精神，厉行节约，减少公务用车运行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5.67万元，决算数3.39万元，预决算差异率-40.21%，主要原因是：严格落实中央八项规定精神，厉行节约，减少公务用车运行费支出。公务接待费全年预算数0.00万元，决算数0.00万元，预决算差异率0.00%，主要原因是：本单位无公务接待费。</w:t>
      </w:r>
    </w:p>
    <w:p w14:paraId="260F2108">
      <w:pPr>
        <w:spacing w:line="640" w:lineRule="exact"/>
        <w:ind w:firstLine="640"/>
        <w:jc w:val="both"/>
        <w:outlineLvl w:val="2"/>
      </w:pPr>
      <w:r>
        <w:rPr>
          <w:rFonts w:ascii="黑体" w:hAnsi="黑体" w:eastAsia="黑体"/>
          <w:sz w:val="32"/>
        </w:rPr>
        <w:t>十、其他重要事项的情况说明</w:t>
      </w:r>
    </w:p>
    <w:p w14:paraId="4C68B81C">
      <w:pPr>
        <w:spacing w:line="640" w:lineRule="exact"/>
        <w:ind w:firstLine="640"/>
        <w:jc w:val="both"/>
        <w:outlineLvl w:val="3"/>
      </w:pPr>
      <w:r>
        <w:rPr>
          <w:rFonts w:ascii="楷体_GB2312" w:hAnsi="楷体_GB2312" w:eastAsia="楷体_GB2312"/>
          <w:b/>
          <w:sz w:val="32"/>
        </w:rPr>
        <w:t>（一）机关运行经费及公用经费支出情况</w:t>
      </w:r>
    </w:p>
    <w:p w14:paraId="2CF7CD89">
      <w:pPr>
        <w:spacing w:line="580" w:lineRule="exact"/>
        <w:ind w:firstLine="640"/>
        <w:jc w:val="both"/>
      </w:pPr>
      <w:r>
        <w:rPr>
          <w:rFonts w:ascii="仿宋_GB2312" w:hAnsi="仿宋_GB2312" w:eastAsia="仿宋_GB2312"/>
          <w:b w:val="0"/>
          <w:sz w:val="32"/>
        </w:rPr>
        <w:t>2024年度叶城县恰尔巴格镇人民政府（行政单位和参照公务员法管理事业单位）机关运行经费支出54.62万元，比上年增加17.13万元，增长45.69%，主要原因是：本年业务量增加，增加办公费、电费、水费、印刷费等公用经费支出。</w:t>
      </w:r>
    </w:p>
    <w:p w14:paraId="3E792046">
      <w:pPr>
        <w:spacing w:line="640" w:lineRule="exact"/>
        <w:ind w:firstLine="640"/>
        <w:jc w:val="both"/>
        <w:outlineLvl w:val="3"/>
      </w:pPr>
      <w:r>
        <w:rPr>
          <w:rFonts w:ascii="楷体_GB2312" w:hAnsi="楷体_GB2312" w:eastAsia="楷体_GB2312"/>
          <w:b/>
          <w:sz w:val="32"/>
        </w:rPr>
        <w:t>（二）政府采购情况</w:t>
      </w:r>
    </w:p>
    <w:p w14:paraId="2228F6B4">
      <w:pPr>
        <w:spacing w:line="580" w:lineRule="exact"/>
        <w:ind w:firstLine="640"/>
        <w:jc w:val="both"/>
      </w:pPr>
      <w:r>
        <w:rPr>
          <w:rFonts w:ascii="仿宋_GB2312" w:hAnsi="仿宋_GB2312" w:eastAsia="仿宋_GB2312"/>
          <w:b w:val="0"/>
          <w:sz w:val="32"/>
        </w:rPr>
        <w:t>2024年度政府采购支出总额1,277.85万元，其中：政府采购货物支出1,258.27万元、政府采购工程支出0.00万元、政府采购服务支出19.58万元。</w:t>
      </w:r>
    </w:p>
    <w:p w14:paraId="3E1AE895">
      <w:pPr>
        <w:spacing w:line="580" w:lineRule="exact"/>
        <w:ind w:firstLine="640"/>
        <w:jc w:val="both"/>
      </w:pPr>
      <w:r>
        <w:rPr>
          <w:rFonts w:ascii="仿宋_GB2312" w:hAnsi="仿宋_GB2312" w:eastAsia="仿宋_GB2312"/>
          <w:b w:val="0"/>
          <w:sz w:val="32"/>
        </w:rPr>
        <w:t>授予中小企业合同金额50.98万元，占政府采购支出总额的3.99%，其中：授予小微企业合同金额48.80万元，占政府采购支出总额的3.82%。</w:t>
      </w:r>
    </w:p>
    <w:p w14:paraId="73D93C7B">
      <w:pPr>
        <w:spacing w:line="640" w:lineRule="exact"/>
        <w:ind w:firstLine="640"/>
        <w:jc w:val="both"/>
        <w:outlineLvl w:val="3"/>
      </w:pPr>
      <w:r>
        <w:rPr>
          <w:rFonts w:ascii="楷体_GB2312" w:hAnsi="楷体_GB2312" w:eastAsia="楷体_GB2312"/>
          <w:b/>
          <w:sz w:val="32"/>
        </w:rPr>
        <w:t>（三）国有资产占用情况说明</w:t>
      </w:r>
    </w:p>
    <w:p w14:paraId="5CF70AC1">
      <w:pPr>
        <w:spacing w:line="580" w:lineRule="exact"/>
        <w:ind w:firstLine="640"/>
        <w:jc w:val="both"/>
      </w:pPr>
      <w:r>
        <w:rPr>
          <w:rFonts w:ascii="仿宋_GB2312" w:hAnsi="仿宋_GB2312" w:eastAsia="仿宋_GB2312"/>
          <w:b w:val="0"/>
          <w:sz w:val="32"/>
        </w:rPr>
        <w:t>截至2024年12月31日，房屋21,107.35平方米，价值3,199.78万元。车辆6辆，价值54.25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359FC701">
      <w:pPr>
        <w:spacing w:line="640" w:lineRule="exact"/>
        <w:ind w:firstLine="640"/>
        <w:jc w:val="both"/>
        <w:outlineLvl w:val="2"/>
      </w:pPr>
      <w:r>
        <w:rPr>
          <w:rFonts w:ascii="黑体" w:hAnsi="黑体" w:eastAsia="黑体"/>
          <w:sz w:val="32"/>
        </w:rPr>
        <w:t>十一、预算绩效的情况说明</w:t>
      </w:r>
    </w:p>
    <w:p w14:paraId="7D25B30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14,416.62万元，实际执行总额14,416.62万元；预算绩效评价项目2个，全年预算数56.55万元，全年执行数49.30万元。预算绩效管理取得的成效：</w:t>
      </w:r>
      <w:r>
        <w:rPr>
          <w:rFonts w:hint="eastAsia" w:ascii="仿宋_GB2312" w:hAnsi="仿宋_GB2312" w:eastAsia="仿宋_GB2312"/>
          <w:b w:val="0"/>
          <w:sz w:val="32"/>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仿宋_GB2312" w:eastAsia="仿宋_GB2312"/>
          <w:b w:val="0"/>
          <w:sz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hAnsi="仿宋_GB2312" w:eastAsia="仿宋_GB2312"/>
          <w:b w:val="0"/>
          <w:sz w:val="32"/>
        </w:rPr>
        <w:t>下一步改进措施：</w:t>
      </w:r>
      <w:r>
        <w:rPr>
          <w:rFonts w:hint="eastAsia" w:ascii="仿宋_GB2312" w:hAnsi="仿宋_GB2312" w:eastAsia="仿宋_GB2312"/>
          <w:b w:val="0"/>
          <w:sz w:val="32"/>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bookmarkStart w:id="0" w:name="_GoBack"/>
      <w:bookmarkEnd w:id="0"/>
      <w:r>
        <w:rPr>
          <w:rFonts w:hint="eastAsia" w:ascii="仿宋_GB2312" w:hAnsi="仿宋_GB2312" w:eastAsia="仿宋_GB2312"/>
          <w:b w:val="0"/>
          <w:sz w:val="32"/>
        </w:rPr>
        <w:t>开展提供帮助。</w:t>
      </w:r>
      <w:r>
        <w:rPr>
          <w:rFonts w:ascii="仿宋_GB2312" w:hAnsi="仿宋_GB2312" w:eastAsia="仿宋_GB2312"/>
          <w:b w:val="0"/>
          <w:sz w:val="32"/>
        </w:rPr>
        <w:t>具体附整体支出绩效自评表，项目支出绩效自评表和评价报告。</w:t>
      </w:r>
    </w:p>
    <w:p w14:paraId="19DF1B2B">
      <w:r>
        <w:br w:type="page"/>
      </w:r>
    </w:p>
    <w:tbl>
      <w:tblPr>
        <w:tblStyle w:val="9"/>
        <w:tblW w:w="9540" w:type="dxa"/>
        <w:tblInd w:w="0" w:type="dxa"/>
        <w:tblLayout w:type="autofit"/>
        <w:tblCellMar>
          <w:top w:w="0" w:type="dxa"/>
          <w:left w:w="108" w:type="dxa"/>
          <w:bottom w:w="0" w:type="dxa"/>
          <w:right w:w="108" w:type="dxa"/>
        </w:tblCellMar>
      </w:tblPr>
      <w:tblGrid>
        <w:gridCol w:w="1059"/>
        <w:gridCol w:w="1059"/>
        <w:gridCol w:w="1059"/>
        <w:gridCol w:w="1059"/>
        <w:gridCol w:w="1059"/>
        <w:gridCol w:w="1059"/>
        <w:gridCol w:w="1059"/>
        <w:gridCol w:w="1059"/>
        <w:gridCol w:w="1068"/>
      </w:tblGrid>
      <w:tr w14:paraId="1FAE7884">
        <w:tblPrEx>
          <w:tblCellMar>
            <w:top w:w="0" w:type="dxa"/>
            <w:left w:w="108" w:type="dxa"/>
            <w:bottom w:w="0" w:type="dxa"/>
            <w:right w:w="108" w:type="dxa"/>
          </w:tblCellMar>
        </w:tblPrEx>
        <w:trPr>
          <w:trHeight w:val="90" w:hRule="atLeast"/>
        </w:trPr>
        <w:tc>
          <w:tcPr>
            <w:tcW w:w="9540" w:type="dxa"/>
            <w:gridSpan w:val="9"/>
            <w:vAlign w:val="center"/>
          </w:tcPr>
          <w:p w14:paraId="44FD3AD6">
            <w:pPr>
              <w:jc w:val="center"/>
            </w:pPr>
            <w:r>
              <w:rPr>
                <w:rFonts w:ascii="宋体" w:hAnsi="宋体" w:eastAsia="宋体"/>
                <w:sz w:val="24"/>
              </w:rPr>
              <w:t>单位整体支出绩效自评表</w:t>
            </w:r>
          </w:p>
        </w:tc>
      </w:tr>
      <w:tr w14:paraId="110D4496">
        <w:tblPrEx>
          <w:tblCellMar>
            <w:top w:w="0" w:type="dxa"/>
            <w:left w:w="108" w:type="dxa"/>
            <w:bottom w:w="0" w:type="dxa"/>
            <w:right w:w="108" w:type="dxa"/>
          </w:tblCellMar>
        </w:tblPrEx>
        <w:trPr>
          <w:trHeight w:val="90" w:hRule="atLeast"/>
        </w:trPr>
        <w:tc>
          <w:tcPr>
            <w:tcW w:w="9540" w:type="dxa"/>
            <w:gridSpan w:val="9"/>
            <w:vAlign w:val="center"/>
          </w:tcPr>
          <w:p w14:paraId="06BCBC09">
            <w:pPr>
              <w:jc w:val="center"/>
            </w:pPr>
            <w:r>
              <w:rPr>
                <w:rFonts w:ascii="宋体" w:hAnsi="宋体" w:eastAsia="宋体"/>
                <w:sz w:val="24"/>
              </w:rPr>
              <w:t>（2024年度）</w:t>
            </w:r>
          </w:p>
        </w:tc>
      </w:tr>
      <w:tr w14:paraId="25296CFA">
        <w:tblPrEx>
          <w:tblCellMar>
            <w:top w:w="0" w:type="dxa"/>
            <w:left w:w="108" w:type="dxa"/>
            <w:bottom w:w="0" w:type="dxa"/>
            <w:right w:w="108" w:type="dxa"/>
          </w:tblCellMar>
        </w:tblPrEx>
        <w:trPr>
          <w:trHeight w:val="94" w:hRule="atLeast"/>
        </w:trPr>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55BED65">
            <w:pPr>
              <w:jc w:val="center"/>
            </w:pPr>
            <w:r>
              <w:rPr>
                <w:rFonts w:ascii="宋体" w:hAnsi="宋体" w:eastAsia="宋体"/>
                <w:sz w:val="16"/>
              </w:rPr>
              <w:t>单位名称</w:t>
            </w:r>
          </w:p>
        </w:tc>
        <w:tc>
          <w:tcPr>
            <w:tcW w:w="848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D7BFFA">
            <w:pPr>
              <w:jc w:val="center"/>
            </w:pPr>
            <w:r>
              <w:rPr>
                <w:rFonts w:ascii="宋体" w:hAnsi="宋体" w:eastAsia="宋体"/>
                <w:sz w:val="16"/>
              </w:rPr>
              <w:t>叶城县恰尔巴格镇人民政府</w:t>
            </w:r>
          </w:p>
        </w:tc>
      </w:tr>
      <w:tr w14:paraId="7576C503">
        <w:tblPrEx>
          <w:tblCellMar>
            <w:top w:w="0" w:type="dxa"/>
            <w:left w:w="108" w:type="dxa"/>
            <w:bottom w:w="0" w:type="dxa"/>
            <w:right w:w="108" w:type="dxa"/>
          </w:tblCellMar>
        </w:tblPrEx>
        <w:trPr>
          <w:trHeight w:val="182" w:hRule="atLeast"/>
        </w:trPr>
        <w:tc>
          <w:tcPr>
            <w:tcW w:w="10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5AF43">
            <w:pPr>
              <w:jc w:val="center"/>
            </w:pPr>
            <w:r>
              <w:rPr>
                <w:rFonts w:ascii="宋体" w:hAnsi="宋体" w:eastAsia="宋体"/>
                <w:sz w:val="16"/>
              </w:rPr>
              <w:t>部门资金（万元）</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61E6534">
            <w:pPr>
              <w:jc w:val="center"/>
            </w:pPr>
            <w:r>
              <w:rPr>
                <w:rFonts w:ascii="宋体" w:hAnsi="宋体" w:eastAsia="宋体"/>
                <w:sz w:val="16"/>
              </w:rPr>
              <w:t>资金来源</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6339D60">
            <w:pPr>
              <w:jc w:val="center"/>
            </w:pPr>
            <w:r>
              <w:rPr>
                <w:rFonts w:ascii="宋体" w:hAnsi="宋体" w:eastAsia="宋体"/>
                <w:sz w:val="16"/>
              </w:rPr>
              <w:t>年初预算数</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7006A4C">
            <w:pPr>
              <w:jc w:val="center"/>
            </w:pPr>
            <w:r>
              <w:rPr>
                <w:rFonts w:ascii="宋体" w:hAnsi="宋体" w:eastAsia="宋体"/>
                <w:sz w:val="16"/>
              </w:rPr>
              <w:t>预算数（调整后）</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F20AC0E">
            <w:pPr>
              <w:jc w:val="center"/>
            </w:pPr>
            <w:r>
              <w:rPr>
                <w:rFonts w:ascii="宋体" w:hAnsi="宋体" w:eastAsia="宋体"/>
                <w:sz w:val="16"/>
              </w:rPr>
              <w:t>执行数</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24899B1">
            <w:pPr>
              <w:jc w:val="center"/>
            </w:pPr>
            <w:r>
              <w:rPr>
                <w:rFonts w:ascii="宋体" w:hAnsi="宋体" w:eastAsia="宋体"/>
                <w:sz w:val="16"/>
              </w:rPr>
              <w:t>分值权重</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DDD0B8D">
            <w:pPr>
              <w:jc w:val="center"/>
            </w:pPr>
            <w:r>
              <w:rPr>
                <w:rFonts w:ascii="宋体" w:hAnsi="宋体" w:eastAsia="宋体"/>
                <w:sz w:val="16"/>
              </w:rPr>
              <w:t>执行率</w:t>
            </w:r>
          </w:p>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3111D">
            <w:pPr>
              <w:jc w:val="center"/>
            </w:pPr>
            <w:r>
              <w:rPr>
                <w:rFonts w:ascii="宋体" w:hAnsi="宋体" w:eastAsia="宋体"/>
                <w:sz w:val="16"/>
              </w:rPr>
              <w:t>得分</w:t>
            </w:r>
          </w:p>
        </w:tc>
      </w:tr>
      <w:tr w14:paraId="1646DAAB">
        <w:tblPrEx>
          <w:tblCellMar>
            <w:top w:w="0" w:type="dxa"/>
            <w:left w:w="108" w:type="dxa"/>
            <w:bottom w:w="0" w:type="dxa"/>
            <w:right w:w="108" w:type="dxa"/>
          </w:tblCellMar>
        </w:tblPrEx>
        <w:trPr>
          <w:trHeight w:val="182"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28FEDEF2"/>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589F0FC">
            <w:pPr>
              <w:jc w:val="center"/>
            </w:pPr>
            <w:r>
              <w:rPr>
                <w:rFonts w:ascii="宋体" w:hAnsi="宋体" w:eastAsia="宋体"/>
                <w:sz w:val="16"/>
              </w:rPr>
              <w:t>年度总资金：</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70D4C775">
            <w:pPr>
              <w:jc w:val="center"/>
            </w:pPr>
            <w:r>
              <w:rPr>
                <w:rFonts w:ascii="宋体" w:hAnsi="宋体" w:eastAsia="宋体"/>
                <w:sz w:val="16"/>
              </w:rPr>
              <w:t>2,490.80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4EF76B1">
            <w:pPr>
              <w:jc w:val="center"/>
            </w:pPr>
            <w:r>
              <w:rPr>
                <w:rFonts w:ascii="宋体" w:hAnsi="宋体" w:eastAsia="宋体"/>
                <w:sz w:val="16"/>
              </w:rPr>
              <w:t>14,416.62</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B6B14EA">
            <w:pPr>
              <w:jc w:val="center"/>
            </w:pPr>
            <w:r>
              <w:rPr>
                <w:rFonts w:ascii="宋体" w:hAnsi="宋体" w:eastAsia="宋体"/>
                <w:sz w:val="16"/>
              </w:rPr>
              <w:t>14,416.62</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989CF8E">
            <w:pPr>
              <w:jc w:val="center"/>
            </w:pPr>
            <w:r>
              <w:rPr>
                <w:rFonts w:ascii="宋体" w:hAnsi="宋体" w:eastAsia="宋体"/>
                <w:sz w:val="16"/>
              </w:rPr>
              <w:t>10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097FFBB">
            <w:pPr>
              <w:jc w:val="center"/>
            </w:pPr>
            <w:r>
              <w:rPr>
                <w:rFonts w:ascii="宋体" w:hAnsi="宋体" w:eastAsia="宋体"/>
                <w:sz w:val="16"/>
              </w:rPr>
              <w:t>100.00%</w:t>
            </w:r>
          </w:p>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3E440">
            <w:pPr>
              <w:jc w:val="center"/>
            </w:pPr>
            <w:r>
              <w:rPr>
                <w:rFonts w:ascii="宋体" w:hAnsi="宋体" w:eastAsia="宋体"/>
                <w:sz w:val="16"/>
              </w:rPr>
              <w:t>10</w:t>
            </w:r>
          </w:p>
        </w:tc>
      </w:tr>
      <w:tr w14:paraId="65B3E94D">
        <w:tblPrEx>
          <w:tblCellMar>
            <w:top w:w="0" w:type="dxa"/>
            <w:left w:w="108" w:type="dxa"/>
            <w:bottom w:w="0" w:type="dxa"/>
            <w:right w:w="108" w:type="dxa"/>
          </w:tblCellMar>
        </w:tblPrEx>
        <w:trPr>
          <w:trHeight w:val="94"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23FA6D77"/>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8BDE79E">
            <w:pPr>
              <w:jc w:val="center"/>
            </w:pPr>
            <w:r>
              <w:rPr>
                <w:rFonts w:ascii="宋体" w:hAnsi="宋体" w:eastAsia="宋体"/>
                <w:sz w:val="16"/>
              </w:rPr>
              <w:t>上级资金：</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B1ED676">
            <w:pPr>
              <w:jc w:val="center"/>
            </w:pPr>
            <w:r>
              <w:rPr>
                <w:rFonts w:ascii="宋体" w:hAnsi="宋体" w:eastAsia="宋体"/>
                <w:sz w:val="16"/>
              </w:rPr>
              <w:t>124.96</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0A45363">
            <w:pPr>
              <w:jc w:val="center"/>
            </w:pPr>
            <w:r>
              <w:rPr>
                <w:rFonts w:ascii="宋体" w:hAnsi="宋体" w:eastAsia="宋体"/>
                <w:sz w:val="16"/>
              </w:rPr>
              <w:t>12,253.47</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77BBFCDB">
            <w:pPr>
              <w:jc w:val="center"/>
            </w:pPr>
            <w:r>
              <w:rPr>
                <w:rFonts w:ascii="宋体" w:hAnsi="宋体" w:eastAsia="宋体"/>
                <w:sz w:val="16"/>
              </w:rPr>
              <w:t>12,253.47</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3C6F9DD">
            <w:pPr>
              <w:jc w:val="center"/>
            </w:pPr>
            <w:r>
              <w:rPr>
                <w:rFonts w:ascii="宋体" w:hAnsi="宋体" w:eastAsia="宋体"/>
                <w:sz w:val="16"/>
              </w:rPr>
              <w:t>—</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1013727">
            <w:pPr>
              <w:jc w:val="center"/>
            </w:pPr>
            <w:r>
              <w:rPr>
                <w:rFonts w:ascii="宋体" w:hAnsi="宋体" w:eastAsia="宋体"/>
                <w:sz w:val="16"/>
              </w:rPr>
              <w:t>—</w:t>
            </w:r>
          </w:p>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9B402">
            <w:pPr>
              <w:jc w:val="center"/>
            </w:pPr>
            <w:r>
              <w:rPr>
                <w:rFonts w:ascii="宋体" w:hAnsi="宋体" w:eastAsia="宋体"/>
                <w:sz w:val="16"/>
              </w:rPr>
              <w:t>—</w:t>
            </w:r>
          </w:p>
        </w:tc>
      </w:tr>
      <w:tr w14:paraId="224AE618">
        <w:tblPrEx>
          <w:tblCellMar>
            <w:top w:w="0" w:type="dxa"/>
            <w:left w:w="108" w:type="dxa"/>
            <w:bottom w:w="0" w:type="dxa"/>
            <w:right w:w="108" w:type="dxa"/>
          </w:tblCellMar>
        </w:tblPrEx>
        <w:trPr>
          <w:trHeight w:val="94"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463B439F"/>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0A35D27">
            <w:pPr>
              <w:jc w:val="center"/>
            </w:pPr>
            <w:r>
              <w:rPr>
                <w:rFonts w:ascii="宋体" w:hAnsi="宋体" w:eastAsia="宋体"/>
                <w:sz w:val="16"/>
              </w:rPr>
              <w:t>本级资金：</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39210A9">
            <w:pPr>
              <w:jc w:val="center"/>
            </w:pPr>
            <w:r>
              <w:rPr>
                <w:rFonts w:ascii="宋体" w:hAnsi="宋体" w:eastAsia="宋体"/>
                <w:sz w:val="16"/>
              </w:rPr>
              <w:t>2,365.84</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71D76BD">
            <w:pPr>
              <w:jc w:val="center"/>
            </w:pPr>
            <w:r>
              <w:rPr>
                <w:rFonts w:ascii="宋体" w:hAnsi="宋体" w:eastAsia="宋体"/>
                <w:sz w:val="16"/>
              </w:rPr>
              <w:t>2,163.15</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856834A">
            <w:pPr>
              <w:jc w:val="center"/>
            </w:pPr>
            <w:r>
              <w:rPr>
                <w:rFonts w:ascii="宋体" w:hAnsi="宋体" w:eastAsia="宋体"/>
                <w:sz w:val="16"/>
              </w:rPr>
              <w:t>2,163.15</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7E9A24D">
            <w:pPr>
              <w:jc w:val="center"/>
            </w:pPr>
            <w:r>
              <w:rPr>
                <w:rFonts w:ascii="宋体" w:hAnsi="宋体" w:eastAsia="宋体"/>
                <w:sz w:val="16"/>
              </w:rPr>
              <w:t>—</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E421A8D">
            <w:pPr>
              <w:jc w:val="center"/>
            </w:pPr>
            <w:r>
              <w:rPr>
                <w:rFonts w:ascii="宋体" w:hAnsi="宋体" w:eastAsia="宋体"/>
                <w:sz w:val="16"/>
              </w:rPr>
              <w:t>—</w:t>
            </w:r>
          </w:p>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40D19">
            <w:pPr>
              <w:jc w:val="center"/>
            </w:pPr>
            <w:r>
              <w:rPr>
                <w:rFonts w:ascii="宋体" w:hAnsi="宋体" w:eastAsia="宋体"/>
                <w:sz w:val="16"/>
              </w:rPr>
              <w:t>—</w:t>
            </w:r>
          </w:p>
        </w:tc>
      </w:tr>
      <w:tr w14:paraId="38A9E7E9">
        <w:tblPrEx>
          <w:tblCellMar>
            <w:top w:w="0" w:type="dxa"/>
            <w:left w:w="108" w:type="dxa"/>
            <w:bottom w:w="0" w:type="dxa"/>
            <w:right w:w="108" w:type="dxa"/>
          </w:tblCellMar>
        </w:tblPrEx>
        <w:trPr>
          <w:trHeight w:val="94"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66971093"/>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88E1C56">
            <w:pPr>
              <w:jc w:val="center"/>
            </w:pPr>
            <w:r>
              <w:rPr>
                <w:rFonts w:ascii="宋体" w:hAnsi="宋体" w:eastAsia="宋体"/>
                <w:sz w:val="16"/>
              </w:rPr>
              <w:t>其他资金：</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3FC65AB">
            <w:pPr>
              <w:jc w:val="center"/>
            </w:pPr>
            <w:r>
              <w:rPr>
                <w:rFonts w:ascii="宋体" w:hAnsi="宋体" w:eastAsia="宋体"/>
                <w:sz w:val="16"/>
              </w:rPr>
              <w:t>0.00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6BC683C">
            <w:pPr>
              <w:jc w:val="center"/>
            </w:pPr>
            <w:r>
              <w:rPr>
                <w:rFonts w:ascii="宋体" w:hAnsi="宋体" w:eastAsia="宋体"/>
                <w:sz w:val="16"/>
              </w:rPr>
              <w:t>0.00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EC5FD0E">
            <w:pPr>
              <w:jc w:val="center"/>
            </w:pPr>
            <w:r>
              <w:rPr>
                <w:rFonts w:ascii="宋体" w:hAnsi="宋体" w:eastAsia="宋体"/>
                <w:sz w:val="16"/>
              </w:rPr>
              <w:t>0.00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D564A90">
            <w:pPr>
              <w:jc w:val="center"/>
            </w:pPr>
            <w:r>
              <w:rPr>
                <w:rFonts w:ascii="宋体" w:hAnsi="宋体" w:eastAsia="宋体"/>
                <w:sz w:val="16"/>
              </w:rPr>
              <w:t>—</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8F87E98">
            <w:pPr>
              <w:jc w:val="center"/>
            </w:pPr>
            <w:r>
              <w:rPr>
                <w:rFonts w:ascii="宋体" w:hAnsi="宋体" w:eastAsia="宋体"/>
                <w:sz w:val="16"/>
              </w:rPr>
              <w:t>—</w:t>
            </w:r>
          </w:p>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A66E">
            <w:pPr>
              <w:jc w:val="center"/>
            </w:pPr>
            <w:r>
              <w:rPr>
                <w:rFonts w:ascii="宋体" w:hAnsi="宋体" w:eastAsia="宋体"/>
                <w:sz w:val="16"/>
              </w:rPr>
              <w:t>—</w:t>
            </w:r>
          </w:p>
        </w:tc>
      </w:tr>
      <w:tr w14:paraId="74B927B4">
        <w:tblPrEx>
          <w:tblCellMar>
            <w:top w:w="0" w:type="dxa"/>
            <w:left w:w="108" w:type="dxa"/>
            <w:bottom w:w="0" w:type="dxa"/>
            <w:right w:w="108" w:type="dxa"/>
          </w:tblCellMar>
        </w:tblPrEx>
        <w:trPr>
          <w:trHeight w:val="94" w:hRule="atLeast"/>
        </w:trPr>
        <w:tc>
          <w:tcPr>
            <w:tcW w:w="10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0988B">
            <w:pPr>
              <w:jc w:val="center"/>
            </w:pPr>
            <w:r>
              <w:rPr>
                <w:rFonts w:ascii="宋体" w:hAnsi="宋体" w:eastAsia="宋体"/>
                <w:sz w:val="16"/>
              </w:rPr>
              <w:t>年度总体目标</w:t>
            </w:r>
          </w:p>
        </w:tc>
        <w:tc>
          <w:tcPr>
            <w:tcW w:w="3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E17260">
            <w:pPr>
              <w:jc w:val="center"/>
            </w:pPr>
            <w:r>
              <w:rPr>
                <w:rFonts w:ascii="宋体" w:hAnsi="宋体" w:eastAsia="宋体"/>
                <w:sz w:val="16"/>
              </w:rPr>
              <w:t>预期目标</w:t>
            </w:r>
          </w:p>
        </w:tc>
        <w:tc>
          <w:tcPr>
            <w:tcW w:w="5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07A0C6">
            <w:pPr>
              <w:jc w:val="center"/>
            </w:pPr>
            <w:r>
              <w:rPr>
                <w:rFonts w:ascii="宋体" w:hAnsi="宋体" w:eastAsia="宋体"/>
                <w:sz w:val="16"/>
              </w:rPr>
              <w:t>实际完成情况</w:t>
            </w:r>
          </w:p>
        </w:tc>
      </w:tr>
      <w:tr w14:paraId="02C6990D">
        <w:tblPrEx>
          <w:tblCellMar>
            <w:top w:w="0" w:type="dxa"/>
            <w:left w:w="108" w:type="dxa"/>
            <w:bottom w:w="0" w:type="dxa"/>
            <w:right w:w="108" w:type="dxa"/>
          </w:tblCellMar>
        </w:tblPrEx>
        <w:trPr>
          <w:trHeight w:val="1139"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33D16667"/>
        </w:tc>
        <w:tc>
          <w:tcPr>
            <w:tcW w:w="317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71F705">
            <w:pPr>
              <w:jc w:val="both"/>
            </w:pPr>
            <w:r>
              <w:rPr>
                <w:rFonts w:ascii="宋体" w:hAnsi="宋体" w:eastAsia="宋体"/>
                <w:sz w:val="16"/>
              </w:rPr>
              <w:t>新疆维吾尔自治区喀什地区叶城县恰尔巴格镇人民政府负责全镇党政行政管理事务。以贯彻落实党的二十大精神，以习近平新时代中国特色社会主义思想为指导，坚决贯彻执行党中央、国务院、自治区、地区及县委、县人民政府的有关方面政策指示，把党的各项优惠政策落实到实处，负责全镇经济社会发展、社会事务管理、安全、基层组织建设等全面工作。以全面建设社会主义新农村为根本出发点，不断深化美丽乡、村建设为总目标，不断铸牢全镇经济社会发展基础，为全镇各族群众提供社会服务。</w:t>
            </w:r>
          </w:p>
        </w:tc>
        <w:tc>
          <w:tcPr>
            <w:tcW w:w="5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474893">
            <w:pPr>
              <w:jc w:val="both"/>
            </w:pPr>
            <w:r>
              <w:rPr>
                <w:rFonts w:hint="eastAsia" w:ascii="宋体" w:hAnsi="宋体"/>
                <w:sz w:val="16"/>
                <w:lang w:eastAsia="zh-CN"/>
              </w:rPr>
              <w:t>截至</w:t>
            </w:r>
            <w:r>
              <w:rPr>
                <w:rFonts w:ascii="宋体" w:hAnsi="宋体" w:eastAsia="宋体"/>
                <w:sz w:val="16"/>
              </w:rPr>
              <w:t>2024年12月31日，已完成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培育主导产业，建设鸽子养殖基地2个，在14个村建立鸽子合作社，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r>
      <w:tr w14:paraId="344E20EE">
        <w:tblPrEx>
          <w:tblCellMar>
            <w:top w:w="0" w:type="dxa"/>
            <w:left w:w="108" w:type="dxa"/>
            <w:bottom w:w="0" w:type="dxa"/>
            <w:right w:w="108" w:type="dxa"/>
          </w:tblCellMar>
        </w:tblPrEx>
        <w:trPr>
          <w:trHeight w:val="182" w:hRule="atLeast"/>
        </w:trPr>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B8B8104">
            <w:pPr>
              <w:jc w:val="center"/>
            </w:pPr>
            <w:r>
              <w:rPr>
                <w:rFonts w:ascii="宋体" w:hAnsi="宋体" w:eastAsia="宋体"/>
                <w:sz w:val="16"/>
              </w:rPr>
              <w:t>一级指标</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79A76DE">
            <w:pPr>
              <w:jc w:val="center"/>
            </w:pPr>
            <w:r>
              <w:rPr>
                <w:rFonts w:ascii="宋体" w:hAnsi="宋体" w:eastAsia="宋体"/>
                <w:sz w:val="16"/>
              </w:rPr>
              <w:t>二级指标</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736385F">
            <w:pPr>
              <w:jc w:val="center"/>
            </w:pPr>
            <w:r>
              <w:rPr>
                <w:rFonts w:ascii="宋体" w:hAnsi="宋体" w:eastAsia="宋体"/>
                <w:sz w:val="16"/>
              </w:rPr>
              <w:t>三级指标</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D11752E">
            <w:pPr>
              <w:jc w:val="center"/>
            </w:pPr>
            <w:r>
              <w:rPr>
                <w:rFonts w:ascii="宋体" w:hAnsi="宋体" w:eastAsia="宋体"/>
                <w:sz w:val="16"/>
              </w:rPr>
              <w:t>指标值</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2E04D05">
            <w:pPr>
              <w:jc w:val="center"/>
            </w:pPr>
            <w:r>
              <w:rPr>
                <w:rFonts w:ascii="宋体" w:hAnsi="宋体" w:eastAsia="宋体"/>
                <w:sz w:val="16"/>
              </w:rPr>
              <w:t>指标值设定依据</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21A93E5">
            <w:pPr>
              <w:jc w:val="center"/>
            </w:pPr>
            <w:r>
              <w:rPr>
                <w:rFonts w:ascii="宋体" w:hAnsi="宋体" w:eastAsia="宋体"/>
                <w:sz w:val="16"/>
              </w:rPr>
              <w:t>分值权重</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597252F">
            <w:pPr>
              <w:jc w:val="center"/>
            </w:pPr>
            <w:r>
              <w:rPr>
                <w:rFonts w:ascii="宋体" w:hAnsi="宋体" w:eastAsia="宋体"/>
                <w:sz w:val="16"/>
              </w:rPr>
              <w:t>实际完成值</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80D6B78">
            <w:pPr>
              <w:jc w:val="center"/>
            </w:pPr>
            <w:r>
              <w:rPr>
                <w:rFonts w:ascii="宋体" w:hAnsi="宋体" w:eastAsia="宋体"/>
                <w:sz w:val="16"/>
              </w:rPr>
              <w:t>完成率</w:t>
            </w:r>
          </w:p>
        </w:tc>
        <w:tc>
          <w:tcPr>
            <w:tcW w:w="1068" w:type="dxa"/>
            <w:tcBorders>
              <w:top w:val="single" w:color="auto" w:sz="10" w:space="0"/>
              <w:left w:val="single" w:color="auto" w:sz="10" w:space="0"/>
              <w:bottom w:val="single" w:color="auto" w:sz="10" w:space="0"/>
              <w:right w:val="single" w:color="auto" w:sz="10" w:space="0"/>
              <w:insideV w:val="single" w:sz="10" w:space="0"/>
            </w:tcBorders>
            <w:vAlign w:val="center"/>
          </w:tcPr>
          <w:p w14:paraId="1574604D">
            <w:pPr>
              <w:jc w:val="center"/>
            </w:pPr>
            <w:r>
              <w:rPr>
                <w:rFonts w:ascii="宋体" w:hAnsi="宋体" w:eastAsia="宋体"/>
                <w:sz w:val="16"/>
              </w:rPr>
              <w:t>得分</w:t>
            </w:r>
          </w:p>
        </w:tc>
      </w:tr>
      <w:tr w14:paraId="294B2214">
        <w:tblPrEx>
          <w:tblCellMar>
            <w:top w:w="0" w:type="dxa"/>
            <w:left w:w="108" w:type="dxa"/>
            <w:bottom w:w="0" w:type="dxa"/>
            <w:right w:w="108" w:type="dxa"/>
          </w:tblCellMar>
        </w:tblPrEx>
        <w:trPr>
          <w:trHeight w:val="269" w:hRule="atLeast"/>
        </w:trPr>
        <w:tc>
          <w:tcPr>
            <w:tcW w:w="10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634AC">
            <w:pPr>
              <w:jc w:val="center"/>
            </w:pPr>
            <w:r>
              <w:rPr>
                <w:rFonts w:ascii="宋体" w:hAnsi="宋体" w:eastAsia="宋体"/>
                <w:sz w:val="16"/>
              </w:rPr>
              <w:t>履职效能</w:t>
            </w:r>
          </w:p>
        </w:tc>
        <w:tc>
          <w:tcPr>
            <w:tcW w:w="10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E4593">
            <w:pPr>
              <w:jc w:val="center"/>
            </w:pPr>
            <w:r>
              <w:rPr>
                <w:rFonts w:ascii="宋体" w:hAnsi="宋体" w:eastAsia="宋体"/>
                <w:sz w:val="16"/>
              </w:rPr>
              <w:t>数量指标</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7B48B07">
            <w:pPr>
              <w:jc w:val="center"/>
            </w:pPr>
            <w:r>
              <w:rPr>
                <w:rFonts w:ascii="宋体" w:hAnsi="宋体" w:eastAsia="宋体"/>
                <w:sz w:val="16"/>
              </w:rPr>
              <w:t>联谊活动</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9C37D88">
            <w:pPr>
              <w:jc w:val="center"/>
            </w:pPr>
            <w:r>
              <w:rPr>
                <w:rFonts w:ascii="宋体" w:hAnsi="宋体" w:eastAsia="宋体"/>
                <w:sz w:val="16"/>
              </w:rPr>
              <w:t>=12次</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BE163F3">
            <w:pPr>
              <w:jc w:val="center"/>
            </w:pPr>
            <w:r>
              <w:rPr>
                <w:rFonts w:ascii="宋体" w:hAnsi="宋体" w:eastAsia="宋体"/>
                <w:sz w:val="16"/>
              </w:rPr>
              <w:t>2024年度预算安排工作</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7EB4D3F">
            <w:pPr>
              <w:jc w:val="center"/>
            </w:pPr>
            <w:r>
              <w:rPr>
                <w:rFonts w:ascii="宋体" w:hAnsi="宋体" w:eastAsia="宋体"/>
                <w:sz w:val="16"/>
              </w:rPr>
              <w:t>18</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0B9E0CB">
            <w:pPr>
              <w:jc w:val="center"/>
            </w:pPr>
            <w:r>
              <w:rPr>
                <w:rFonts w:ascii="宋体" w:hAnsi="宋体" w:eastAsia="宋体"/>
                <w:sz w:val="16"/>
              </w:rPr>
              <w:t>=12次</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A183983">
            <w:pPr>
              <w:jc w:val="center"/>
            </w:pPr>
            <w:r>
              <w:rPr>
                <w:rFonts w:ascii="宋体" w:hAnsi="宋体" w:eastAsia="宋体"/>
                <w:sz w:val="16"/>
              </w:rPr>
              <w:t>100</w:t>
            </w:r>
          </w:p>
        </w:tc>
        <w:tc>
          <w:tcPr>
            <w:tcW w:w="1068" w:type="dxa"/>
            <w:tcBorders>
              <w:top w:val="single" w:color="auto" w:sz="10" w:space="0"/>
              <w:left w:val="single" w:color="auto" w:sz="10" w:space="0"/>
              <w:bottom w:val="single" w:color="auto" w:sz="10" w:space="0"/>
              <w:right w:val="single" w:color="auto" w:sz="10" w:space="0"/>
              <w:insideV w:val="single" w:sz="10" w:space="0"/>
            </w:tcBorders>
            <w:vAlign w:val="center"/>
          </w:tcPr>
          <w:p w14:paraId="0EDC0698">
            <w:pPr>
              <w:jc w:val="center"/>
            </w:pPr>
            <w:r>
              <w:rPr>
                <w:rFonts w:ascii="宋体" w:hAnsi="宋体" w:eastAsia="宋体"/>
                <w:sz w:val="16"/>
              </w:rPr>
              <w:t>18</w:t>
            </w:r>
          </w:p>
        </w:tc>
      </w:tr>
      <w:tr w14:paraId="76436497">
        <w:tblPrEx>
          <w:tblCellMar>
            <w:top w:w="0" w:type="dxa"/>
            <w:left w:w="108" w:type="dxa"/>
            <w:bottom w:w="0" w:type="dxa"/>
            <w:right w:w="108" w:type="dxa"/>
          </w:tblCellMar>
        </w:tblPrEx>
        <w:trPr>
          <w:trHeight w:val="269"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6557F91C"/>
        </w:tc>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42CA6BBE"/>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6D8BC89">
            <w:pPr>
              <w:jc w:val="center"/>
            </w:pPr>
            <w:r>
              <w:rPr>
                <w:rFonts w:ascii="宋体" w:hAnsi="宋体" w:eastAsia="宋体"/>
                <w:sz w:val="16"/>
              </w:rPr>
              <w:t>鸽子养殖基地</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BA26C40">
            <w:pPr>
              <w:jc w:val="center"/>
            </w:pPr>
            <w:r>
              <w:rPr>
                <w:rFonts w:ascii="宋体" w:hAnsi="宋体" w:eastAsia="宋体"/>
                <w:sz w:val="16"/>
              </w:rPr>
              <w:t>=2个</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0DFA9A8">
            <w:pPr>
              <w:jc w:val="center"/>
            </w:pPr>
            <w:r>
              <w:rPr>
                <w:rFonts w:ascii="宋体" w:hAnsi="宋体" w:eastAsia="宋体"/>
                <w:sz w:val="16"/>
              </w:rPr>
              <w:t>2024年度预算安排工作</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5EF74CB">
            <w:pPr>
              <w:jc w:val="center"/>
            </w:pPr>
            <w:r>
              <w:rPr>
                <w:rFonts w:ascii="宋体" w:hAnsi="宋体" w:eastAsia="宋体"/>
                <w:sz w:val="16"/>
              </w:rPr>
              <w:t>18</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AAEBE7A">
            <w:pPr>
              <w:jc w:val="center"/>
            </w:pPr>
            <w:r>
              <w:rPr>
                <w:rFonts w:ascii="宋体" w:hAnsi="宋体" w:eastAsia="宋体"/>
                <w:sz w:val="16"/>
              </w:rPr>
              <w:t>=2个</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1FD5C6A">
            <w:pPr>
              <w:jc w:val="center"/>
            </w:pPr>
            <w:r>
              <w:rPr>
                <w:rFonts w:ascii="宋体" w:hAnsi="宋体" w:eastAsia="宋体"/>
                <w:sz w:val="16"/>
              </w:rPr>
              <w:t>100</w:t>
            </w:r>
          </w:p>
        </w:tc>
        <w:tc>
          <w:tcPr>
            <w:tcW w:w="1068" w:type="dxa"/>
            <w:tcBorders>
              <w:top w:val="single" w:color="auto" w:sz="10" w:space="0"/>
              <w:left w:val="single" w:color="auto" w:sz="10" w:space="0"/>
              <w:bottom w:val="single" w:color="auto" w:sz="10" w:space="0"/>
              <w:right w:val="single" w:color="auto" w:sz="10" w:space="0"/>
              <w:insideV w:val="single" w:sz="10" w:space="0"/>
            </w:tcBorders>
            <w:vAlign w:val="center"/>
          </w:tcPr>
          <w:p w14:paraId="55587600">
            <w:pPr>
              <w:jc w:val="center"/>
            </w:pPr>
            <w:r>
              <w:rPr>
                <w:rFonts w:ascii="宋体" w:hAnsi="宋体" w:eastAsia="宋体"/>
                <w:sz w:val="16"/>
              </w:rPr>
              <w:t>18</w:t>
            </w:r>
          </w:p>
        </w:tc>
      </w:tr>
      <w:tr w14:paraId="07FB879E">
        <w:tblPrEx>
          <w:tblCellMar>
            <w:top w:w="0" w:type="dxa"/>
            <w:left w:w="108" w:type="dxa"/>
            <w:bottom w:w="0" w:type="dxa"/>
            <w:right w:w="108" w:type="dxa"/>
          </w:tblCellMar>
        </w:tblPrEx>
        <w:trPr>
          <w:trHeight w:val="269"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67AC9908"/>
        </w:tc>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57D92CAE"/>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39130B7">
            <w:pPr>
              <w:jc w:val="center"/>
            </w:pPr>
            <w:r>
              <w:rPr>
                <w:rFonts w:ascii="宋体" w:hAnsi="宋体" w:eastAsia="宋体"/>
                <w:sz w:val="16"/>
              </w:rPr>
              <w:t>推进乡村振兴村级数量</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E01D913">
            <w:pPr>
              <w:jc w:val="center"/>
            </w:pPr>
            <w:r>
              <w:rPr>
                <w:rFonts w:ascii="宋体" w:hAnsi="宋体" w:eastAsia="宋体"/>
                <w:sz w:val="16"/>
              </w:rPr>
              <w:t>=15个</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448C91B">
            <w:pPr>
              <w:jc w:val="center"/>
            </w:pPr>
            <w:r>
              <w:rPr>
                <w:rFonts w:ascii="宋体" w:hAnsi="宋体" w:eastAsia="宋体"/>
                <w:sz w:val="16"/>
              </w:rPr>
              <w:t>2024年度预算安排工作</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0B7A382">
            <w:pPr>
              <w:jc w:val="center"/>
            </w:pPr>
            <w:r>
              <w:rPr>
                <w:rFonts w:ascii="宋体" w:hAnsi="宋体" w:eastAsia="宋体"/>
                <w:sz w:val="16"/>
              </w:rPr>
              <w:t>18</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DDCC312">
            <w:pPr>
              <w:jc w:val="center"/>
            </w:pPr>
            <w:r>
              <w:rPr>
                <w:rFonts w:ascii="宋体" w:hAnsi="宋体" w:eastAsia="宋体"/>
                <w:sz w:val="16"/>
              </w:rPr>
              <w:t>=15个</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C521F50">
            <w:pPr>
              <w:jc w:val="center"/>
            </w:pPr>
            <w:r>
              <w:rPr>
                <w:rFonts w:ascii="宋体" w:hAnsi="宋体" w:eastAsia="宋体"/>
                <w:sz w:val="16"/>
              </w:rPr>
              <w:t>100</w:t>
            </w:r>
          </w:p>
        </w:tc>
        <w:tc>
          <w:tcPr>
            <w:tcW w:w="1068" w:type="dxa"/>
            <w:tcBorders>
              <w:top w:val="single" w:color="auto" w:sz="10" w:space="0"/>
              <w:left w:val="single" w:color="auto" w:sz="10" w:space="0"/>
              <w:bottom w:val="single" w:color="auto" w:sz="10" w:space="0"/>
              <w:right w:val="single" w:color="auto" w:sz="10" w:space="0"/>
              <w:insideV w:val="single" w:sz="10" w:space="0"/>
            </w:tcBorders>
            <w:vAlign w:val="center"/>
          </w:tcPr>
          <w:p w14:paraId="24407403">
            <w:pPr>
              <w:jc w:val="center"/>
            </w:pPr>
            <w:r>
              <w:rPr>
                <w:rFonts w:ascii="宋体" w:hAnsi="宋体" w:eastAsia="宋体"/>
                <w:sz w:val="16"/>
              </w:rPr>
              <w:t>18</w:t>
            </w:r>
          </w:p>
        </w:tc>
      </w:tr>
      <w:tr w14:paraId="1607318A">
        <w:tblPrEx>
          <w:tblCellMar>
            <w:top w:w="0" w:type="dxa"/>
            <w:left w:w="108" w:type="dxa"/>
            <w:bottom w:w="0" w:type="dxa"/>
            <w:right w:w="108" w:type="dxa"/>
          </w:tblCellMar>
        </w:tblPrEx>
        <w:trPr>
          <w:trHeight w:val="269"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1DBC58FD"/>
        </w:tc>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3A9E487D"/>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DCBEECA">
            <w:pPr>
              <w:jc w:val="center"/>
            </w:pPr>
            <w:r>
              <w:rPr>
                <w:rFonts w:ascii="宋体" w:hAnsi="宋体" w:eastAsia="宋体"/>
                <w:sz w:val="16"/>
              </w:rPr>
              <w:t>保障干部人数</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B7B7819">
            <w:pPr>
              <w:jc w:val="center"/>
            </w:pPr>
            <w:r>
              <w:rPr>
                <w:rFonts w:ascii="宋体" w:hAnsi="宋体" w:eastAsia="宋体"/>
                <w:sz w:val="16"/>
              </w:rPr>
              <w:t>=110人</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E69AB5F">
            <w:pPr>
              <w:jc w:val="center"/>
            </w:pPr>
            <w:r>
              <w:rPr>
                <w:rFonts w:ascii="宋体" w:hAnsi="宋体" w:eastAsia="宋体"/>
                <w:sz w:val="16"/>
              </w:rPr>
              <w:t>2024年度预算安排工作</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89964FD">
            <w:pPr>
              <w:jc w:val="center"/>
            </w:pPr>
            <w:r>
              <w:rPr>
                <w:rFonts w:ascii="宋体" w:hAnsi="宋体" w:eastAsia="宋体"/>
                <w:sz w:val="16"/>
              </w:rPr>
              <w:t>18</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8A88804">
            <w:pPr>
              <w:jc w:val="center"/>
            </w:pPr>
            <w:r>
              <w:rPr>
                <w:rFonts w:ascii="宋体" w:hAnsi="宋体" w:eastAsia="宋体"/>
                <w:sz w:val="16"/>
              </w:rPr>
              <w:t>=103人</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9DE2BF1">
            <w:pPr>
              <w:jc w:val="center"/>
            </w:pPr>
            <w:r>
              <w:rPr>
                <w:rFonts w:ascii="宋体" w:hAnsi="宋体" w:eastAsia="宋体"/>
                <w:sz w:val="16"/>
              </w:rPr>
              <w:t>93</w:t>
            </w:r>
          </w:p>
        </w:tc>
        <w:tc>
          <w:tcPr>
            <w:tcW w:w="1068" w:type="dxa"/>
            <w:tcBorders>
              <w:top w:val="single" w:color="auto" w:sz="10" w:space="0"/>
              <w:left w:val="single" w:color="auto" w:sz="10" w:space="0"/>
              <w:bottom w:val="single" w:color="auto" w:sz="10" w:space="0"/>
              <w:right w:val="single" w:color="auto" w:sz="10" w:space="0"/>
              <w:insideV w:val="single" w:sz="10" w:space="0"/>
            </w:tcBorders>
            <w:vAlign w:val="center"/>
          </w:tcPr>
          <w:p w14:paraId="74AED767">
            <w:pPr>
              <w:jc w:val="center"/>
            </w:pPr>
            <w:r>
              <w:rPr>
                <w:rFonts w:ascii="宋体" w:hAnsi="宋体" w:eastAsia="宋体"/>
                <w:sz w:val="16"/>
              </w:rPr>
              <w:t>18</w:t>
            </w:r>
          </w:p>
        </w:tc>
      </w:tr>
      <w:tr w14:paraId="78A7A16E">
        <w:tblPrEx>
          <w:tblCellMar>
            <w:top w:w="0" w:type="dxa"/>
            <w:left w:w="108" w:type="dxa"/>
            <w:bottom w:w="0" w:type="dxa"/>
            <w:right w:w="108" w:type="dxa"/>
          </w:tblCellMar>
        </w:tblPrEx>
        <w:trPr>
          <w:trHeight w:val="101" w:hRule="atLeast"/>
        </w:trPr>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60C88262"/>
        </w:tc>
        <w:tc>
          <w:tcPr>
            <w:tcW w:w="1059" w:type="dxa"/>
            <w:vMerge w:val="continue"/>
            <w:tcBorders>
              <w:top w:val="single" w:color="auto" w:sz="10" w:space="0"/>
              <w:left w:val="single" w:color="auto" w:sz="10" w:space="0"/>
              <w:bottom w:val="single" w:color="auto" w:sz="10" w:space="0"/>
              <w:right w:val="single" w:color="auto" w:sz="10" w:space="0"/>
              <w:insideV w:val="single" w:sz="10" w:space="0"/>
            </w:tcBorders>
          </w:tcPr>
          <w:p w14:paraId="40A386F9"/>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CBCD534">
            <w:pPr>
              <w:jc w:val="center"/>
            </w:pPr>
            <w:r>
              <w:rPr>
                <w:rFonts w:ascii="宋体" w:hAnsi="宋体" w:eastAsia="宋体"/>
                <w:sz w:val="16"/>
              </w:rPr>
              <w:t>鸽子合作社</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053AEBB">
            <w:pPr>
              <w:jc w:val="center"/>
            </w:pPr>
            <w:r>
              <w:rPr>
                <w:rFonts w:ascii="宋体" w:hAnsi="宋体" w:eastAsia="宋体"/>
                <w:sz w:val="16"/>
              </w:rPr>
              <w:t>=14个</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7D0FD1A">
            <w:pPr>
              <w:jc w:val="center"/>
            </w:pPr>
            <w:r>
              <w:rPr>
                <w:rFonts w:ascii="宋体" w:hAnsi="宋体" w:eastAsia="宋体"/>
                <w:sz w:val="16"/>
              </w:rPr>
              <w:t>2024年度预算安排工作</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8A81675">
            <w:pPr>
              <w:jc w:val="center"/>
            </w:pPr>
            <w:r>
              <w:rPr>
                <w:rFonts w:ascii="宋体" w:hAnsi="宋体" w:eastAsia="宋体"/>
                <w:sz w:val="16"/>
              </w:rPr>
              <w:t>18</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624AF99">
            <w:pPr>
              <w:jc w:val="center"/>
            </w:pPr>
            <w:r>
              <w:rPr>
                <w:rFonts w:ascii="宋体" w:hAnsi="宋体" w:eastAsia="宋体"/>
                <w:sz w:val="16"/>
              </w:rPr>
              <w:t>=14个</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FECA476">
            <w:pPr>
              <w:jc w:val="center"/>
            </w:pPr>
            <w:r>
              <w:rPr>
                <w:rFonts w:ascii="宋体" w:hAnsi="宋体" w:eastAsia="宋体"/>
                <w:sz w:val="16"/>
              </w:rPr>
              <w:t>100</w:t>
            </w:r>
          </w:p>
        </w:tc>
        <w:tc>
          <w:tcPr>
            <w:tcW w:w="1068" w:type="dxa"/>
            <w:tcBorders>
              <w:top w:val="single" w:color="auto" w:sz="10" w:space="0"/>
              <w:left w:val="single" w:color="auto" w:sz="10" w:space="0"/>
              <w:bottom w:val="single" w:color="auto" w:sz="10" w:space="0"/>
              <w:right w:val="single" w:color="auto" w:sz="10" w:space="0"/>
              <w:insideV w:val="single" w:sz="10" w:space="0"/>
            </w:tcBorders>
            <w:vAlign w:val="center"/>
          </w:tcPr>
          <w:p w14:paraId="22239100">
            <w:pPr>
              <w:jc w:val="center"/>
            </w:pPr>
            <w:r>
              <w:rPr>
                <w:rFonts w:ascii="宋体" w:hAnsi="宋体" w:eastAsia="宋体"/>
                <w:sz w:val="16"/>
              </w:rPr>
              <w:t>18</w:t>
            </w:r>
          </w:p>
        </w:tc>
      </w:tr>
    </w:tbl>
    <w:p w14:paraId="10224A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30CB0A6">
        <w:tblPrEx>
          <w:tblCellMar>
            <w:top w:w="0" w:type="dxa"/>
            <w:left w:w="108" w:type="dxa"/>
            <w:bottom w:w="0" w:type="dxa"/>
            <w:right w:w="108" w:type="dxa"/>
          </w:tblCellMar>
        </w:tblPrEx>
        <w:tc>
          <w:tcPr>
            <w:tcW w:w="8848" w:type="dxa"/>
            <w:gridSpan w:val="14"/>
            <w:vAlign w:val="center"/>
          </w:tcPr>
          <w:p w14:paraId="6ADD02A3">
            <w:pPr>
              <w:jc w:val="center"/>
            </w:pPr>
            <w:r>
              <w:rPr>
                <w:rFonts w:ascii="宋体" w:hAnsi="宋体" w:eastAsia="宋体"/>
                <w:sz w:val="24"/>
              </w:rPr>
              <w:t>项目支出绩效自评表</w:t>
            </w:r>
          </w:p>
        </w:tc>
      </w:tr>
      <w:tr w14:paraId="4AF92811">
        <w:tblPrEx>
          <w:tblCellMar>
            <w:top w:w="0" w:type="dxa"/>
            <w:left w:w="108" w:type="dxa"/>
            <w:bottom w:w="0" w:type="dxa"/>
            <w:right w:w="108" w:type="dxa"/>
          </w:tblCellMar>
        </w:tblPrEx>
        <w:tc>
          <w:tcPr>
            <w:tcW w:w="8848" w:type="dxa"/>
            <w:gridSpan w:val="14"/>
            <w:vAlign w:val="center"/>
          </w:tcPr>
          <w:p w14:paraId="65489A77">
            <w:pPr>
              <w:jc w:val="center"/>
            </w:pPr>
            <w:r>
              <w:rPr>
                <w:rFonts w:ascii="宋体" w:hAnsi="宋体" w:eastAsia="宋体"/>
                <w:sz w:val="24"/>
              </w:rPr>
              <w:t>(2024年度)</w:t>
            </w:r>
          </w:p>
        </w:tc>
      </w:tr>
      <w:tr w14:paraId="3A88A4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8F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2E0A32">
            <w:pPr>
              <w:jc w:val="center"/>
            </w:pPr>
            <w:r>
              <w:rPr>
                <w:rFonts w:hint="eastAsia" w:ascii="宋体" w:hAnsi="宋体"/>
                <w:sz w:val="16"/>
                <w:lang w:eastAsia="zh-CN"/>
              </w:rPr>
              <w:t>YQ</w:t>
            </w:r>
            <w:r>
              <w:rPr>
                <w:rFonts w:ascii="宋体" w:hAnsi="宋体" w:eastAsia="宋体"/>
                <w:sz w:val="16"/>
              </w:rPr>
              <w:t>防控经费（整改）</w:t>
            </w:r>
          </w:p>
        </w:tc>
      </w:tr>
      <w:tr w14:paraId="076EE2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48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64817">
            <w:pPr>
              <w:jc w:val="center"/>
            </w:pPr>
            <w:r>
              <w:rPr>
                <w:rFonts w:ascii="宋体" w:hAnsi="宋体" w:eastAsia="宋体"/>
                <w:sz w:val="16"/>
              </w:rPr>
              <w:t>叶城县恰尔巴格镇人民政府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79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B6C5C">
            <w:pPr>
              <w:jc w:val="center"/>
            </w:pPr>
            <w:r>
              <w:rPr>
                <w:rFonts w:ascii="宋体" w:hAnsi="宋体" w:eastAsia="宋体"/>
                <w:sz w:val="16"/>
              </w:rPr>
              <w:t>叶城县恰尔巴格镇人民政府</w:t>
            </w:r>
          </w:p>
        </w:tc>
      </w:tr>
      <w:tr w14:paraId="42BA2E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A6D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07C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17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62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383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C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28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FA10">
            <w:pPr>
              <w:jc w:val="center"/>
            </w:pPr>
            <w:r>
              <w:rPr>
                <w:rFonts w:ascii="宋体" w:hAnsi="宋体" w:eastAsia="宋体"/>
                <w:sz w:val="16"/>
              </w:rPr>
              <w:t>得分</w:t>
            </w:r>
          </w:p>
        </w:tc>
      </w:tr>
      <w:tr w14:paraId="6051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0F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C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8038">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974F">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8D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7F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9D3A6">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F281">
            <w:pPr>
              <w:jc w:val="center"/>
            </w:pPr>
            <w:r>
              <w:rPr>
                <w:rFonts w:ascii="宋体" w:hAnsi="宋体" w:eastAsia="宋体"/>
                <w:sz w:val="16"/>
              </w:rPr>
              <w:t>0.00分</w:t>
            </w:r>
          </w:p>
        </w:tc>
      </w:tr>
      <w:tr w14:paraId="7314E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4D2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D7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915F">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76D1">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51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829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B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FCF8">
            <w:pPr>
              <w:jc w:val="center"/>
            </w:pPr>
            <w:r>
              <w:rPr>
                <w:rFonts w:ascii="宋体" w:hAnsi="宋体" w:eastAsia="宋体"/>
                <w:sz w:val="16"/>
              </w:rPr>
              <w:t>—</w:t>
            </w:r>
          </w:p>
        </w:tc>
      </w:tr>
      <w:tr w14:paraId="32284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9C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5F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A8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F3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E93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D8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A4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0584">
            <w:pPr>
              <w:jc w:val="center"/>
            </w:pPr>
            <w:r>
              <w:rPr>
                <w:rFonts w:ascii="宋体" w:hAnsi="宋体" w:eastAsia="宋体"/>
                <w:sz w:val="16"/>
              </w:rPr>
              <w:t>—</w:t>
            </w:r>
          </w:p>
        </w:tc>
      </w:tr>
      <w:tr w14:paraId="4CAD99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25A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72F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518F1">
            <w:pPr>
              <w:jc w:val="center"/>
            </w:pPr>
            <w:r>
              <w:rPr>
                <w:rFonts w:ascii="宋体" w:hAnsi="宋体" w:eastAsia="宋体"/>
                <w:sz w:val="16"/>
              </w:rPr>
              <w:t>实际完成情况</w:t>
            </w:r>
          </w:p>
        </w:tc>
      </w:tr>
      <w:tr w14:paraId="605F7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D37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CE627">
            <w:pPr>
              <w:jc w:val="both"/>
            </w:pPr>
            <w:r>
              <w:rPr>
                <w:rFonts w:ascii="宋体" w:hAnsi="宋体" w:eastAsia="宋体"/>
                <w:sz w:val="16"/>
              </w:rPr>
              <w:t>项目预算安排资金72520元，其中：财政资金72520元，其他资金0万元，用于支付防治疾病采购物资欠款。支付项目欠款，保证相关公司合法权益，建立健全财务运行机制，进一步规范地方政府举债融资行为。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936D6">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安排资金7.25万元，到位资金7.25万元，实际支出0万元，用于支付防治疾病采购物资欠款。支付项目欠款，保证相关公司合法权益，建立健全财务运行机制，进一步规范地方政府举债融资行为。</w:t>
            </w:r>
          </w:p>
        </w:tc>
      </w:tr>
      <w:tr w14:paraId="6161B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255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F1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D0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22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EA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B5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6E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54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0E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BB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60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55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DF2A">
            <w:pPr>
              <w:jc w:val="center"/>
            </w:pPr>
            <w:r>
              <w:rPr>
                <w:rFonts w:ascii="宋体" w:hAnsi="宋体" w:eastAsia="宋体"/>
                <w:sz w:val="16"/>
              </w:rPr>
              <w:t>偏差原因分析及改进措施</w:t>
            </w:r>
          </w:p>
        </w:tc>
      </w:tr>
      <w:tr w14:paraId="4792A2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3F8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63B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752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98E7">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7F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F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2B11">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2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9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C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A1B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4C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E1E45">
            <w:pPr>
              <w:jc w:val="center"/>
            </w:pPr>
            <w:r>
              <w:rPr>
                <w:rFonts w:ascii="宋体" w:hAnsi="宋体" w:eastAsia="宋体"/>
                <w:sz w:val="16"/>
              </w:rPr>
              <w:t>由于企业未提供完整的资料而无法支付。整改措施：督促企业提供完整资料。</w:t>
            </w:r>
          </w:p>
        </w:tc>
      </w:tr>
      <w:tr w14:paraId="03AE4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9F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5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3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6FA8">
            <w:pPr>
              <w:jc w:val="center"/>
            </w:pPr>
            <w:r>
              <w:rPr>
                <w:rFonts w:ascii="宋体" w:hAnsi="宋体" w:eastAsia="宋体"/>
                <w:sz w:val="16"/>
              </w:rPr>
              <w:t>支付欠款项目个数（个）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D2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3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CA27">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F5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A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4F8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5A4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186A">
            <w:pPr>
              <w:jc w:val="center"/>
            </w:pPr>
            <w:r>
              <w:rPr>
                <w:rFonts w:ascii="宋体" w:hAnsi="宋体" w:eastAsia="宋体"/>
                <w:sz w:val="16"/>
              </w:rPr>
              <w:t>由于企业未提供完整的资料而无法支付。整改措施：督促企业提供完整资料。</w:t>
            </w:r>
          </w:p>
        </w:tc>
      </w:tr>
      <w:tr w14:paraId="1745C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53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8D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E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4091">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B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1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C886">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9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F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ED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D2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9F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8BD7">
            <w:pPr>
              <w:jc w:val="center"/>
            </w:pPr>
            <w:r>
              <w:rPr>
                <w:rFonts w:ascii="宋体" w:hAnsi="宋体" w:eastAsia="宋体"/>
                <w:sz w:val="16"/>
              </w:rPr>
              <w:t>由于企业未提供完整的资料而无法支付。整改措施：督促企业提供完整资料。</w:t>
            </w:r>
          </w:p>
        </w:tc>
      </w:tr>
      <w:tr w14:paraId="604E3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A4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7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46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430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0804">
            <w:pPr>
              <w:jc w:val="center"/>
            </w:pPr>
            <w:r>
              <w:rPr>
                <w:rFonts w:ascii="宋体" w:hAnsi="宋体" w:eastAsia="宋体"/>
                <w:sz w:val="16"/>
              </w:rPr>
              <w:t>2024年12月22日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0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EDD8">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9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E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F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C779">
            <w:pPr>
              <w:jc w:val="center"/>
            </w:pPr>
            <w:r>
              <w:rPr>
                <w:rFonts w:ascii="宋体" w:hAnsi="宋体" w:eastAsia="宋体"/>
                <w:sz w:val="16"/>
              </w:rPr>
              <w:t>=0年12月22日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76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CE87">
            <w:pPr>
              <w:jc w:val="center"/>
            </w:pPr>
            <w:r>
              <w:rPr>
                <w:rFonts w:ascii="宋体" w:hAnsi="宋体" w:eastAsia="宋体"/>
                <w:sz w:val="16"/>
              </w:rPr>
              <w:t>由于企业未提供完整的资料而无法支付。整改措施：督促企业提供完整资料。</w:t>
            </w:r>
          </w:p>
        </w:tc>
      </w:tr>
      <w:tr w14:paraId="467F0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F3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FD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43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47A9">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92A3">
            <w:pPr>
              <w:jc w:val="center"/>
            </w:pPr>
            <w:r>
              <w:rPr>
                <w:rFonts w:ascii="宋体" w:hAnsi="宋体" w:eastAsia="宋体"/>
                <w:sz w:val="16"/>
              </w:rPr>
              <w:t>&lt;=7.25万元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83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F300">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4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2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C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718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FE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72B91">
            <w:pPr>
              <w:jc w:val="center"/>
            </w:pPr>
            <w:r>
              <w:rPr>
                <w:rFonts w:ascii="宋体" w:hAnsi="宋体" w:eastAsia="宋体"/>
                <w:sz w:val="16"/>
              </w:rPr>
              <w:t>由于企业未提供完整的资料而无法支付。整改措施：督促企业提供完整资料。</w:t>
            </w:r>
          </w:p>
        </w:tc>
      </w:tr>
      <w:tr w14:paraId="1E26A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D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CF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ED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EF94">
            <w:pPr>
              <w:jc w:val="center"/>
            </w:pPr>
            <w:r>
              <w:rPr>
                <w:rFonts w:ascii="宋体" w:hAnsi="宋体" w:eastAsia="宋体"/>
                <w:sz w:val="16"/>
              </w:rPr>
              <w:t>建立健全财务运行制度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506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8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DA6B">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C1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25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6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9A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42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C293">
            <w:pPr>
              <w:jc w:val="center"/>
            </w:pPr>
            <w:r>
              <w:rPr>
                <w:rFonts w:ascii="宋体" w:hAnsi="宋体" w:eastAsia="宋体"/>
                <w:sz w:val="16"/>
              </w:rPr>
              <w:t>由于企业未提供完整的资料而无法支付。整改措施：督促企业提供完整资料。</w:t>
            </w:r>
          </w:p>
        </w:tc>
      </w:tr>
      <w:tr w14:paraId="5F365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4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8B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78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BED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BF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6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6374">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F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F7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1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F7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D84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5DB0">
            <w:pPr>
              <w:jc w:val="center"/>
            </w:pPr>
            <w:r>
              <w:rPr>
                <w:rFonts w:ascii="宋体" w:hAnsi="宋体" w:eastAsia="宋体"/>
                <w:sz w:val="16"/>
              </w:rPr>
              <w:t>由于企业未提供完整的资料而无法支付。整改措施：督促企业提供完整资料。</w:t>
            </w:r>
          </w:p>
        </w:tc>
      </w:tr>
      <w:tr w14:paraId="0B5AB25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592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CEE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A8D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5CD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C0EFE8"/>
        </w:tc>
      </w:tr>
    </w:tbl>
    <w:p w14:paraId="6BED35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3AF1B204">
        <w:tblPrEx>
          <w:tblCellMar>
            <w:top w:w="0" w:type="dxa"/>
            <w:left w:w="108" w:type="dxa"/>
            <w:bottom w:w="0" w:type="dxa"/>
            <w:right w:w="108" w:type="dxa"/>
          </w:tblCellMar>
        </w:tblPrEx>
        <w:tc>
          <w:tcPr>
            <w:tcW w:w="8848" w:type="dxa"/>
            <w:gridSpan w:val="14"/>
            <w:vAlign w:val="center"/>
          </w:tcPr>
          <w:p w14:paraId="46DF8F57">
            <w:pPr>
              <w:jc w:val="center"/>
            </w:pPr>
            <w:r>
              <w:rPr>
                <w:rFonts w:ascii="宋体" w:hAnsi="宋体" w:eastAsia="宋体"/>
                <w:sz w:val="24"/>
              </w:rPr>
              <w:t>项目支出绩效自评表</w:t>
            </w:r>
          </w:p>
        </w:tc>
      </w:tr>
      <w:tr w14:paraId="045C2C6F">
        <w:tblPrEx>
          <w:tblCellMar>
            <w:top w:w="0" w:type="dxa"/>
            <w:left w:w="108" w:type="dxa"/>
            <w:bottom w:w="0" w:type="dxa"/>
            <w:right w:w="108" w:type="dxa"/>
          </w:tblCellMar>
        </w:tblPrEx>
        <w:tc>
          <w:tcPr>
            <w:tcW w:w="8848" w:type="dxa"/>
            <w:gridSpan w:val="14"/>
            <w:vAlign w:val="center"/>
          </w:tcPr>
          <w:p w14:paraId="5BD30F50">
            <w:pPr>
              <w:jc w:val="center"/>
            </w:pPr>
            <w:r>
              <w:rPr>
                <w:rFonts w:ascii="宋体" w:hAnsi="宋体" w:eastAsia="宋体"/>
                <w:sz w:val="24"/>
              </w:rPr>
              <w:t>(2024年度)</w:t>
            </w:r>
          </w:p>
        </w:tc>
      </w:tr>
      <w:tr w14:paraId="60359F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82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92245">
            <w:pPr>
              <w:jc w:val="center"/>
            </w:pPr>
            <w:r>
              <w:rPr>
                <w:rFonts w:ascii="宋体" w:hAnsi="宋体" w:eastAsia="宋体"/>
                <w:sz w:val="16"/>
              </w:rPr>
              <w:t>2024年县级专项公用经费项目</w:t>
            </w:r>
          </w:p>
        </w:tc>
      </w:tr>
      <w:tr w14:paraId="13C0E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9A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71346">
            <w:pPr>
              <w:jc w:val="center"/>
            </w:pPr>
            <w:r>
              <w:rPr>
                <w:rFonts w:ascii="宋体" w:hAnsi="宋体" w:eastAsia="宋体"/>
                <w:sz w:val="16"/>
              </w:rPr>
              <w:t>叶城县恰尔巴格镇人民政府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E0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865878">
            <w:pPr>
              <w:jc w:val="center"/>
            </w:pPr>
            <w:r>
              <w:rPr>
                <w:rFonts w:ascii="宋体" w:hAnsi="宋体" w:eastAsia="宋体"/>
                <w:sz w:val="16"/>
              </w:rPr>
              <w:t>叶城县恰尔巴格镇人民政府</w:t>
            </w:r>
          </w:p>
        </w:tc>
      </w:tr>
      <w:tr w14:paraId="2FAAD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48E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604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59D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36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7B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DB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AFB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BE54">
            <w:pPr>
              <w:jc w:val="center"/>
            </w:pPr>
            <w:r>
              <w:rPr>
                <w:rFonts w:ascii="宋体" w:hAnsi="宋体" w:eastAsia="宋体"/>
                <w:sz w:val="16"/>
              </w:rPr>
              <w:t>得分</w:t>
            </w:r>
          </w:p>
        </w:tc>
      </w:tr>
      <w:tr w14:paraId="57D9A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C0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4F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3449">
            <w:pPr>
              <w:jc w:val="center"/>
            </w:pPr>
            <w:r>
              <w:rPr>
                <w:rFonts w:ascii="宋体" w:hAnsi="宋体" w:eastAsia="宋体"/>
                <w:sz w:val="16"/>
              </w:rPr>
              <w:t>49.30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5C39">
            <w:pPr>
              <w:jc w:val="center"/>
            </w:pPr>
            <w:r>
              <w:rPr>
                <w:rFonts w:ascii="宋体" w:hAnsi="宋体" w:eastAsia="宋体"/>
                <w:sz w:val="16"/>
              </w:rPr>
              <w:t>49.30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69E9">
            <w:pPr>
              <w:jc w:val="center"/>
            </w:pPr>
            <w:r>
              <w:rPr>
                <w:rFonts w:ascii="宋体" w:hAnsi="宋体" w:eastAsia="宋体"/>
                <w:sz w:val="16"/>
              </w:rPr>
              <w:t>49.30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CE7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8F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58BE">
            <w:pPr>
              <w:jc w:val="center"/>
            </w:pPr>
            <w:r>
              <w:rPr>
                <w:rFonts w:ascii="宋体" w:hAnsi="宋体" w:eastAsia="宋体"/>
                <w:sz w:val="16"/>
              </w:rPr>
              <w:t>10.00分</w:t>
            </w:r>
          </w:p>
        </w:tc>
      </w:tr>
      <w:tr w14:paraId="175DC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6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D8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24B7F">
            <w:pPr>
              <w:jc w:val="center"/>
            </w:pPr>
            <w:r>
              <w:rPr>
                <w:rFonts w:ascii="宋体" w:hAnsi="宋体" w:eastAsia="宋体"/>
                <w:sz w:val="16"/>
              </w:rPr>
              <w:t>49.30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E9FF">
            <w:pPr>
              <w:jc w:val="center"/>
            </w:pPr>
            <w:r>
              <w:rPr>
                <w:rFonts w:ascii="宋体" w:hAnsi="宋体" w:eastAsia="宋体"/>
                <w:sz w:val="16"/>
              </w:rPr>
              <w:t>49.30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72490">
            <w:pPr>
              <w:jc w:val="center"/>
            </w:pPr>
            <w:r>
              <w:rPr>
                <w:rFonts w:ascii="宋体" w:hAnsi="宋体" w:eastAsia="宋体"/>
                <w:sz w:val="16"/>
              </w:rPr>
              <w:t>49.30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B0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2E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9943">
            <w:pPr>
              <w:jc w:val="center"/>
            </w:pPr>
            <w:r>
              <w:rPr>
                <w:rFonts w:ascii="宋体" w:hAnsi="宋体" w:eastAsia="宋体"/>
                <w:sz w:val="16"/>
              </w:rPr>
              <w:t>—</w:t>
            </w:r>
          </w:p>
        </w:tc>
      </w:tr>
      <w:tr w14:paraId="66725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A0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2B5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64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8E0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A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C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C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E655">
            <w:pPr>
              <w:jc w:val="center"/>
            </w:pPr>
            <w:r>
              <w:rPr>
                <w:rFonts w:ascii="宋体" w:hAnsi="宋体" w:eastAsia="宋体"/>
                <w:sz w:val="16"/>
              </w:rPr>
              <w:t>—</w:t>
            </w:r>
          </w:p>
        </w:tc>
      </w:tr>
      <w:tr w14:paraId="5EE1B8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9DB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15B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D72A5">
            <w:pPr>
              <w:jc w:val="center"/>
            </w:pPr>
            <w:r>
              <w:rPr>
                <w:rFonts w:ascii="宋体" w:hAnsi="宋体" w:eastAsia="宋体"/>
                <w:sz w:val="16"/>
              </w:rPr>
              <w:t>实际完成情况</w:t>
            </w:r>
          </w:p>
        </w:tc>
      </w:tr>
      <w:tr w14:paraId="61EF3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784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B47A4">
            <w:pPr>
              <w:jc w:val="both"/>
            </w:pPr>
            <w:r>
              <w:rPr>
                <w:rFonts w:ascii="宋体" w:hAnsi="宋体" w:eastAsia="宋体"/>
                <w:sz w:val="16"/>
              </w:rPr>
              <w:t>项目资金49.3万元，用于恰尔巴格镇人民政府日常运转支出，按时支付相关费用，保障单位正常运转，提高单位工作人员积极性。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B16477">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49.3万元，到位资金49.3万元，已支付49.3万元，项目用于恰尔巴格镇人民政府日常运转支出，按时支付相关费用，保障单位正常运转，提高单位工作人员积极性，提高办事效率，提高群众幸福感。</w:t>
            </w:r>
          </w:p>
        </w:tc>
      </w:tr>
      <w:tr w14:paraId="33A8AA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2E6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F0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79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01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B4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E0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CE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3F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82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B0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F1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8A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9D03">
            <w:pPr>
              <w:jc w:val="center"/>
            </w:pPr>
            <w:r>
              <w:rPr>
                <w:rFonts w:ascii="宋体" w:hAnsi="宋体" w:eastAsia="宋体"/>
                <w:sz w:val="16"/>
              </w:rPr>
              <w:t>偏差原因分析及改进措施</w:t>
            </w:r>
          </w:p>
        </w:tc>
      </w:tr>
      <w:tr w14:paraId="067B3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800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3D2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AE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C862">
            <w:pPr>
              <w:jc w:val="center"/>
            </w:pPr>
            <w:r>
              <w:rPr>
                <w:rFonts w:ascii="宋体" w:hAnsi="宋体" w:eastAsia="宋体"/>
                <w:sz w:val="16"/>
              </w:rPr>
              <w:t>保障日常运转乡镇数（个）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E0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4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C8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56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5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D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B9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A8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FC02">
            <w:pPr>
              <w:jc w:val="center"/>
            </w:pPr>
          </w:p>
        </w:tc>
      </w:tr>
      <w:tr w14:paraId="07829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FF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86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E53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B6B3">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0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6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B0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0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A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D30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6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0D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F648">
            <w:pPr>
              <w:jc w:val="center"/>
            </w:pPr>
          </w:p>
        </w:tc>
      </w:tr>
      <w:tr w14:paraId="73EBD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C0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B8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F0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B24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8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1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6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F5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0D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57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E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01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29C6">
            <w:pPr>
              <w:jc w:val="center"/>
            </w:pPr>
          </w:p>
        </w:tc>
      </w:tr>
      <w:tr w14:paraId="3E532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5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47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05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482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E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7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A8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9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6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02C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8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C2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E977">
            <w:pPr>
              <w:jc w:val="center"/>
            </w:pPr>
          </w:p>
        </w:tc>
      </w:tr>
      <w:tr w14:paraId="1FF11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55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44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64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F4AA">
            <w:pPr>
              <w:jc w:val="center"/>
            </w:pPr>
            <w:r>
              <w:rPr>
                <w:rFonts w:ascii="宋体" w:hAnsi="宋体" w:eastAsia="宋体"/>
                <w:sz w:val="16"/>
              </w:rPr>
              <w:t>公用经费金额（万元）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C4E6">
            <w:pPr>
              <w:jc w:val="center"/>
            </w:pPr>
            <w:r>
              <w:rPr>
                <w:rFonts w:ascii="宋体" w:hAnsi="宋体" w:eastAsia="宋体"/>
                <w:sz w:val="16"/>
              </w:rPr>
              <w:t>&lt;=49.30万元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49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E0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F6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6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68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9789">
            <w:pPr>
              <w:jc w:val="center"/>
            </w:pPr>
            <w:r>
              <w:rPr>
                <w:rFonts w:ascii="宋体" w:hAnsi="宋体" w:eastAsia="宋体"/>
                <w:sz w:val="16"/>
              </w:rPr>
              <w:t>=49.3万元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27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9FDE8">
            <w:pPr>
              <w:jc w:val="center"/>
            </w:pPr>
          </w:p>
        </w:tc>
      </w:tr>
      <w:tr w14:paraId="5B327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A9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5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B4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DB91">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6C9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C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8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6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F0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21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38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E2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839A">
            <w:pPr>
              <w:jc w:val="center"/>
            </w:pPr>
          </w:p>
        </w:tc>
      </w:tr>
      <w:tr w14:paraId="054F3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CA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26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EE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8E9A">
            <w:pPr>
              <w:jc w:val="center"/>
            </w:pPr>
            <w:r>
              <w:rPr>
                <w:rFonts w:ascii="宋体" w:hAnsi="宋体" w:eastAsia="宋体"/>
                <w:sz w:val="16"/>
              </w:rPr>
              <w:t>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EA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2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9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83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59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03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F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6A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45D2">
            <w:pPr>
              <w:jc w:val="center"/>
            </w:pPr>
          </w:p>
        </w:tc>
      </w:tr>
      <w:tr w14:paraId="703CE7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5DC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213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88E5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59A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4F295E"/>
        </w:tc>
      </w:tr>
    </w:tbl>
    <w:p w14:paraId="1292C643">
      <w:r>
        <w:br w:type="page"/>
      </w:r>
    </w:p>
    <w:p w14:paraId="1E6B3D9E">
      <w:pPr>
        <w:spacing w:line="640" w:lineRule="exact"/>
        <w:ind w:firstLine="640"/>
        <w:jc w:val="both"/>
        <w:outlineLvl w:val="2"/>
      </w:pPr>
      <w:r>
        <w:rPr>
          <w:rFonts w:ascii="黑体" w:hAnsi="黑体" w:eastAsia="黑体"/>
          <w:sz w:val="32"/>
        </w:rPr>
        <w:t>十二、其他需说明的事项</w:t>
      </w:r>
    </w:p>
    <w:p w14:paraId="145386DF">
      <w:pPr>
        <w:spacing w:line="580" w:lineRule="exact"/>
        <w:ind w:firstLine="640"/>
        <w:jc w:val="both"/>
      </w:pPr>
      <w:r>
        <w:rPr>
          <w:rFonts w:ascii="仿宋_GB2312" w:hAnsi="仿宋_GB2312" w:eastAsia="仿宋_GB2312"/>
          <w:b w:val="0"/>
          <w:sz w:val="32"/>
        </w:rPr>
        <w:t>本单位无其他需说明的事项。</w:t>
      </w:r>
    </w:p>
    <w:p w14:paraId="7A8F0F4B">
      <w:r>
        <w:br w:type="page"/>
      </w:r>
    </w:p>
    <w:p w14:paraId="1C165D44">
      <w:pPr>
        <w:spacing w:line="240" w:lineRule="auto"/>
        <w:jc w:val="center"/>
        <w:outlineLvl w:val="1"/>
      </w:pPr>
      <w:r>
        <w:rPr>
          <w:rFonts w:ascii="黑体" w:hAnsi="黑体" w:eastAsia="黑体"/>
          <w:sz w:val="32"/>
        </w:rPr>
        <w:t>第三部分 专业名词解释</w:t>
      </w:r>
    </w:p>
    <w:p w14:paraId="7DB0AE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AF026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3CEAB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FCAAA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06A10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5AEC8A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63842B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633E04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2D18A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B26C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F3671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32C22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30D5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91B51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E999A1">
      <w:r>
        <w:br w:type="page"/>
      </w:r>
    </w:p>
    <w:p w14:paraId="181926CF">
      <w:pPr>
        <w:spacing w:line="240" w:lineRule="auto"/>
        <w:jc w:val="center"/>
        <w:outlineLvl w:val="1"/>
      </w:pPr>
      <w:r>
        <w:rPr>
          <w:rFonts w:ascii="黑体" w:hAnsi="黑体" w:eastAsia="黑体"/>
          <w:sz w:val="32"/>
        </w:rPr>
        <w:t>第四部分 部门决算报表（见附表）</w:t>
      </w:r>
    </w:p>
    <w:p w14:paraId="60020A25">
      <w:pPr>
        <w:spacing w:line="240" w:lineRule="auto"/>
        <w:ind w:firstLine="640"/>
        <w:jc w:val="both"/>
      </w:pPr>
      <w:r>
        <w:rPr>
          <w:rFonts w:ascii="仿宋_GB2312" w:hAnsi="仿宋_GB2312" w:eastAsia="仿宋_GB2312"/>
          <w:b w:val="0"/>
          <w:sz w:val="32"/>
        </w:rPr>
        <w:t>一、《收入支出决算总表》</w:t>
      </w:r>
    </w:p>
    <w:p w14:paraId="1FFADA40">
      <w:pPr>
        <w:spacing w:line="240" w:lineRule="auto"/>
        <w:ind w:firstLine="640"/>
        <w:jc w:val="both"/>
      </w:pPr>
      <w:r>
        <w:rPr>
          <w:rFonts w:ascii="仿宋_GB2312" w:hAnsi="仿宋_GB2312" w:eastAsia="仿宋_GB2312"/>
          <w:b w:val="0"/>
          <w:sz w:val="32"/>
        </w:rPr>
        <w:t>二、《收入决算表》</w:t>
      </w:r>
    </w:p>
    <w:p w14:paraId="4BA70D12">
      <w:pPr>
        <w:spacing w:line="240" w:lineRule="auto"/>
        <w:ind w:firstLine="640"/>
        <w:jc w:val="both"/>
      </w:pPr>
      <w:r>
        <w:rPr>
          <w:rFonts w:ascii="仿宋_GB2312" w:hAnsi="仿宋_GB2312" w:eastAsia="仿宋_GB2312"/>
          <w:b w:val="0"/>
          <w:sz w:val="32"/>
        </w:rPr>
        <w:t>三、《支出决算表》</w:t>
      </w:r>
    </w:p>
    <w:p w14:paraId="59CE69B0">
      <w:pPr>
        <w:spacing w:line="240" w:lineRule="auto"/>
        <w:ind w:firstLine="640"/>
        <w:jc w:val="both"/>
      </w:pPr>
      <w:r>
        <w:rPr>
          <w:rFonts w:ascii="仿宋_GB2312" w:hAnsi="仿宋_GB2312" w:eastAsia="仿宋_GB2312"/>
          <w:b w:val="0"/>
          <w:sz w:val="32"/>
        </w:rPr>
        <w:t>四、《财政拨款收入支出决算总表》</w:t>
      </w:r>
    </w:p>
    <w:p w14:paraId="31DB3638">
      <w:pPr>
        <w:spacing w:line="240" w:lineRule="auto"/>
        <w:ind w:firstLine="640"/>
        <w:jc w:val="both"/>
      </w:pPr>
      <w:r>
        <w:rPr>
          <w:rFonts w:ascii="仿宋_GB2312" w:hAnsi="仿宋_GB2312" w:eastAsia="仿宋_GB2312"/>
          <w:b w:val="0"/>
          <w:sz w:val="32"/>
        </w:rPr>
        <w:t>五、《一般公共预算财政拨款支出决算表》</w:t>
      </w:r>
    </w:p>
    <w:p w14:paraId="73A846A7">
      <w:pPr>
        <w:spacing w:line="240" w:lineRule="auto"/>
        <w:ind w:firstLine="640"/>
        <w:jc w:val="both"/>
      </w:pPr>
      <w:r>
        <w:rPr>
          <w:rFonts w:ascii="仿宋_GB2312" w:hAnsi="仿宋_GB2312" w:eastAsia="仿宋_GB2312"/>
          <w:b w:val="0"/>
          <w:sz w:val="32"/>
        </w:rPr>
        <w:t>六、《一般公共预算财政拨款基本支出决算表》</w:t>
      </w:r>
    </w:p>
    <w:p w14:paraId="7A918F23">
      <w:pPr>
        <w:spacing w:line="240" w:lineRule="auto"/>
        <w:ind w:firstLine="640"/>
        <w:jc w:val="both"/>
      </w:pPr>
      <w:r>
        <w:rPr>
          <w:rFonts w:ascii="仿宋_GB2312" w:hAnsi="仿宋_GB2312" w:eastAsia="仿宋_GB2312"/>
          <w:b w:val="0"/>
          <w:sz w:val="32"/>
        </w:rPr>
        <w:t>七、《政府性基金预算财政拨款收入支出决算表》</w:t>
      </w:r>
    </w:p>
    <w:p w14:paraId="000E231E">
      <w:pPr>
        <w:spacing w:line="240" w:lineRule="auto"/>
        <w:ind w:firstLine="640"/>
        <w:jc w:val="both"/>
      </w:pPr>
      <w:r>
        <w:rPr>
          <w:rFonts w:ascii="仿宋_GB2312" w:hAnsi="仿宋_GB2312" w:eastAsia="仿宋_GB2312"/>
          <w:b w:val="0"/>
          <w:sz w:val="32"/>
        </w:rPr>
        <w:t>八、《国有资本经营预算财政拨款收入支出决算表》</w:t>
      </w:r>
    </w:p>
    <w:p w14:paraId="37BD199D">
      <w:pPr>
        <w:spacing w:line="240" w:lineRule="auto"/>
        <w:ind w:firstLine="640"/>
        <w:jc w:val="both"/>
      </w:pPr>
      <w:r>
        <w:rPr>
          <w:rFonts w:ascii="仿宋_GB2312" w:hAnsi="仿宋_GB2312" w:eastAsia="仿宋_GB2312"/>
          <w:b w:val="0"/>
          <w:sz w:val="32"/>
        </w:rPr>
        <w:t>九、《财政拨款“三公”经费支出决算表》</w:t>
      </w:r>
    </w:p>
    <w:p w14:paraId="28BCB033">
      <w:pPr>
        <w:spacing w:line="240" w:lineRule="auto"/>
        <w:ind w:firstLine="640"/>
        <w:jc w:val="both"/>
      </w:pPr>
    </w:p>
    <w:p w14:paraId="337CFE7A">
      <w:pPr>
        <w:spacing w:line="240" w:lineRule="auto"/>
        <w:ind w:firstLine="640"/>
        <w:jc w:val="both"/>
      </w:pPr>
    </w:p>
    <w:p w14:paraId="7B435048">
      <w:pPr>
        <w:spacing w:line="240" w:lineRule="auto"/>
        <w:ind w:firstLine="640"/>
        <w:jc w:val="both"/>
      </w:pPr>
    </w:p>
    <w:p w14:paraId="260383AB">
      <w:pPr>
        <w:spacing w:line="240" w:lineRule="auto"/>
        <w:ind w:firstLine="640"/>
        <w:jc w:val="both"/>
      </w:pPr>
    </w:p>
    <w:p w14:paraId="69B4D1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CB9E5E-B40D-4EDC-92E8-81B7D0E65E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70C5EDE-FB50-4F76-9FD2-8B3D1BFA19A8}"/>
  </w:font>
  <w:font w:name="仿宋_GB2312">
    <w:panose1 w:val="02010609030101010101"/>
    <w:charset w:val="86"/>
    <w:family w:val="modern"/>
    <w:pitch w:val="default"/>
    <w:sig w:usb0="00000001" w:usb1="080E0000" w:usb2="00000000" w:usb3="00000000" w:csb0="00040000" w:csb1="00000000"/>
    <w:embedRegular r:id="rId3" w:fontKey="{78A5A970-ED92-4A71-8964-2AA64106B59F}"/>
  </w:font>
  <w:font w:name="楷体_GB2312">
    <w:panose1 w:val="02010609030101010101"/>
    <w:charset w:val="86"/>
    <w:family w:val="auto"/>
    <w:pitch w:val="default"/>
    <w:sig w:usb0="00000001" w:usb1="080E0000" w:usb2="00000000" w:usb3="00000000" w:csb0="00040000" w:csb1="00000000"/>
    <w:embedRegular r:id="rId4" w:fontKey="{48A68935-C361-4E35-9B56-17B6888D4A9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5B1D0A"/>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CC7925"/>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7080</Words>
  <Characters>8218</Characters>
  <Lines>0</Lines>
  <Paragraphs>0</Paragraphs>
  <TotalTime>24</TotalTime>
  <ScaleCrop>false</ScaleCrop>
  <LinksUpToDate>false</LinksUpToDate>
  <CharactersWithSpaces>8226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2025-09-28T08:04:03Z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