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叶城县棋盘乡人民政府2024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0EA906">
      <w:r>
        <w:br w:type="page"/>
      </w:r>
    </w:p>
    <w:p w14:paraId="29B6FBBB">
      <w:pPr>
        <w:spacing w:line="640" w:lineRule="exact"/>
        <w:jc w:val="center"/>
        <w:outlineLvl w:val="1"/>
      </w:pPr>
      <w:r>
        <w:rPr>
          <w:rFonts w:ascii="黑体" w:hAnsi="黑体" w:eastAsia="黑体"/>
          <w:sz w:val="32"/>
        </w:rPr>
        <w:t>第一部分 单位概况</w:t>
      </w:r>
    </w:p>
    <w:p w14:paraId="34704451">
      <w:pPr>
        <w:spacing w:line="640" w:lineRule="exact"/>
        <w:ind w:firstLine="640"/>
        <w:jc w:val="both"/>
        <w:outlineLvl w:val="2"/>
      </w:pPr>
      <w:r>
        <w:rPr>
          <w:rFonts w:ascii="黑体" w:hAnsi="黑体" w:eastAsia="黑体"/>
          <w:sz w:val="32"/>
        </w:rPr>
        <w:t>一、主要职能</w:t>
      </w:r>
    </w:p>
    <w:p w14:paraId="6F938A3C">
      <w:pPr>
        <w:spacing w:line="580" w:lineRule="exact"/>
        <w:ind w:firstLine="640"/>
        <w:jc w:val="both"/>
      </w:pPr>
      <w:r>
        <w:rPr>
          <w:rFonts w:ascii="仿宋_GB2312" w:hAnsi="仿宋_GB2312" w:eastAsia="仿宋_GB2312"/>
          <w:sz w:val="32"/>
        </w:rPr>
        <w:t>负责全乡党政行政管理事务。以贯彻落实党的二十大精神，坚决贯彻执行党中央、国务院、自治区、地区及县委、县人民政府的有关方面政策指示，把党的各项优惠政策落实到实处，负责全乡经济社会发展、社会事务管理、基层组织建设等全面工作。以全面建设社会主义新农村为根本出发点，不断深化美丽乡村建设为总目标，不断铸牢全乡经济社会发展基础，为全乡种族群众提供社会服务。</w:t>
      </w:r>
    </w:p>
    <w:p w14:paraId="565CEDA2">
      <w:pPr>
        <w:spacing w:line="640" w:lineRule="exact"/>
        <w:ind w:firstLine="640"/>
        <w:jc w:val="both"/>
        <w:outlineLvl w:val="2"/>
      </w:pPr>
      <w:r>
        <w:rPr>
          <w:rFonts w:ascii="黑体" w:hAnsi="黑体" w:eastAsia="黑体"/>
          <w:sz w:val="32"/>
        </w:rPr>
        <w:t>二、机构设置及人员情况</w:t>
      </w:r>
    </w:p>
    <w:p w14:paraId="51401F9B">
      <w:pPr>
        <w:spacing w:line="580" w:lineRule="exact"/>
        <w:ind w:firstLine="640"/>
        <w:jc w:val="both"/>
      </w:pPr>
      <w:r>
        <w:rPr>
          <w:rFonts w:ascii="仿宋_GB2312" w:hAnsi="仿宋_GB2312" w:eastAsia="仿宋_GB2312"/>
          <w:sz w:val="32"/>
        </w:rPr>
        <w:t>叶城县棋盘乡人民政府2024年度，实有人数95人，其中：在职人员85人，减少11人；离休人员0人，增加0人；退休人员10人,增加1人。</w:t>
      </w:r>
    </w:p>
    <w:p w14:paraId="02DADEB8">
      <w:pPr>
        <w:spacing w:line="580" w:lineRule="exact"/>
        <w:ind w:firstLine="640"/>
        <w:jc w:val="both"/>
      </w:pPr>
      <w:r>
        <w:rPr>
          <w:rFonts w:ascii="仿宋_GB2312" w:hAnsi="仿宋_GB2312" w:eastAsia="仿宋_GB2312"/>
          <w:sz w:val="32"/>
        </w:rPr>
        <w:t>叶城县棋盘乡人民政府无下属预算单位，下设5个科室，分别是：党政办、党建办、综治办、社会事务办、经济发展中心。</w:t>
      </w:r>
    </w:p>
    <w:p w14:paraId="48F7A3DA">
      <w:r>
        <w:br w:type="page"/>
      </w:r>
    </w:p>
    <w:p w14:paraId="1F8005E4">
      <w:pPr>
        <w:spacing w:line="240" w:lineRule="auto"/>
        <w:jc w:val="center"/>
        <w:outlineLvl w:val="1"/>
      </w:pPr>
      <w:r>
        <w:rPr>
          <w:rFonts w:ascii="黑体" w:hAnsi="黑体" w:eastAsia="黑体"/>
          <w:sz w:val="32"/>
        </w:rPr>
        <w:t>第二部分 部门决算情况说明</w:t>
      </w:r>
    </w:p>
    <w:p w14:paraId="193558C3">
      <w:pPr>
        <w:spacing w:line="640" w:lineRule="exact"/>
        <w:ind w:firstLine="640"/>
        <w:jc w:val="both"/>
        <w:outlineLvl w:val="2"/>
      </w:pPr>
      <w:r>
        <w:rPr>
          <w:rFonts w:ascii="黑体" w:hAnsi="黑体" w:eastAsia="黑体"/>
          <w:sz w:val="32"/>
        </w:rPr>
        <w:t>一、收入支出决算总体情况说明</w:t>
      </w:r>
    </w:p>
    <w:p w14:paraId="518B8103">
      <w:pPr>
        <w:spacing w:line="580" w:lineRule="exact"/>
        <w:ind w:firstLine="640"/>
        <w:jc w:val="both"/>
      </w:pPr>
      <w:r>
        <w:rPr>
          <w:rFonts w:ascii="仿宋_GB2312" w:hAnsi="仿宋_GB2312" w:eastAsia="仿宋_GB2312"/>
          <w:b/>
          <w:sz w:val="32"/>
        </w:rPr>
        <w:t>2024年度收入总计2,419.49万元，</w:t>
      </w:r>
      <w:r>
        <w:rPr>
          <w:rFonts w:ascii="仿宋_GB2312" w:hAnsi="仿宋_GB2312" w:eastAsia="仿宋_GB2312"/>
          <w:b w:val="0"/>
          <w:sz w:val="32"/>
        </w:rPr>
        <w:t>其中：本年收入合计2,419.49万元，使用非财政拨款结余（含专用结余）0.00万元，年初结转和结余0.00万元。</w:t>
      </w:r>
    </w:p>
    <w:p w14:paraId="12F9EF80">
      <w:pPr>
        <w:spacing w:line="580" w:lineRule="exact"/>
        <w:ind w:firstLine="640"/>
        <w:jc w:val="both"/>
      </w:pPr>
      <w:r>
        <w:rPr>
          <w:rFonts w:ascii="仿宋_GB2312" w:hAnsi="仿宋_GB2312" w:eastAsia="仿宋_GB2312"/>
          <w:b/>
          <w:sz w:val="32"/>
        </w:rPr>
        <w:t>2024年度支出总计2,419.49万元，</w:t>
      </w:r>
      <w:r>
        <w:rPr>
          <w:rFonts w:ascii="仿宋_GB2312" w:hAnsi="仿宋_GB2312" w:eastAsia="仿宋_GB2312"/>
          <w:b w:val="0"/>
          <w:sz w:val="32"/>
        </w:rPr>
        <w:t>其中：本年支出合计2,419.49万元，结余分配0.00万元，年末结转和结余0.00万元。</w:t>
      </w:r>
    </w:p>
    <w:p w14:paraId="6FC4C002">
      <w:pPr>
        <w:spacing w:line="580" w:lineRule="exact"/>
        <w:ind w:firstLine="640"/>
        <w:jc w:val="both"/>
      </w:pPr>
      <w:r>
        <w:rPr>
          <w:rFonts w:ascii="仿宋_GB2312" w:hAnsi="仿宋_GB2312" w:eastAsia="仿宋_GB2312"/>
          <w:b w:val="0"/>
          <w:sz w:val="32"/>
        </w:rPr>
        <w:t>收入支出总体与上年相比，减少726.66万元，下降23.10%，主要原因是：本年减少叶城县棋盘乡林果嫁接</w:t>
      </w:r>
      <w:r>
        <w:rPr>
          <w:rFonts w:hint="eastAsia" w:ascii="仿宋_GB2312" w:hAnsi="仿宋_GB2312" w:eastAsia="仿宋_GB2312"/>
          <w:b w:val="0"/>
          <w:sz w:val="32"/>
          <w:lang w:eastAsia="zh-CN"/>
        </w:rPr>
        <w:t>改</w:t>
      </w:r>
      <w:r>
        <w:rPr>
          <w:rFonts w:ascii="仿宋_GB2312" w:hAnsi="仿宋_GB2312" w:eastAsia="仿宋_GB2312"/>
          <w:b w:val="0"/>
          <w:sz w:val="32"/>
        </w:rPr>
        <w:t>优项目、棋盘乡垃圾焚烧处理项目、14村示范村乡村建设项目。</w:t>
      </w:r>
    </w:p>
    <w:p w14:paraId="70895C18">
      <w:pPr>
        <w:spacing w:line="640" w:lineRule="exact"/>
        <w:ind w:firstLine="640"/>
        <w:jc w:val="both"/>
        <w:outlineLvl w:val="2"/>
      </w:pPr>
      <w:r>
        <w:rPr>
          <w:rFonts w:ascii="黑体" w:hAnsi="黑体" w:eastAsia="黑体"/>
          <w:sz w:val="32"/>
        </w:rPr>
        <w:t>二、收入决算情况说明</w:t>
      </w:r>
    </w:p>
    <w:p w14:paraId="19399E49">
      <w:pPr>
        <w:spacing w:line="580" w:lineRule="exact"/>
        <w:ind w:firstLine="640"/>
        <w:jc w:val="both"/>
      </w:pPr>
      <w:r>
        <w:rPr>
          <w:rFonts w:ascii="仿宋_GB2312" w:hAnsi="仿宋_GB2312" w:eastAsia="仿宋_GB2312"/>
          <w:b/>
          <w:sz w:val="32"/>
        </w:rPr>
        <w:t>本年收入2,419.49万元，</w:t>
      </w:r>
      <w:r>
        <w:rPr>
          <w:rFonts w:ascii="仿宋_GB2312" w:hAnsi="仿宋_GB2312" w:eastAsia="仿宋_GB2312"/>
          <w:b w:val="0"/>
          <w:sz w:val="32"/>
        </w:rPr>
        <w:t>其中：财政拨款收入2,408.85万元，占99.56%；上级补助收入0.00万元，占0.00%；事业收入0.00万元，占0.00%；经营收入0.00万元，占0.00%；附属单位上缴收入0.00万元，占0.00%；其他收入10.63万元，占0.44%。</w:t>
      </w:r>
    </w:p>
    <w:p w14:paraId="182FA710">
      <w:pPr>
        <w:spacing w:line="640" w:lineRule="exact"/>
        <w:ind w:firstLine="640"/>
        <w:jc w:val="both"/>
        <w:outlineLvl w:val="2"/>
      </w:pPr>
      <w:r>
        <w:rPr>
          <w:rFonts w:ascii="黑体" w:hAnsi="黑体" w:eastAsia="黑体"/>
          <w:sz w:val="32"/>
        </w:rPr>
        <w:t>三、支出决算情况说明</w:t>
      </w:r>
    </w:p>
    <w:p w14:paraId="6B870BF3">
      <w:pPr>
        <w:spacing w:line="580" w:lineRule="exact"/>
        <w:ind w:firstLine="640"/>
        <w:jc w:val="both"/>
      </w:pPr>
      <w:r>
        <w:rPr>
          <w:rFonts w:ascii="仿宋_GB2312" w:hAnsi="仿宋_GB2312" w:eastAsia="仿宋_GB2312"/>
          <w:b/>
          <w:sz w:val="32"/>
        </w:rPr>
        <w:t>本年支出2,419.49万元，</w:t>
      </w:r>
      <w:r>
        <w:rPr>
          <w:rFonts w:ascii="仿宋_GB2312" w:hAnsi="仿宋_GB2312" w:eastAsia="仿宋_GB2312"/>
          <w:b w:val="0"/>
          <w:sz w:val="32"/>
        </w:rPr>
        <w:t>其中：基本支出1,907.19万元，占78.83%；项目支出512.29万元，占21.17%；上缴上级支出0.00万元，占0.00%；经营支出0.00万元，占0.00%；对附属单位补助支出0.00万元，占0.00%。</w:t>
      </w:r>
    </w:p>
    <w:p w14:paraId="29A7974B">
      <w:pPr>
        <w:spacing w:line="640" w:lineRule="exact"/>
        <w:ind w:firstLine="640"/>
        <w:jc w:val="both"/>
        <w:outlineLvl w:val="2"/>
      </w:pPr>
      <w:r>
        <w:rPr>
          <w:rFonts w:ascii="黑体" w:hAnsi="黑体" w:eastAsia="黑体"/>
          <w:sz w:val="32"/>
        </w:rPr>
        <w:t>四、财政拨款收入支出决算总体情况说明</w:t>
      </w:r>
    </w:p>
    <w:p w14:paraId="10AD006F">
      <w:pPr>
        <w:spacing w:line="580" w:lineRule="exact"/>
        <w:ind w:firstLine="640"/>
        <w:jc w:val="both"/>
      </w:pPr>
      <w:r>
        <w:rPr>
          <w:rFonts w:ascii="仿宋_GB2312" w:hAnsi="仿宋_GB2312" w:eastAsia="仿宋_GB2312"/>
          <w:b/>
          <w:sz w:val="32"/>
        </w:rPr>
        <w:t>2024年度财政拨款收入总计2,408.85万元，</w:t>
      </w:r>
      <w:r>
        <w:rPr>
          <w:rFonts w:ascii="仿宋_GB2312" w:hAnsi="仿宋_GB2312" w:eastAsia="仿宋_GB2312"/>
          <w:b w:val="0"/>
          <w:sz w:val="32"/>
        </w:rPr>
        <w:t>其中：年初财政拨款结转和结余0.00万元，本年财政拨款收入2,408.85万元。</w:t>
      </w:r>
      <w:r>
        <w:rPr>
          <w:rFonts w:ascii="仿宋_GB2312" w:hAnsi="仿宋_GB2312" w:eastAsia="仿宋_GB2312"/>
          <w:b/>
          <w:sz w:val="32"/>
        </w:rPr>
        <w:t>财政拨款支出总计2,408.85万元，</w:t>
      </w:r>
      <w:r>
        <w:rPr>
          <w:rFonts w:ascii="仿宋_GB2312" w:hAnsi="仿宋_GB2312" w:eastAsia="仿宋_GB2312"/>
          <w:b w:val="0"/>
          <w:sz w:val="32"/>
        </w:rPr>
        <w:t>其中：年末财政拨款结转和结余0.00万元，本年财政拨款支出2,408.85万元。</w:t>
      </w:r>
    </w:p>
    <w:p w14:paraId="161A37E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减少737.30万元，下降23.43%，主要原因是：本年减少叶城县棋盘乡林果嫁接</w:t>
      </w:r>
      <w:r>
        <w:rPr>
          <w:rFonts w:hint="eastAsia" w:ascii="仿宋_GB2312" w:hAnsi="仿宋_GB2312" w:eastAsia="仿宋_GB2312"/>
          <w:b w:val="0"/>
          <w:sz w:val="32"/>
          <w:lang w:eastAsia="zh-CN"/>
        </w:rPr>
        <w:t>改</w:t>
      </w:r>
      <w:r>
        <w:rPr>
          <w:rFonts w:ascii="仿宋_GB2312" w:hAnsi="仿宋_GB2312" w:eastAsia="仿宋_GB2312"/>
          <w:b w:val="0"/>
          <w:sz w:val="32"/>
        </w:rPr>
        <w:t>优项目、棋盘乡垃圾焚烧处理项目、14村示范村乡村建设项目。</w:t>
      </w:r>
      <w:r>
        <w:rPr>
          <w:rFonts w:ascii="仿宋_GB2312" w:hAnsi="仿宋_GB2312" w:eastAsia="仿宋_GB2312"/>
          <w:b/>
          <w:sz w:val="32"/>
        </w:rPr>
        <w:t>与年初预算相比，</w:t>
      </w:r>
      <w:r>
        <w:rPr>
          <w:rFonts w:ascii="仿宋_GB2312" w:hAnsi="仿宋_GB2312" w:eastAsia="仿宋_GB2312"/>
          <w:b w:val="0"/>
          <w:sz w:val="32"/>
        </w:rPr>
        <w:t>年初预算数1,963.19万元，决算数2,408.85万元，预决算差异率22.70%，主要原因是：年中追加文化站免费开放项目、人大工作经费项目、棋盘乡14村种植业基地建设项目，年中追加人员工资、社保、公积金基数调增部分资金，导致预决算存在差异。</w:t>
      </w:r>
    </w:p>
    <w:p w14:paraId="0CDBBAFD">
      <w:pPr>
        <w:spacing w:line="640" w:lineRule="exact"/>
        <w:ind w:firstLine="640"/>
        <w:jc w:val="both"/>
        <w:outlineLvl w:val="2"/>
      </w:pPr>
      <w:r>
        <w:rPr>
          <w:rFonts w:ascii="黑体" w:hAnsi="黑体" w:eastAsia="黑体"/>
          <w:sz w:val="32"/>
        </w:rPr>
        <w:t>五、一般公共预算财政拨款支出决算情况说明</w:t>
      </w:r>
    </w:p>
    <w:p w14:paraId="317CF6CF">
      <w:pPr>
        <w:spacing w:line="640" w:lineRule="exact"/>
        <w:ind w:firstLine="640"/>
        <w:jc w:val="both"/>
        <w:outlineLvl w:val="3"/>
      </w:pPr>
      <w:r>
        <w:rPr>
          <w:rFonts w:ascii="楷体_GB2312" w:hAnsi="楷体_GB2312" w:eastAsia="楷体_GB2312"/>
          <w:b/>
          <w:sz w:val="32"/>
        </w:rPr>
        <w:t>（一）一般公共预算财政拨款支出决算总体情况</w:t>
      </w:r>
    </w:p>
    <w:p w14:paraId="56716E9A">
      <w:pPr>
        <w:spacing w:line="580" w:lineRule="exact"/>
        <w:ind w:firstLine="640"/>
        <w:jc w:val="both"/>
      </w:pPr>
      <w:r>
        <w:rPr>
          <w:rFonts w:ascii="仿宋_GB2312" w:hAnsi="仿宋_GB2312" w:eastAsia="仿宋_GB2312"/>
          <w:b/>
          <w:sz w:val="32"/>
        </w:rPr>
        <w:t>2024年度一般公共预算财政拨款支出2,408.85万元，</w:t>
      </w:r>
      <w:r>
        <w:rPr>
          <w:rFonts w:ascii="仿宋_GB2312" w:hAnsi="仿宋_GB2312" w:eastAsia="仿宋_GB2312"/>
          <w:b w:val="0"/>
          <w:sz w:val="32"/>
        </w:rPr>
        <w:t>占本年支出合计的99.56%。</w:t>
      </w:r>
      <w:r>
        <w:rPr>
          <w:rFonts w:ascii="仿宋_GB2312" w:hAnsi="仿宋_GB2312" w:eastAsia="仿宋_GB2312"/>
          <w:b/>
          <w:sz w:val="32"/>
        </w:rPr>
        <w:t>与上年相比，</w:t>
      </w:r>
      <w:r>
        <w:rPr>
          <w:rFonts w:ascii="仿宋_GB2312" w:hAnsi="仿宋_GB2312" w:eastAsia="仿宋_GB2312"/>
          <w:b w:val="0"/>
          <w:sz w:val="32"/>
        </w:rPr>
        <w:t>减少737.30万元，下降23.43%，主要原因是：本年减少叶城县棋盘乡林果嫁接</w:t>
      </w:r>
      <w:r>
        <w:rPr>
          <w:rFonts w:hint="eastAsia" w:ascii="仿宋_GB2312" w:hAnsi="仿宋_GB2312" w:eastAsia="仿宋_GB2312"/>
          <w:b w:val="0"/>
          <w:sz w:val="32"/>
          <w:lang w:eastAsia="zh-CN"/>
        </w:rPr>
        <w:t>改</w:t>
      </w:r>
      <w:r>
        <w:rPr>
          <w:rFonts w:ascii="仿宋_GB2312" w:hAnsi="仿宋_GB2312" w:eastAsia="仿宋_GB2312"/>
          <w:b w:val="0"/>
          <w:sz w:val="32"/>
        </w:rPr>
        <w:t>优项目、棋盘乡垃圾焚烧处理项目、14村示范村乡村建设项目。</w:t>
      </w:r>
      <w:r>
        <w:rPr>
          <w:rFonts w:ascii="仿宋_GB2312" w:hAnsi="仿宋_GB2312" w:eastAsia="仿宋_GB2312"/>
          <w:b/>
          <w:sz w:val="32"/>
        </w:rPr>
        <w:t>与年初预算相比,</w:t>
      </w:r>
      <w:r>
        <w:rPr>
          <w:rFonts w:ascii="仿宋_GB2312" w:hAnsi="仿宋_GB2312" w:eastAsia="仿宋_GB2312"/>
          <w:b w:val="0"/>
          <w:sz w:val="32"/>
        </w:rPr>
        <w:t>年初预算数1,963.19万元，决算数2,408.85万元，预决算差异率22.70%，主要原因是：年中追加文化站免费开放项目、人大工作经费项目、棋盘乡14村种植业基地建设项目，年中追加人员工资、社保、公积金基数调增部分资金，导致预决算存在差异。</w:t>
      </w:r>
    </w:p>
    <w:p w14:paraId="6E169E1C">
      <w:pPr>
        <w:spacing w:line="640" w:lineRule="exact"/>
        <w:ind w:firstLine="640"/>
        <w:jc w:val="both"/>
        <w:outlineLvl w:val="3"/>
      </w:pPr>
      <w:r>
        <w:rPr>
          <w:rFonts w:ascii="楷体_GB2312" w:hAnsi="楷体_GB2312" w:eastAsia="楷体_GB2312"/>
          <w:b/>
          <w:sz w:val="32"/>
        </w:rPr>
        <w:t>（二）一般公共预算财政拨款支出决算结构情况</w:t>
      </w:r>
    </w:p>
    <w:p w14:paraId="6722D478">
      <w:pPr>
        <w:spacing w:line="580" w:lineRule="exact"/>
        <w:ind w:firstLine="640"/>
        <w:jc w:val="both"/>
      </w:pPr>
      <w:r>
        <w:rPr>
          <w:rFonts w:ascii="仿宋_GB2312" w:hAnsi="仿宋_GB2312" w:eastAsia="仿宋_GB2312"/>
          <w:b w:val="0"/>
          <w:sz w:val="32"/>
        </w:rPr>
        <w:t>1.一般公共服务支出(类)1,502.68万元,占62.38%。</w:t>
      </w:r>
    </w:p>
    <w:p w14:paraId="40FB3B98">
      <w:pPr>
        <w:spacing w:line="580" w:lineRule="exact"/>
        <w:ind w:firstLine="640"/>
        <w:jc w:val="both"/>
      </w:pPr>
      <w:r>
        <w:rPr>
          <w:rFonts w:ascii="仿宋_GB2312" w:hAnsi="仿宋_GB2312" w:eastAsia="仿宋_GB2312"/>
          <w:b w:val="0"/>
          <w:sz w:val="32"/>
        </w:rPr>
        <w:t>2.公共安全支出(类)25.51万元,占1.06%。</w:t>
      </w:r>
    </w:p>
    <w:p w14:paraId="3956A4A8">
      <w:pPr>
        <w:spacing w:line="580" w:lineRule="exact"/>
        <w:ind w:firstLine="640"/>
        <w:jc w:val="both"/>
      </w:pPr>
      <w:r>
        <w:rPr>
          <w:rFonts w:ascii="仿宋_GB2312" w:hAnsi="仿宋_GB2312" w:eastAsia="仿宋_GB2312"/>
          <w:b w:val="0"/>
          <w:sz w:val="32"/>
        </w:rPr>
        <w:t>3.文化旅游体育与传媒支出(类)8.48万元,占0.35%。</w:t>
      </w:r>
    </w:p>
    <w:p w14:paraId="67F60FF6">
      <w:pPr>
        <w:spacing w:line="580" w:lineRule="exact"/>
        <w:ind w:firstLine="640"/>
        <w:jc w:val="both"/>
      </w:pPr>
      <w:r>
        <w:rPr>
          <w:rFonts w:ascii="仿宋_GB2312" w:hAnsi="仿宋_GB2312" w:eastAsia="仿宋_GB2312"/>
          <w:b w:val="0"/>
          <w:sz w:val="32"/>
        </w:rPr>
        <w:t>4.社会保障和就业支出(类)223.41万元,占9.27%。</w:t>
      </w:r>
    </w:p>
    <w:p w14:paraId="5DD795DD">
      <w:pPr>
        <w:spacing w:line="580" w:lineRule="exact"/>
        <w:ind w:firstLine="640"/>
        <w:jc w:val="both"/>
      </w:pPr>
      <w:r>
        <w:rPr>
          <w:rFonts w:ascii="仿宋_GB2312" w:hAnsi="仿宋_GB2312" w:eastAsia="仿宋_GB2312"/>
          <w:b w:val="0"/>
          <w:sz w:val="32"/>
        </w:rPr>
        <w:t>5.卫生健康支出(类)98.90万元,占4.11%。</w:t>
      </w:r>
    </w:p>
    <w:p w14:paraId="3C793096">
      <w:pPr>
        <w:spacing w:line="580" w:lineRule="exact"/>
        <w:ind w:firstLine="640"/>
        <w:jc w:val="both"/>
      </w:pPr>
      <w:r>
        <w:rPr>
          <w:rFonts w:ascii="仿宋_GB2312" w:hAnsi="仿宋_GB2312" w:eastAsia="仿宋_GB2312"/>
          <w:b w:val="0"/>
          <w:sz w:val="32"/>
        </w:rPr>
        <w:t>6.农林水支出(类)398.52万元,占16.54%。</w:t>
      </w:r>
    </w:p>
    <w:p w14:paraId="0BFB1165">
      <w:pPr>
        <w:spacing w:line="580" w:lineRule="exact"/>
        <w:ind w:firstLine="640"/>
        <w:jc w:val="both"/>
      </w:pPr>
      <w:r>
        <w:rPr>
          <w:rFonts w:ascii="仿宋_GB2312" w:hAnsi="仿宋_GB2312" w:eastAsia="仿宋_GB2312"/>
          <w:b w:val="0"/>
          <w:sz w:val="32"/>
        </w:rPr>
        <w:t>7.交通运输支出(类)0.12万元,占0.005%。</w:t>
      </w:r>
    </w:p>
    <w:p w14:paraId="66410854">
      <w:pPr>
        <w:spacing w:line="580" w:lineRule="exact"/>
        <w:ind w:firstLine="640"/>
        <w:jc w:val="both"/>
      </w:pPr>
      <w:r>
        <w:rPr>
          <w:rFonts w:ascii="仿宋_GB2312" w:hAnsi="仿宋_GB2312" w:eastAsia="仿宋_GB2312"/>
          <w:b w:val="0"/>
          <w:sz w:val="32"/>
        </w:rPr>
        <w:t>8.住房保障支出(类)151.23万元,占6.28%。</w:t>
      </w:r>
    </w:p>
    <w:p w14:paraId="16432788">
      <w:pPr>
        <w:spacing w:line="640" w:lineRule="exact"/>
        <w:ind w:firstLine="640"/>
        <w:jc w:val="both"/>
        <w:outlineLvl w:val="3"/>
      </w:pPr>
      <w:r>
        <w:rPr>
          <w:rFonts w:ascii="楷体_GB2312" w:hAnsi="楷体_GB2312" w:eastAsia="楷体_GB2312"/>
          <w:b/>
          <w:sz w:val="32"/>
        </w:rPr>
        <w:t>（三）一般公共预算财政拨款支出决算具体情况</w:t>
      </w:r>
    </w:p>
    <w:p w14:paraId="27CF6304">
      <w:pPr>
        <w:spacing w:line="580" w:lineRule="exact"/>
        <w:ind w:firstLine="640"/>
        <w:jc w:val="both"/>
      </w:pPr>
      <w:r>
        <w:rPr>
          <w:rFonts w:ascii="仿宋_GB2312" w:hAnsi="仿宋_GB2312" w:eastAsia="仿宋_GB2312"/>
          <w:b w:val="0"/>
          <w:sz w:val="32"/>
        </w:rPr>
        <w:t>1.一般公共服务支出(类)人大事务(款)代表工作(项):支出决算数为2.07万元，比上年决算减少1.04万元，下降33.44%,主要原因是：本年乡级人大代表活动经费较上年减少。</w:t>
      </w:r>
    </w:p>
    <w:p w14:paraId="0744E65F">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1,438.65万元，比上年决算增加12.47万元，增长0.87%,主要原因是：本年在职人员工资调增，导致相关人员经费较上年有所增加。</w:t>
      </w:r>
    </w:p>
    <w:p w14:paraId="3BC2CECE">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3.一般公共服务支出(类)政府办公厅（室）及相关机构事务(款)一般行政管理事务(项):支出决算数为9.45万元，比上年决算增加9.45万元，增长100.00%,主要原因是：本年增加2024年工作经费项目，导致经费支出增加。</w:t>
      </w:r>
    </w:p>
    <w:p w14:paraId="30F4D877">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4.一般公共服务支出(类)纪检监察事务(款)其他纪检监察事务支出(项):支出决算数为2.00万元，比上年决算增加1.00万元，增长100.00%,主要原因是：本年增加纪检办公经费，添置纪检办案设备。</w:t>
      </w:r>
    </w:p>
    <w:p w14:paraId="267174C8">
      <w:pPr>
        <w:spacing w:line="580" w:lineRule="exact"/>
        <w:ind w:firstLine="640"/>
        <w:jc w:val="both"/>
      </w:pPr>
      <w:r>
        <w:rPr>
          <w:rFonts w:ascii="仿宋_GB2312" w:hAnsi="仿宋_GB2312" w:eastAsia="仿宋_GB2312"/>
          <w:b w:val="0"/>
          <w:sz w:val="32"/>
        </w:rPr>
        <w:t>5.一般公共服务支出(类)组织事务(款)其他组织事务支出(项):支出决算数为46.65万元，比上年决算增加3.43万元，增长7.94%,主要原因是：本年村级运转经费项目资金较上年增加。</w:t>
      </w:r>
    </w:p>
    <w:p w14:paraId="55DDDFCA">
      <w:pPr>
        <w:spacing w:line="580" w:lineRule="exact"/>
        <w:ind w:firstLine="640"/>
        <w:jc w:val="both"/>
      </w:pPr>
      <w:r>
        <w:rPr>
          <w:rFonts w:ascii="仿宋_GB2312" w:hAnsi="仿宋_GB2312" w:eastAsia="仿宋_GB2312"/>
          <w:b w:val="0"/>
          <w:sz w:val="32"/>
        </w:rPr>
        <w:t>6.一般公共服务支出(类)统战事务(款)宗教事务(项):支出决算数为2.00万元，比上年决算增加2.00万元，增长100.00%,主要原因是：本年增加统战工作经费项目。</w:t>
      </w:r>
    </w:p>
    <w:p w14:paraId="6FF0FD81">
      <w:pPr>
        <w:spacing w:line="580" w:lineRule="exact"/>
        <w:ind w:firstLine="640"/>
        <w:jc w:val="both"/>
      </w:pPr>
      <w:r>
        <w:rPr>
          <w:rFonts w:ascii="仿宋_GB2312" w:hAnsi="仿宋_GB2312" w:eastAsia="仿宋_GB2312"/>
          <w:b w:val="0"/>
          <w:sz w:val="32"/>
        </w:rPr>
        <w:t>7.一般公共服务支出(类)统战事务(款)其他统战事务支出(项):支出决算数为1.85万元，比上年决算减少8.90万元，下降82.79%,主要原因是：本年减少叶城县民族团结进步创建工作经费。</w:t>
      </w:r>
    </w:p>
    <w:p w14:paraId="43F6D2A2">
      <w:pPr>
        <w:spacing w:line="580" w:lineRule="exact"/>
        <w:ind w:firstLine="640"/>
        <w:jc w:val="both"/>
      </w:pPr>
      <w:r>
        <w:rPr>
          <w:rFonts w:ascii="仿宋_GB2312" w:hAnsi="仿宋_GB2312" w:eastAsia="仿宋_GB2312"/>
          <w:b w:val="0"/>
          <w:sz w:val="32"/>
        </w:rPr>
        <w:t>8.公共安全支出(类)其他公共安全支出(款)其他公共安全支出(项):支出决算数为25.51万元，比上年决算减少13.53万元，下降34.66%,主要原因是：本年度信息奖励费项目减少。</w:t>
      </w:r>
    </w:p>
    <w:p w14:paraId="7B396E89">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9.文化旅游体育与传媒支出(类)文化和旅游(款)其他文化和旅游支出(项):支出决算数为5.12万元，比上年决算增加0.24万元，增长4.92%,主要原因是：本年增加文化站免费开放补助资金。</w:t>
      </w:r>
    </w:p>
    <w:p w14:paraId="264A8E5C">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3.36万元，比上年决算减少14.49万元，下降81.18%,主要原因是：本年棋盘乡中央补助地方公共文化服务体系建设补助资金较上年减少。</w:t>
      </w:r>
    </w:p>
    <w:p w14:paraId="07DB0A35">
      <w:pPr>
        <w:spacing w:line="580" w:lineRule="exact"/>
        <w:ind w:firstLine="640"/>
        <w:jc w:val="both"/>
      </w:pPr>
      <w:r>
        <w:rPr>
          <w:rFonts w:ascii="仿宋_GB2312" w:hAnsi="仿宋_GB2312" w:eastAsia="仿宋_GB2312"/>
          <w:b w:val="0"/>
          <w:sz w:val="32"/>
        </w:rPr>
        <w:t>11.社会保障和就业支出(类)民政管理事务(款)其他民政管理事务支出(项):支出决算数为5.00万元，比上年决算增加0.00万元，增长0.00%,主要原因是：本年自治区农村幸福大院补助资金款与上年一致，无变化。</w:t>
      </w:r>
    </w:p>
    <w:p w14:paraId="3B3593E9">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11.49万元，比上年决算减少3.74万元，下降24.56%,主要原因是：上年退休人员死亡一人，本年退休人员新增一人，上年死亡人员职级较本年退休人员高，导致退休经费支出减少。</w:t>
      </w:r>
    </w:p>
    <w:p w14:paraId="2834B3D7">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189.64万元，比上年决算增加58.24万元，增长44.32%,主要原因是：本年在职人员工资基数调增，养老缴费基数上涨，相应支出增加。</w:t>
      </w:r>
    </w:p>
    <w:p w14:paraId="7F2D7DC1">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14.社会保障和就业支出(类)行政事业单位养老支出(款)机关事业单位职业年金缴费支出(项):支出决算数为17.27万元，比上年决算增加10.22万元，增长144.96%,主要原因是：本年新增退休人员</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辞职调离人员</w:t>
      </w:r>
      <w:r>
        <w:rPr>
          <w:rFonts w:ascii="仿宋_GB2312" w:hAnsi="仿宋_GB2312" w:eastAsia="仿宋_GB2312"/>
          <w:b w:val="0"/>
          <w:sz w:val="32"/>
        </w:rPr>
        <w:t>，职业年金缴费支出增加。</w:t>
      </w:r>
    </w:p>
    <w:p w14:paraId="017293CB">
      <w:pPr>
        <w:spacing w:line="580" w:lineRule="exact"/>
        <w:ind w:firstLine="640"/>
        <w:jc w:val="both"/>
      </w:pPr>
      <w:r>
        <w:rPr>
          <w:rFonts w:ascii="仿宋_GB2312" w:hAnsi="仿宋_GB2312" w:eastAsia="仿宋_GB2312"/>
          <w:b w:val="0"/>
          <w:sz w:val="32"/>
        </w:rPr>
        <w:t>15.社会保障和就业支出(类)抚恤(款)死亡抚恤(项):支出决算数为0.00万元，比上年决算减少26.59万元，下降100.00%,主要原因是：本年无新增死亡人员，死亡抚恤支出较上年减少。</w:t>
      </w:r>
    </w:p>
    <w:p w14:paraId="74122FC1">
      <w:pPr>
        <w:spacing w:line="580" w:lineRule="exact"/>
        <w:ind w:firstLine="640"/>
        <w:jc w:val="both"/>
      </w:pPr>
      <w:r>
        <w:rPr>
          <w:rFonts w:ascii="仿宋_GB2312" w:hAnsi="仿宋_GB2312" w:eastAsia="仿宋_GB2312"/>
          <w:b w:val="0"/>
          <w:sz w:val="32"/>
        </w:rPr>
        <w:t>16.卫生健康支出(类)行政事业单位医疗(款)行政单位医疗(项):支出决算数为80.60万元，比上年决算增加24.82万元，增长44.50%,主要原因是：本年在职人员工资基数调增，医疗缴费基数上涨，相应支出增加。</w:t>
      </w:r>
    </w:p>
    <w:p w14:paraId="6F90206B">
      <w:pPr>
        <w:spacing w:line="580" w:lineRule="exact"/>
        <w:ind w:firstLine="640"/>
        <w:jc w:val="both"/>
      </w:pPr>
      <w:r>
        <w:rPr>
          <w:rFonts w:ascii="仿宋_GB2312" w:hAnsi="仿宋_GB2312" w:eastAsia="仿宋_GB2312"/>
          <w:b w:val="0"/>
          <w:sz w:val="32"/>
        </w:rPr>
        <w:t>17.卫生健康支出(类)行政事业单位医疗(款)公务员医疗补助(项):支出决算数为18.31万元，比上年决算增加5.69万元，增长45.09%,主要原因是：本年在职人员工资基数调增，医疗缴费基数上涨，相应支出增加。</w:t>
      </w:r>
    </w:p>
    <w:p w14:paraId="6528C88A">
      <w:pPr>
        <w:spacing w:line="580" w:lineRule="exact"/>
        <w:ind w:firstLine="640"/>
        <w:jc w:val="both"/>
      </w:pPr>
      <w:r>
        <w:rPr>
          <w:rFonts w:ascii="仿宋_GB2312" w:hAnsi="仿宋_GB2312" w:eastAsia="仿宋_GB2312"/>
          <w:b w:val="0"/>
          <w:sz w:val="32"/>
        </w:rPr>
        <w:t>18.农林水支出(类)农业农村(款)行政运行(项):支出决算数为0.00万元，比上年决算减少62.18万元，下降100.00%,主要原因是：本年减少叶城县棋盘乡林果嫁接该优项目、棋盘乡垃圾处理项目。</w:t>
      </w:r>
    </w:p>
    <w:p w14:paraId="6E5E78F5">
      <w:pPr>
        <w:spacing w:line="580" w:lineRule="exact"/>
        <w:ind w:firstLine="640"/>
        <w:jc w:val="both"/>
      </w:pPr>
      <w:r>
        <w:rPr>
          <w:rFonts w:ascii="仿宋_GB2312" w:hAnsi="仿宋_GB2312" w:eastAsia="仿宋_GB2312"/>
          <w:b w:val="0"/>
          <w:sz w:val="32"/>
        </w:rPr>
        <w:t>19.农林水支出(类)农业农村(款)农业生产发展(项):支出决算数为3.52万元，比上年决算增加3.52万元，增长100.00%,主要原因是：本年增加叶城县棋盘乡高素质农民培育项目（3村、4村）项目。</w:t>
      </w:r>
    </w:p>
    <w:p w14:paraId="53B345A9">
      <w:pPr>
        <w:spacing w:line="580" w:lineRule="exact"/>
        <w:ind w:firstLine="640"/>
        <w:jc w:val="both"/>
      </w:pPr>
      <w:r>
        <w:rPr>
          <w:rFonts w:ascii="仿宋_GB2312" w:hAnsi="仿宋_GB2312" w:eastAsia="仿宋_GB2312"/>
          <w:b w:val="0"/>
          <w:sz w:val="32"/>
        </w:rPr>
        <w:t>20.农林水支出(类)</w:t>
      </w:r>
      <w:bookmarkStart w:id="0" w:name="_GoBack"/>
      <w:r>
        <w:rPr>
          <w:rFonts w:ascii="仿宋_GB2312" w:hAnsi="仿宋_GB2312" w:eastAsia="仿宋_GB2312"/>
          <w:b w:val="0"/>
          <w:sz w:val="32"/>
        </w:rPr>
        <w:t>巩固脱贫攻坚</w:t>
      </w:r>
      <w:bookmarkEnd w:id="0"/>
      <w:r>
        <w:rPr>
          <w:rFonts w:ascii="仿宋_GB2312" w:hAnsi="仿宋_GB2312" w:eastAsia="仿宋_GB2312"/>
          <w:b w:val="0"/>
          <w:sz w:val="32"/>
        </w:rPr>
        <w:t>成果衔接乡村振兴(款)生产发展(项):支出决算数为395.00万元，比上年决算减少790.89万元，下降66.69%,主要原因是：本年减少叶城县棋盘乡林果嫁接</w:t>
      </w:r>
      <w:r>
        <w:rPr>
          <w:rFonts w:hint="eastAsia" w:ascii="仿宋_GB2312" w:hAnsi="仿宋_GB2312" w:eastAsia="仿宋_GB2312"/>
          <w:b w:val="0"/>
          <w:sz w:val="32"/>
          <w:lang w:eastAsia="zh-CN"/>
        </w:rPr>
        <w:t>改</w:t>
      </w:r>
      <w:r>
        <w:rPr>
          <w:rFonts w:ascii="仿宋_GB2312" w:hAnsi="仿宋_GB2312" w:eastAsia="仿宋_GB2312"/>
          <w:b w:val="0"/>
          <w:sz w:val="32"/>
        </w:rPr>
        <w:t>优项目、棋盘乡垃圾焚烧处理项目、14村示范村乡村建设项目。</w:t>
      </w:r>
    </w:p>
    <w:p w14:paraId="1BF4FE41">
      <w:pPr>
        <w:spacing w:line="580" w:lineRule="exact"/>
        <w:ind w:firstLine="640"/>
        <w:jc w:val="both"/>
      </w:pPr>
      <w:r>
        <w:rPr>
          <w:rFonts w:ascii="仿宋_GB2312" w:hAnsi="仿宋_GB2312" w:eastAsia="仿宋_GB2312"/>
          <w:b w:val="0"/>
          <w:sz w:val="32"/>
        </w:rPr>
        <w:t>21.交通运输支出(类)邮政业支出(款)邮政普遍服务与特殊服务(项):支出决算数为0.12万元，比上年决算增加0.00万元，增长0.00%,主要原因是：本年农牧区投递员专项补贴资金与上年持平。</w:t>
      </w:r>
    </w:p>
    <w:p w14:paraId="78855C84">
      <w:pPr>
        <w:spacing w:line="580" w:lineRule="exact"/>
        <w:ind w:firstLine="640"/>
        <w:jc w:val="both"/>
      </w:pPr>
      <w:r>
        <w:rPr>
          <w:rFonts w:ascii="仿宋_GB2312" w:hAnsi="仿宋_GB2312" w:eastAsia="仿宋_GB2312"/>
          <w:b w:val="0"/>
          <w:sz w:val="32"/>
        </w:rPr>
        <w:t>22.住房保障支出(类)住房改革支出(款)住房公积金(项):支出决算数为151.23万元，比上年决算增加52.95万元，增长53.88%,主要原因是：本年在职人员工资基数调增，公积金缴费基数上涨，相应支出增加。</w:t>
      </w:r>
    </w:p>
    <w:p w14:paraId="3742D280">
      <w:pPr>
        <w:spacing w:line="640" w:lineRule="exact"/>
        <w:ind w:firstLine="640"/>
        <w:jc w:val="both"/>
        <w:outlineLvl w:val="2"/>
      </w:pPr>
      <w:r>
        <w:rPr>
          <w:rFonts w:ascii="黑体" w:hAnsi="黑体" w:eastAsia="黑体"/>
          <w:sz w:val="32"/>
        </w:rPr>
        <w:t>六、一般公共预算财政拨款基本支出决算情况说明</w:t>
      </w:r>
    </w:p>
    <w:p w14:paraId="5C11BC4E">
      <w:pPr>
        <w:spacing w:line="580" w:lineRule="exact"/>
        <w:ind w:firstLine="640"/>
        <w:jc w:val="both"/>
      </w:pPr>
      <w:r>
        <w:rPr>
          <w:rFonts w:ascii="仿宋_GB2312" w:hAnsi="仿宋_GB2312" w:eastAsia="仿宋_GB2312"/>
          <w:b w:val="0"/>
          <w:sz w:val="32"/>
        </w:rPr>
        <w:t>2024年度一般公共预算财政拨款基本支出1,907.19万元，其中：</w:t>
      </w:r>
      <w:r>
        <w:rPr>
          <w:rFonts w:ascii="仿宋_GB2312" w:hAnsi="仿宋_GB2312" w:eastAsia="仿宋_GB2312"/>
          <w:b/>
          <w:sz w:val="32"/>
        </w:rPr>
        <w:t>人员经费1,856.45万元，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70048219">
      <w:pPr>
        <w:spacing w:line="580" w:lineRule="exact"/>
        <w:ind w:firstLine="640"/>
        <w:jc w:val="both"/>
      </w:pPr>
      <w:r>
        <w:rPr>
          <w:rFonts w:ascii="仿宋_GB2312" w:hAnsi="仿宋_GB2312" w:eastAsia="仿宋_GB2312"/>
          <w:b/>
          <w:sz w:val="32"/>
        </w:rPr>
        <w:t>公用经费50.74万元，</w:t>
      </w:r>
      <w:r>
        <w:rPr>
          <w:rFonts w:ascii="仿宋_GB2312" w:hAnsi="仿宋_GB2312" w:eastAsia="仿宋_GB2312"/>
          <w:b w:val="0"/>
          <w:sz w:val="32"/>
        </w:rPr>
        <w:t>包括：办公费、电费、邮电费、差旅费、公务用车运行维护费。</w:t>
      </w:r>
    </w:p>
    <w:p w14:paraId="3485DB23">
      <w:pPr>
        <w:spacing w:line="640" w:lineRule="exact"/>
        <w:ind w:firstLine="640"/>
        <w:jc w:val="both"/>
        <w:outlineLvl w:val="2"/>
      </w:pPr>
      <w:r>
        <w:rPr>
          <w:rFonts w:ascii="黑体" w:hAnsi="黑体" w:eastAsia="黑体"/>
          <w:sz w:val="32"/>
        </w:rPr>
        <w:t>七、政府性基金预算财政拨款收入支出决算情况说明</w:t>
      </w:r>
    </w:p>
    <w:p w14:paraId="2C8D393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95AF354">
      <w:pPr>
        <w:spacing w:line="640" w:lineRule="exact"/>
        <w:ind w:firstLine="640"/>
        <w:jc w:val="both"/>
        <w:outlineLvl w:val="2"/>
      </w:pPr>
      <w:r>
        <w:rPr>
          <w:rFonts w:ascii="黑体" w:hAnsi="黑体" w:eastAsia="黑体"/>
          <w:sz w:val="32"/>
        </w:rPr>
        <w:t>八、国有资本经营预算财政拨款收入支出决算情况说明</w:t>
      </w:r>
    </w:p>
    <w:p w14:paraId="7CBB514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3EFA89">
      <w:pPr>
        <w:spacing w:line="640" w:lineRule="exact"/>
        <w:ind w:firstLine="640"/>
        <w:jc w:val="both"/>
        <w:outlineLvl w:val="2"/>
      </w:pPr>
      <w:r>
        <w:rPr>
          <w:rFonts w:ascii="黑体" w:hAnsi="黑体" w:eastAsia="黑体"/>
          <w:sz w:val="32"/>
        </w:rPr>
        <w:t>九、财政拨款“三公”经费支出决算情况说明</w:t>
      </w:r>
    </w:p>
    <w:p w14:paraId="4F3B5750">
      <w:pPr>
        <w:spacing w:line="580" w:lineRule="exact"/>
        <w:ind w:firstLine="640"/>
        <w:jc w:val="both"/>
      </w:pPr>
      <w:r>
        <w:rPr>
          <w:rFonts w:ascii="仿宋_GB2312" w:hAnsi="仿宋_GB2312" w:eastAsia="仿宋_GB2312"/>
          <w:b/>
          <w:sz w:val="32"/>
        </w:rPr>
        <w:t>2024年度财政拨款“三公”经费支出5.49万元，</w:t>
      </w:r>
      <w:r>
        <w:rPr>
          <w:rFonts w:ascii="仿宋_GB2312" w:hAnsi="仿宋_GB2312" w:eastAsia="仿宋_GB2312"/>
          <w:b w:val="0"/>
          <w:sz w:val="32"/>
        </w:rPr>
        <w:t>比上年增加4.83万元，增长731.82%，主要原因是：（1）本单位公务用车日渐老化，维修维护成本增加，导致公务用车运行维护费较上年增加。（2）本年因业务需求，用车次数增加，燃油费增加，导致公务用车运行维护费较上年增加。（3）本年支付以前年度公务用车维修费、油费。其中：因公出国（境）费支出0.00万元，占0.00%，比上年增加0.00万元，增长0.00%，主要原因是：2023年与2024年均未安排因公出国（境）费支出。公务用车购置及运行维护费支出5.49万元，占100.00%，比上年增加4.83万元，增长731.82%，主要原因是：（1）本单位公务用车日渐老化，维修维护成本增加，导致公务用车运行维护费较上年增加。（2）本年因业务需求，用车次数增加，燃油费增加，导致公务用车运行维护费较上年增加。（3）本年支付以前年度公务用车维修费、油费。公务接待费支出0.00万元，占0.00%，比上年增加0.00万元，增长0.00%，主要原因是：2023年与2024年均未安排公务接待费支出。</w:t>
      </w:r>
    </w:p>
    <w:p w14:paraId="272F3B9A">
      <w:pPr>
        <w:spacing w:line="580" w:lineRule="exact"/>
        <w:ind w:firstLine="640"/>
        <w:jc w:val="both"/>
      </w:pPr>
      <w:r>
        <w:rPr>
          <w:rFonts w:ascii="仿宋_GB2312" w:hAnsi="仿宋_GB2312" w:eastAsia="仿宋_GB2312"/>
          <w:b/>
          <w:sz w:val="32"/>
        </w:rPr>
        <w:t>具体情况如下：</w:t>
      </w:r>
    </w:p>
    <w:p w14:paraId="5E46DD1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B0CD2D7">
      <w:pPr>
        <w:spacing w:line="580" w:lineRule="exact"/>
        <w:ind w:firstLine="640"/>
        <w:jc w:val="both"/>
      </w:pPr>
      <w:r>
        <w:rPr>
          <w:rFonts w:ascii="仿宋_GB2312" w:hAnsi="仿宋_GB2312" w:eastAsia="仿宋_GB2312"/>
          <w:b w:val="0"/>
          <w:sz w:val="32"/>
        </w:rPr>
        <w:t>公务用车购置及运行维护费5.49万元，其中：公务用车购置费0.00万元，公务用车运行维护费5.49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14:paraId="16B3300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5A580B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5.49万元，决算数5.49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5.49万元，决算数5.49万元，预决算差异率0.00%，主要原因是：严格按照预算执行，预决算无差异。公务接待费全年预算数0.00万元，决算数0.00万元，预决算差异率0.00%，主要原因是：本单位无公务接待费。</w:t>
      </w:r>
    </w:p>
    <w:p w14:paraId="7E78F8B2">
      <w:pPr>
        <w:spacing w:line="640" w:lineRule="exact"/>
        <w:ind w:firstLine="640"/>
        <w:jc w:val="both"/>
        <w:outlineLvl w:val="2"/>
      </w:pPr>
      <w:r>
        <w:rPr>
          <w:rFonts w:ascii="黑体" w:hAnsi="黑体" w:eastAsia="黑体"/>
          <w:sz w:val="32"/>
        </w:rPr>
        <w:t>十、其他重要事项的情况说明</w:t>
      </w:r>
    </w:p>
    <w:p w14:paraId="5DA4AC1A">
      <w:pPr>
        <w:spacing w:line="640" w:lineRule="exact"/>
        <w:ind w:firstLine="640"/>
        <w:jc w:val="both"/>
        <w:outlineLvl w:val="3"/>
      </w:pPr>
      <w:r>
        <w:rPr>
          <w:rFonts w:ascii="楷体_GB2312" w:hAnsi="楷体_GB2312" w:eastAsia="楷体_GB2312"/>
          <w:b/>
          <w:sz w:val="32"/>
        </w:rPr>
        <w:t>（一）机关运行经费及公用经费支出情况</w:t>
      </w:r>
    </w:p>
    <w:p w14:paraId="09EAE604">
      <w:pPr>
        <w:spacing w:line="580" w:lineRule="exact"/>
        <w:ind w:firstLine="640"/>
        <w:jc w:val="both"/>
      </w:pPr>
      <w:r>
        <w:rPr>
          <w:rFonts w:ascii="仿宋_GB2312" w:hAnsi="仿宋_GB2312" w:eastAsia="仿宋_GB2312"/>
          <w:b w:val="0"/>
          <w:sz w:val="32"/>
        </w:rPr>
        <w:t>2024年度叶城县棋盘乡人民政府（行政单位和参照公务员法管理事业单位）机关运行经费支出50.74万元，比上年增加23.55万元，增长86.61%，主要原因是：本年办公费、电费、公务用车运行维护费支出增加，导致机关运行经费支出增加。</w:t>
      </w:r>
    </w:p>
    <w:p w14:paraId="1C23F455">
      <w:pPr>
        <w:spacing w:line="640" w:lineRule="exact"/>
        <w:ind w:firstLine="640"/>
        <w:jc w:val="both"/>
        <w:outlineLvl w:val="3"/>
      </w:pPr>
      <w:r>
        <w:rPr>
          <w:rFonts w:ascii="楷体_GB2312" w:hAnsi="楷体_GB2312" w:eastAsia="楷体_GB2312"/>
          <w:b/>
          <w:sz w:val="32"/>
        </w:rPr>
        <w:t>（二）政府采购情况</w:t>
      </w:r>
    </w:p>
    <w:p w14:paraId="5B945304">
      <w:pPr>
        <w:spacing w:line="580" w:lineRule="exact"/>
        <w:ind w:firstLine="640"/>
        <w:jc w:val="both"/>
      </w:pPr>
      <w:r>
        <w:rPr>
          <w:rFonts w:ascii="仿宋_GB2312" w:hAnsi="仿宋_GB2312" w:eastAsia="仿宋_GB2312"/>
          <w:b w:val="0"/>
          <w:sz w:val="32"/>
        </w:rPr>
        <w:t>2024年度政府采购支出总额36.41万元，其中：政府采购货物支出23.75万元、政府采购工程支出0.00万元、政府采购服务支出12.66万元。</w:t>
      </w:r>
    </w:p>
    <w:p w14:paraId="0334A301">
      <w:pPr>
        <w:spacing w:line="580" w:lineRule="exact"/>
        <w:ind w:firstLine="640"/>
        <w:jc w:val="both"/>
      </w:pPr>
      <w:r>
        <w:rPr>
          <w:rFonts w:ascii="仿宋_GB2312" w:hAnsi="仿宋_GB2312" w:eastAsia="仿宋_GB2312"/>
          <w:b w:val="0"/>
          <w:sz w:val="32"/>
        </w:rPr>
        <w:t>授予中小企业合同金额30.66万元，占政府采购支出总额的84.21%，其中：授予小微企业合同金额29.84万元，占政府采购支出总额的81.96%。</w:t>
      </w:r>
    </w:p>
    <w:p w14:paraId="251B80E2">
      <w:pPr>
        <w:spacing w:line="640" w:lineRule="exact"/>
        <w:ind w:firstLine="640"/>
        <w:jc w:val="both"/>
        <w:outlineLvl w:val="3"/>
      </w:pPr>
      <w:r>
        <w:rPr>
          <w:rFonts w:ascii="楷体_GB2312" w:hAnsi="楷体_GB2312" w:eastAsia="楷体_GB2312"/>
          <w:b/>
          <w:sz w:val="32"/>
        </w:rPr>
        <w:t>（三）国有资产占用情况说明</w:t>
      </w:r>
    </w:p>
    <w:p w14:paraId="2C5D352C">
      <w:pPr>
        <w:spacing w:line="580" w:lineRule="exact"/>
        <w:ind w:firstLine="640"/>
        <w:jc w:val="both"/>
      </w:pPr>
      <w:r>
        <w:rPr>
          <w:rFonts w:ascii="仿宋_GB2312" w:hAnsi="仿宋_GB2312" w:eastAsia="仿宋_GB2312"/>
          <w:b w:val="0"/>
          <w:sz w:val="32"/>
        </w:rPr>
        <w:t>截至2024年12月31日，房屋4,821.35平方米，价值251.03万元。车辆4辆，价值64.21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3D72C9A1">
      <w:pPr>
        <w:spacing w:line="640" w:lineRule="exact"/>
        <w:ind w:firstLine="640"/>
        <w:jc w:val="both"/>
        <w:outlineLvl w:val="2"/>
      </w:pPr>
      <w:r>
        <w:rPr>
          <w:rFonts w:ascii="黑体" w:hAnsi="黑体" w:eastAsia="黑体"/>
          <w:sz w:val="32"/>
        </w:rPr>
        <w:t>十一、预算绩效的情况说明</w:t>
      </w:r>
    </w:p>
    <w:p w14:paraId="220314E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2,419.49万元，实际执行总额2,419.49万元；预算绩效评价项目1个，全年预算数9.60万元，全年执行数9.45万元。预算绩效管理取得的成效：一是通过绩效目标设定与审核，将资金分配与产出、效果挂钩，更多资源向高效益、高优先级的领域倾斜（如民生保障、科技创新、生态环保等），减少了资金闲置和低效使用，提升了财政资金的整体使用效益；二是建立“预算编制有目标、预算执行有监控、预算完成有评价、评价结果有应用”的全流程管理链条，明确了部门和单位的绩效责任，推动“花钱必问效、无效必问责”成为常态，倒逼各主体更注重资金使用的实际效果，减少了铺张浪费和形式主义支出；三是绩效目标与预算编制的深度融合，推动部门在编制预算时更注重项目的可行性论证和预期效益分析，避免了“拍脑袋”决策；同时，动态监控和绩效评价反馈的结果，为后续预算调整、政策优化提供了数据支撑，促进预算管理从“重分配”向“重管理”“重效益”转变。发现的问题及原因：一是目标模糊化，部分部门简单套用上级模板，绩效目标与本单位职能、项目实际需求脱节，缺乏量化指标；二是目标过高或过低，有的为争取资金刻意拔高目标，脱离执行能力；有的为“确保完成”压低目标，失去考核意义；三是顶层设计与基层实践衔接不畅，部分政策文件原则性要求多，具体操作细则缺失，基层执行时“无章可循”。下一步改进措施：一是强化绩效目标管理，筑牢源头基础，要求部门将绩效目标与国家重大战略、地方发展规划、部门核心职能挂钩，避免目标“碎片化”；二是建立“目标分级审核机制”，财政部门重点审核目标与预算的匹配性，业务主管部门审核目标与职能的契合度，第三方专家评估目标的科学性，确保目标可衡量、可实现。具体附整体支出绩效自评表，项目支出绩效自评表和评价报告。</w:t>
      </w:r>
    </w:p>
    <w:p w14:paraId="03D8224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8826E9">
        <w:tblPrEx>
          <w:tblCellMar>
            <w:top w:w="0" w:type="dxa"/>
            <w:left w:w="108" w:type="dxa"/>
            <w:bottom w:w="0" w:type="dxa"/>
            <w:right w:w="108" w:type="dxa"/>
          </w:tblCellMar>
        </w:tblPrEx>
        <w:tc>
          <w:tcPr>
            <w:tcW w:w="8847" w:type="dxa"/>
            <w:gridSpan w:val="9"/>
            <w:vAlign w:val="center"/>
          </w:tcPr>
          <w:p w14:paraId="5E6307F7">
            <w:pPr>
              <w:jc w:val="center"/>
            </w:pPr>
            <w:r>
              <w:rPr>
                <w:rFonts w:ascii="宋体" w:hAnsi="宋体" w:eastAsia="宋体"/>
                <w:sz w:val="24"/>
              </w:rPr>
              <w:t>单位整体支出绩效自评表</w:t>
            </w:r>
          </w:p>
        </w:tc>
      </w:tr>
      <w:tr w14:paraId="4A878EAE">
        <w:tblPrEx>
          <w:tblCellMar>
            <w:top w:w="0" w:type="dxa"/>
            <w:left w:w="108" w:type="dxa"/>
            <w:bottom w:w="0" w:type="dxa"/>
            <w:right w:w="108" w:type="dxa"/>
          </w:tblCellMar>
        </w:tblPrEx>
        <w:tc>
          <w:tcPr>
            <w:tcW w:w="8847" w:type="dxa"/>
            <w:gridSpan w:val="9"/>
            <w:vAlign w:val="center"/>
          </w:tcPr>
          <w:p w14:paraId="45A4E363">
            <w:pPr>
              <w:jc w:val="center"/>
            </w:pPr>
            <w:r>
              <w:rPr>
                <w:rFonts w:ascii="宋体" w:hAnsi="宋体" w:eastAsia="宋体"/>
                <w:sz w:val="24"/>
              </w:rPr>
              <w:t>（2024年度）</w:t>
            </w:r>
          </w:p>
        </w:tc>
      </w:tr>
      <w:tr w14:paraId="35ADEF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1238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02532C4">
            <w:pPr>
              <w:jc w:val="center"/>
            </w:pPr>
            <w:r>
              <w:rPr>
                <w:rFonts w:ascii="宋体" w:hAnsi="宋体" w:eastAsia="宋体"/>
                <w:sz w:val="16"/>
              </w:rPr>
              <w:t>叶城县棋盘乡人民政府</w:t>
            </w:r>
          </w:p>
        </w:tc>
      </w:tr>
      <w:tr w14:paraId="0E9809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9617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D2AC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15D0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A558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0401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C38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1FB9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7F1B9">
            <w:pPr>
              <w:jc w:val="center"/>
            </w:pPr>
            <w:r>
              <w:rPr>
                <w:rFonts w:ascii="宋体" w:hAnsi="宋体" w:eastAsia="宋体"/>
                <w:sz w:val="16"/>
              </w:rPr>
              <w:t>得分</w:t>
            </w:r>
          </w:p>
        </w:tc>
      </w:tr>
      <w:tr w14:paraId="3F5299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AD3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AFD7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5EFF9">
            <w:pPr>
              <w:jc w:val="center"/>
            </w:pPr>
            <w:r>
              <w:rPr>
                <w:rFonts w:ascii="宋体" w:hAnsi="宋体" w:eastAsia="宋体"/>
                <w:sz w:val="16"/>
              </w:rPr>
              <w:t>1,963.18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81842">
            <w:pPr>
              <w:jc w:val="center"/>
            </w:pPr>
            <w:r>
              <w:rPr>
                <w:rFonts w:ascii="宋体" w:hAnsi="宋体" w:eastAsia="宋体"/>
                <w:sz w:val="16"/>
              </w:rPr>
              <w:t>2,419.49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228FC">
            <w:pPr>
              <w:jc w:val="center"/>
            </w:pPr>
            <w:r>
              <w:rPr>
                <w:rFonts w:ascii="宋体" w:hAnsi="宋体" w:eastAsia="宋体"/>
                <w:sz w:val="16"/>
              </w:rPr>
              <w:t>2,419.49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975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1AB1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FEE70">
            <w:pPr>
              <w:jc w:val="center"/>
            </w:pPr>
            <w:r>
              <w:rPr>
                <w:rFonts w:ascii="宋体" w:hAnsi="宋体" w:eastAsia="宋体"/>
                <w:sz w:val="16"/>
              </w:rPr>
              <w:t>10</w:t>
            </w:r>
          </w:p>
        </w:tc>
      </w:tr>
      <w:tr w14:paraId="41A64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049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5D8A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57161">
            <w:pPr>
              <w:jc w:val="center"/>
            </w:pPr>
            <w:r>
              <w:rPr>
                <w:rFonts w:ascii="宋体" w:hAnsi="宋体" w:eastAsia="宋体"/>
                <w:sz w:val="16"/>
              </w:rPr>
              <w:t>6.97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50288">
            <w:pPr>
              <w:jc w:val="center"/>
            </w:pPr>
            <w:r>
              <w:rPr>
                <w:rFonts w:ascii="宋体" w:hAnsi="宋体" w:eastAsia="宋体"/>
                <w:sz w:val="16"/>
              </w:rPr>
              <w:t>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F5424">
            <w:pPr>
              <w:jc w:val="center"/>
            </w:pPr>
            <w:r>
              <w:rPr>
                <w:rFonts w:ascii="宋体" w:hAnsi="宋体" w:eastAsia="宋体"/>
                <w:sz w:val="16"/>
              </w:rPr>
              <w:t>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85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1C5B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2D2C8">
            <w:pPr>
              <w:jc w:val="center"/>
            </w:pPr>
            <w:r>
              <w:rPr>
                <w:rFonts w:ascii="宋体" w:hAnsi="宋体" w:eastAsia="宋体"/>
                <w:sz w:val="16"/>
              </w:rPr>
              <w:t>—</w:t>
            </w:r>
          </w:p>
        </w:tc>
      </w:tr>
      <w:tr w14:paraId="7F9180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1CC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539B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D1418">
            <w:pPr>
              <w:jc w:val="center"/>
            </w:pPr>
            <w:r>
              <w:rPr>
                <w:rFonts w:ascii="宋体" w:hAnsi="宋体" w:eastAsia="宋体"/>
                <w:sz w:val="16"/>
              </w:rPr>
              <w:t>1,956.21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EBD9A">
            <w:pPr>
              <w:jc w:val="center"/>
            </w:pPr>
            <w:r>
              <w:rPr>
                <w:rFonts w:ascii="宋体" w:hAnsi="宋体" w:eastAsia="宋体"/>
                <w:sz w:val="16"/>
              </w:rPr>
              <w:t>2,414.37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94597">
            <w:pPr>
              <w:jc w:val="center"/>
            </w:pPr>
            <w:r>
              <w:rPr>
                <w:rFonts w:ascii="宋体" w:hAnsi="宋体" w:eastAsia="宋体"/>
                <w:sz w:val="16"/>
              </w:rPr>
              <w:t>2,414.37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D70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000A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267E8">
            <w:pPr>
              <w:jc w:val="center"/>
            </w:pPr>
            <w:r>
              <w:rPr>
                <w:rFonts w:ascii="宋体" w:hAnsi="宋体" w:eastAsia="宋体"/>
                <w:sz w:val="16"/>
              </w:rPr>
              <w:t>—</w:t>
            </w:r>
          </w:p>
        </w:tc>
      </w:tr>
      <w:tr w14:paraId="152B9A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3A5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0DA2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E42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F04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C15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C02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D6BE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1CE6F">
            <w:pPr>
              <w:jc w:val="center"/>
            </w:pPr>
            <w:r>
              <w:rPr>
                <w:rFonts w:ascii="宋体" w:hAnsi="宋体" w:eastAsia="宋体"/>
                <w:sz w:val="16"/>
              </w:rPr>
              <w:t>—</w:t>
            </w:r>
          </w:p>
        </w:tc>
      </w:tr>
      <w:tr w14:paraId="0474793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AE0E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B19DC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DFC576">
            <w:pPr>
              <w:jc w:val="center"/>
            </w:pPr>
            <w:r>
              <w:rPr>
                <w:rFonts w:ascii="宋体" w:hAnsi="宋体" w:eastAsia="宋体"/>
                <w:sz w:val="16"/>
              </w:rPr>
              <w:t>实际完成情况</w:t>
            </w:r>
          </w:p>
        </w:tc>
      </w:tr>
      <w:tr w14:paraId="18E7B9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4702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053BE8">
            <w:pPr>
              <w:jc w:val="both"/>
            </w:pPr>
            <w:r>
              <w:rPr>
                <w:rFonts w:ascii="宋体" w:hAnsi="宋体" w:eastAsia="宋体"/>
                <w:sz w:val="16"/>
              </w:rPr>
              <w:t>负责全乡党政行政管理事务，深刻贯彻落实</w:t>
            </w:r>
            <w:r>
              <w:rPr>
                <w:rFonts w:hint="eastAsia" w:ascii="宋体" w:hAnsi="宋体"/>
                <w:sz w:val="16"/>
                <w:lang w:eastAsia="zh-CN"/>
              </w:rPr>
              <w:t>党的</w:t>
            </w:r>
            <w:r>
              <w:rPr>
                <w:rFonts w:ascii="宋体" w:hAnsi="宋体" w:eastAsia="宋体"/>
                <w:sz w:val="16"/>
              </w:rPr>
              <w:t>二十大精神和第三次中央新疆工作座谈会精神，以习近平总书记系列重要讲话，把党的各项优惠政策落实到实处，负责全乡经济社会发展、社会事务管理、基层组织建设等全面工作。以全面建设社会主义新农村为根本出发点，不断深化美丽乡、村建设为总目标，不断铸牢全乡经济社会发展基础，为全乡各族群众提供社会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20A906">
            <w:pPr>
              <w:jc w:val="both"/>
            </w:pPr>
            <w:r>
              <w:rPr>
                <w:rFonts w:hint="eastAsia" w:ascii="宋体" w:hAnsi="宋体"/>
                <w:sz w:val="16"/>
                <w:lang w:eastAsia="zh-CN"/>
              </w:rPr>
              <w:t>截至2024</w:t>
            </w:r>
            <w:r>
              <w:rPr>
                <w:rFonts w:ascii="宋体" w:hAnsi="宋体" w:eastAsia="宋体"/>
                <w:sz w:val="16"/>
              </w:rPr>
              <w:t>年12月31日，已完成负责全乡党政行政管理事务，深刻贯彻落实</w:t>
            </w:r>
            <w:r>
              <w:rPr>
                <w:rFonts w:hint="eastAsia" w:ascii="宋体" w:hAnsi="宋体"/>
                <w:sz w:val="16"/>
                <w:lang w:eastAsia="zh-CN"/>
              </w:rPr>
              <w:t>党的</w:t>
            </w:r>
            <w:r>
              <w:rPr>
                <w:rFonts w:ascii="宋体" w:hAnsi="宋体" w:eastAsia="宋体"/>
                <w:sz w:val="16"/>
              </w:rPr>
              <w:t>二十大精神和第三次中央新疆工作座谈会精神，以习近平总书记系列重要讲话，把党的各项优惠政策落实到实处，负责全乡经济社会发展、社会事务管理、基层组织建设等全面工作。以全面建设社会主义新农村为根本出发点，不断深化美丽乡、村建设为总目标，2024年棋盘乡种植小麦740亩，杏树林果业加工8600亩，修建防渗渠5.8公里，种植玉米1.10万亩，不断铸牢全乡经济社会发展基础，为全乡各族群众提供社会服务。</w:t>
            </w:r>
          </w:p>
        </w:tc>
      </w:tr>
      <w:tr w14:paraId="3CBCE1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767C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E606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DF75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789A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C6C5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1B3A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3620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DB13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EB592">
            <w:pPr>
              <w:jc w:val="center"/>
            </w:pPr>
            <w:r>
              <w:rPr>
                <w:rFonts w:ascii="宋体" w:hAnsi="宋体" w:eastAsia="宋体"/>
                <w:sz w:val="16"/>
              </w:rPr>
              <w:t>得分</w:t>
            </w:r>
          </w:p>
        </w:tc>
      </w:tr>
      <w:tr w14:paraId="4B469E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FFF2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8382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4BAEB">
            <w:pPr>
              <w:jc w:val="center"/>
            </w:pPr>
            <w:r>
              <w:rPr>
                <w:rFonts w:ascii="宋体" w:hAnsi="宋体" w:eastAsia="宋体"/>
                <w:sz w:val="16"/>
              </w:rPr>
              <w:t>种植小麦亩数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01511">
            <w:pPr>
              <w:jc w:val="center"/>
            </w:pPr>
            <w:r>
              <w:rPr>
                <w:rFonts w:ascii="宋体" w:hAnsi="宋体" w:eastAsia="宋体"/>
                <w:sz w:val="16"/>
              </w:rPr>
              <w:t>&gt;=740亩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EF53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A6DB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A0D26">
            <w:pPr>
              <w:jc w:val="center"/>
            </w:pPr>
            <w:r>
              <w:rPr>
                <w:rFonts w:ascii="宋体" w:hAnsi="宋体" w:eastAsia="宋体"/>
                <w:sz w:val="16"/>
              </w:rPr>
              <w:t>=740亩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AE3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7A65E">
            <w:pPr>
              <w:jc w:val="center"/>
            </w:pPr>
            <w:r>
              <w:rPr>
                <w:rFonts w:ascii="宋体" w:hAnsi="宋体" w:eastAsia="宋体"/>
                <w:sz w:val="16"/>
              </w:rPr>
              <w:t>18</w:t>
            </w:r>
          </w:p>
        </w:tc>
      </w:tr>
      <w:tr w14:paraId="71D55F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E0C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AB6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E5819">
            <w:pPr>
              <w:jc w:val="center"/>
            </w:pPr>
            <w:r>
              <w:rPr>
                <w:rFonts w:ascii="宋体" w:hAnsi="宋体" w:eastAsia="宋体"/>
                <w:sz w:val="16"/>
              </w:rPr>
              <w:t>杏树林果业加工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2782D">
            <w:pPr>
              <w:jc w:val="center"/>
            </w:pPr>
            <w:r>
              <w:rPr>
                <w:rFonts w:ascii="宋体" w:hAnsi="宋体" w:eastAsia="宋体"/>
                <w:sz w:val="16"/>
              </w:rPr>
              <w:t>&gt;=8600亩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DD0C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A8A6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8BF83">
            <w:pPr>
              <w:jc w:val="center"/>
            </w:pPr>
            <w:r>
              <w:rPr>
                <w:rFonts w:ascii="宋体" w:hAnsi="宋体" w:eastAsia="宋体"/>
                <w:sz w:val="16"/>
              </w:rPr>
              <w:t>=8600亩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6B7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A0B54">
            <w:pPr>
              <w:jc w:val="center"/>
            </w:pPr>
            <w:r>
              <w:rPr>
                <w:rFonts w:ascii="宋体" w:hAnsi="宋体" w:eastAsia="宋体"/>
                <w:sz w:val="16"/>
              </w:rPr>
              <w:t>18</w:t>
            </w:r>
          </w:p>
        </w:tc>
      </w:tr>
      <w:tr w14:paraId="3FB962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FEF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AD4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4A5C0">
            <w:pPr>
              <w:jc w:val="center"/>
            </w:pPr>
            <w:r>
              <w:rPr>
                <w:rFonts w:ascii="宋体" w:hAnsi="宋体" w:eastAsia="宋体"/>
                <w:sz w:val="16"/>
              </w:rPr>
              <w:t>修建防渗渠数量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6371A">
            <w:pPr>
              <w:jc w:val="center"/>
            </w:pPr>
            <w:r>
              <w:rPr>
                <w:rFonts w:ascii="宋体" w:hAnsi="宋体" w:eastAsia="宋体"/>
                <w:sz w:val="16"/>
              </w:rPr>
              <w:t>=5.8公里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1C0D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BC8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5901B">
            <w:pPr>
              <w:jc w:val="center"/>
            </w:pPr>
            <w:r>
              <w:rPr>
                <w:rFonts w:ascii="宋体" w:hAnsi="宋体" w:eastAsia="宋体"/>
                <w:sz w:val="16"/>
              </w:rPr>
              <w:t>=5.8公里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DDF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9BB00">
            <w:pPr>
              <w:jc w:val="center"/>
            </w:pPr>
            <w:r>
              <w:rPr>
                <w:rFonts w:ascii="宋体" w:hAnsi="宋体" w:eastAsia="宋体"/>
                <w:sz w:val="16"/>
              </w:rPr>
              <w:t>18</w:t>
            </w:r>
          </w:p>
        </w:tc>
      </w:tr>
      <w:tr w14:paraId="275947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D3E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8CB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14026">
            <w:pPr>
              <w:jc w:val="center"/>
            </w:pPr>
            <w:r>
              <w:rPr>
                <w:rFonts w:ascii="宋体" w:hAnsi="宋体" w:eastAsia="宋体"/>
                <w:sz w:val="16"/>
              </w:rPr>
              <w:t>种植玉米万亩数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087C3">
            <w:pPr>
              <w:jc w:val="center"/>
            </w:pPr>
            <w:r>
              <w:rPr>
                <w:rFonts w:ascii="宋体" w:hAnsi="宋体" w:eastAsia="宋体"/>
                <w:sz w:val="16"/>
              </w:rPr>
              <w:t>&gt;=1.10万亩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5CB8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2FE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FE4B2">
            <w:pPr>
              <w:jc w:val="center"/>
            </w:pPr>
            <w:r>
              <w:rPr>
                <w:rFonts w:ascii="宋体" w:hAnsi="宋体" w:eastAsia="宋体"/>
                <w:sz w:val="16"/>
              </w:rPr>
              <w:t>=1.1万亩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442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5D26F">
            <w:pPr>
              <w:jc w:val="center"/>
            </w:pPr>
            <w:r>
              <w:rPr>
                <w:rFonts w:ascii="宋体" w:hAnsi="宋体" w:eastAsia="宋体"/>
                <w:sz w:val="16"/>
              </w:rPr>
              <w:t>18</w:t>
            </w:r>
          </w:p>
        </w:tc>
      </w:tr>
      <w:tr w14:paraId="3B5C68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4587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3D11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CFC51">
            <w:pPr>
              <w:jc w:val="center"/>
            </w:pPr>
            <w:r>
              <w:rPr>
                <w:rFonts w:ascii="宋体" w:hAnsi="宋体" w:eastAsia="宋体"/>
                <w:sz w:val="16"/>
              </w:rPr>
              <w:t>实施全民参保率达到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D5C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3FB6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AB95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3AD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F6F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19DAE">
            <w:pPr>
              <w:jc w:val="center"/>
            </w:pPr>
            <w:r>
              <w:rPr>
                <w:rFonts w:ascii="宋体" w:hAnsi="宋体" w:eastAsia="宋体"/>
                <w:sz w:val="16"/>
              </w:rPr>
              <w:t>18</w:t>
            </w:r>
          </w:p>
        </w:tc>
      </w:tr>
    </w:tbl>
    <w:p w14:paraId="6B9902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073ACD5">
        <w:tblPrEx>
          <w:tblCellMar>
            <w:top w:w="0" w:type="dxa"/>
            <w:left w:w="108" w:type="dxa"/>
            <w:bottom w:w="0" w:type="dxa"/>
            <w:right w:w="108" w:type="dxa"/>
          </w:tblCellMar>
        </w:tblPrEx>
        <w:tc>
          <w:tcPr>
            <w:tcW w:w="8848" w:type="dxa"/>
            <w:gridSpan w:val="14"/>
            <w:vAlign w:val="center"/>
          </w:tcPr>
          <w:p w14:paraId="4F50CCCD">
            <w:pPr>
              <w:jc w:val="center"/>
            </w:pPr>
            <w:r>
              <w:rPr>
                <w:rFonts w:ascii="宋体" w:hAnsi="宋体" w:eastAsia="宋体"/>
                <w:sz w:val="24"/>
              </w:rPr>
              <w:t>项目支出绩效自评表</w:t>
            </w:r>
          </w:p>
        </w:tc>
      </w:tr>
      <w:tr w14:paraId="054A1EA8">
        <w:tblPrEx>
          <w:tblCellMar>
            <w:top w:w="0" w:type="dxa"/>
            <w:left w:w="108" w:type="dxa"/>
            <w:bottom w:w="0" w:type="dxa"/>
            <w:right w:w="108" w:type="dxa"/>
          </w:tblCellMar>
        </w:tblPrEx>
        <w:tc>
          <w:tcPr>
            <w:tcW w:w="8848" w:type="dxa"/>
            <w:gridSpan w:val="14"/>
            <w:vAlign w:val="center"/>
          </w:tcPr>
          <w:p w14:paraId="53FE663D">
            <w:pPr>
              <w:jc w:val="center"/>
            </w:pPr>
            <w:r>
              <w:rPr>
                <w:rFonts w:ascii="宋体" w:hAnsi="宋体" w:eastAsia="宋体"/>
                <w:sz w:val="24"/>
              </w:rPr>
              <w:t>(2024年度)</w:t>
            </w:r>
          </w:p>
        </w:tc>
      </w:tr>
      <w:tr w14:paraId="04500D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B5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C9202C">
            <w:pPr>
              <w:jc w:val="center"/>
            </w:pPr>
            <w:r>
              <w:rPr>
                <w:rFonts w:ascii="宋体" w:hAnsi="宋体" w:eastAsia="宋体"/>
                <w:sz w:val="16"/>
              </w:rPr>
              <w:t>2024年工作经费项目</w:t>
            </w:r>
          </w:p>
        </w:tc>
      </w:tr>
      <w:tr w14:paraId="41F451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C7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D4029">
            <w:pPr>
              <w:jc w:val="center"/>
            </w:pPr>
            <w:r>
              <w:rPr>
                <w:rFonts w:ascii="宋体" w:hAnsi="宋体" w:eastAsia="宋体"/>
                <w:sz w:val="16"/>
              </w:rPr>
              <w:t>叶城县棋盘乡人民政府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1F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69C4BF">
            <w:pPr>
              <w:jc w:val="center"/>
            </w:pPr>
            <w:r>
              <w:rPr>
                <w:rFonts w:ascii="宋体" w:hAnsi="宋体" w:eastAsia="宋体"/>
                <w:sz w:val="16"/>
              </w:rPr>
              <w:t>叶城县棋盘乡人民政府</w:t>
            </w:r>
          </w:p>
        </w:tc>
      </w:tr>
      <w:tr w14:paraId="2C86CA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401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649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8D6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240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940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DC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6AF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2DFD">
            <w:pPr>
              <w:jc w:val="center"/>
            </w:pPr>
            <w:r>
              <w:rPr>
                <w:rFonts w:ascii="宋体" w:hAnsi="宋体" w:eastAsia="宋体"/>
                <w:sz w:val="16"/>
              </w:rPr>
              <w:t>得分</w:t>
            </w:r>
          </w:p>
        </w:tc>
      </w:tr>
      <w:tr w14:paraId="5EFAE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33B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640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BABC2">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CA3FD">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F7D59">
            <w:pPr>
              <w:jc w:val="center"/>
            </w:pPr>
            <w:r>
              <w:rPr>
                <w:rFonts w:ascii="宋体" w:hAnsi="宋体" w:eastAsia="宋体"/>
                <w:sz w:val="16"/>
              </w:rPr>
              <w:t>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AC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2C526">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A9EB">
            <w:pPr>
              <w:jc w:val="center"/>
            </w:pPr>
            <w:r>
              <w:rPr>
                <w:rFonts w:ascii="宋体" w:hAnsi="宋体" w:eastAsia="宋体"/>
                <w:sz w:val="16"/>
              </w:rPr>
              <w:t>9.61分</w:t>
            </w:r>
          </w:p>
        </w:tc>
      </w:tr>
      <w:tr w14:paraId="261EF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BEC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372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5D999">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48A37">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390C1">
            <w:pPr>
              <w:jc w:val="center"/>
            </w:pPr>
            <w:r>
              <w:rPr>
                <w:rFonts w:ascii="宋体" w:hAnsi="宋体" w:eastAsia="宋体"/>
                <w:sz w:val="16"/>
              </w:rPr>
              <w:t>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A5C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A8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2847">
            <w:pPr>
              <w:jc w:val="center"/>
            </w:pPr>
            <w:r>
              <w:rPr>
                <w:rFonts w:ascii="宋体" w:hAnsi="宋体" w:eastAsia="宋体"/>
                <w:sz w:val="16"/>
              </w:rPr>
              <w:t>—</w:t>
            </w:r>
          </w:p>
        </w:tc>
      </w:tr>
      <w:tr w14:paraId="7F741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73A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F38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F8A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4F3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3C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342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E59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28E6">
            <w:pPr>
              <w:jc w:val="center"/>
            </w:pPr>
            <w:r>
              <w:rPr>
                <w:rFonts w:ascii="宋体" w:hAnsi="宋体" w:eastAsia="宋体"/>
                <w:sz w:val="16"/>
              </w:rPr>
              <w:t>—</w:t>
            </w:r>
          </w:p>
        </w:tc>
      </w:tr>
      <w:tr w14:paraId="549788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634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CEAE2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6F50DA">
            <w:pPr>
              <w:jc w:val="center"/>
            </w:pPr>
            <w:r>
              <w:rPr>
                <w:rFonts w:ascii="宋体" w:hAnsi="宋体" w:eastAsia="宋体"/>
                <w:sz w:val="16"/>
              </w:rPr>
              <w:t>实际完成情况</w:t>
            </w:r>
          </w:p>
        </w:tc>
      </w:tr>
      <w:tr w14:paraId="50EDB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908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C5F87">
            <w:pPr>
              <w:jc w:val="both"/>
            </w:pPr>
            <w:r>
              <w:rPr>
                <w:rFonts w:ascii="宋体" w:hAnsi="宋体" w:eastAsia="宋体"/>
                <w:sz w:val="16"/>
              </w:rPr>
              <w:t>该项目资金9.6万元，用于保障乡机关运转，缴纳电费、通信费、报刊费及其他日常支出。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B7070">
            <w:pPr>
              <w:jc w:val="both"/>
            </w:pPr>
            <w:r>
              <w:rPr>
                <w:rFonts w:ascii="宋体" w:hAnsi="宋体" w:eastAsia="宋体"/>
                <w:sz w:val="16"/>
              </w:rPr>
              <w:t>实际完成目标：项目预算9.6万元，资金到位9.6万元，实际支出9.45万元。项目实施后用于保障乡机关运转，缴纳电费、通信费、报刊费及其他日常支出，提高干部办事效率，提高群众幸福度。</w:t>
            </w:r>
          </w:p>
        </w:tc>
      </w:tr>
      <w:tr w14:paraId="1F4E6E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F02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05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EE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73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37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8E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F3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4C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25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4C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E85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CF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4C0B2">
            <w:pPr>
              <w:jc w:val="center"/>
            </w:pPr>
            <w:r>
              <w:rPr>
                <w:rFonts w:ascii="宋体" w:hAnsi="宋体" w:eastAsia="宋体"/>
                <w:sz w:val="16"/>
              </w:rPr>
              <w:t>偏差原因分析及改进措施</w:t>
            </w:r>
          </w:p>
        </w:tc>
      </w:tr>
      <w:tr w14:paraId="16F29E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46C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D49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46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AD2B">
            <w:pPr>
              <w:jc w:val="center"/>
            </w:pPr>
            <w:r>
              <w:rPr>
                <w:rFonts w:ascii="宋体" w:hAnsi="宋体" w:eastAsia="宋体"/>
                <w:sz w:val="16"/>
              </w:rPr>
              <w:t>保障运转单位数量（个）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A37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1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4A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B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0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2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585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4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A59AC">
            <w:pPr>
              <w:jc w:val="center"/>
            </w:pPr>
          </w:p>
        </w:tc>
      </w:tr>
      <w:tr w14:paraId="3DCEA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EE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36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EB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39DC">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5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8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13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3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C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A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AAF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A37D">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64761">
            <w:pPr>
              <w:jc w:val="center"/>
            </w:pPr>
            <w:r>
              <w:rPr>
                <w:rFonts w:ascii="宋体" w:hAnsi="宋体" w:eastAsia="宋体"/>
                <w:sz w:val="16"/>
              </w:rPr>
              <w:t>偏差原因：提交材料不及时，导致资金拨付不及时。整改措施：加快支付进度。</w:t>
            </w:r>
          </w:p>
        </w:tc>
      </w:tr>
      <w:tr w14:paraId="57135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48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3CA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D2D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239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DCF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B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30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B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0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6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33F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4C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B9E11">
            <w:pPr>
              <w:jc w:val="center"/>
            </w:pPr>
          </w:p>
        </w:tc>
      </w:tr>
      <w:tr w14:paraId="6FCFD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87A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07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56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B54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E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E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1C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F4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9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9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3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1B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C6DE1">
            <w:pPr>
              <w:jc w:val="center"/>
            </w:pPr>
            <w:r>
              <w:rPr>
                <w:rFonts w:ascii="宋体" w:hAnsi="宋体" w:eastAsia="宋体"/>
                <w:sz w:val="16"/>
              </w:rPr>
              <w:t>偏差原因:提交支付材料不及时，导致完成率低。整改措施：督促支付进度。</w:t>
            </w:r>
          </w:p>
        </w:tc>
      </w:tr>
      <w:tr w14:paraId="785A7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45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0D6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39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A629">
            <w:pPr>
              <w:jc w:val="center"/>
            </w:pPr>
            <w:r>
              <w:rPr>
                <w:rFonts w:ascii="宋体" w:hAnsi="宋体" w:eastAsia="宋体"/>
                <w:sz w:val="16"/>
              </w:rPr>
              <w:t>运转经费（万元）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3175">
            <w:pPr>
              <w:jc w:val="center"/>
            </w:pPr>
            <w:r>
              <w:rPr>
                <w:rFonts w:ascii="宋体" w:hAnsi="宋体" w:eastAsia="宋体"/>
                <w:sz w:val="16"/>
              </w:rPr>
              <w:t>&lt;=9.60万元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E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E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B3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E4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2A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54AA">
            <w:pPr>
              <w:jc w:val="center"/>
            </w:pPr>
            <w:r>
              <w:rPr>
                <w:rFonts w:ascii="宋体" w:hAnsi="宋体" w:eastAsia="宋体"/>
                <w:sz w:val="16"/>
              </w:rPr>
              <w:t>=9.45万元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48B1">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0915">
            <w:pPr>
              <w:jc w:val="center"/>
            </w:pPr>
            <w:r>
              <w:rPr>
                <w:rFonts w:ascii="宋体" w:hAnsi="宋体" w:eastAsia="宋体"/>
                <w:sz w:val="16"/>
              </w:rPr>
              <w:t>偏差原因：提交支付材料不及时，导致有偏差。整改措施：加快支付进度。</w:t>
            </w:r>
          </w:p>
        </w:tc>
      </w:tr>
      <w:tr w14:paraId="381EC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10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F3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94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CDFA">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4A2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0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59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6F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2A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0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CA5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BC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2CFFE">
            <w:pPr>
              <w:jc w:val="center"/>
            </w:pPr>
          </w:p>
        </w:tc>
      </w:tr>
      <w:tr w14:paraId="76C80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0B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AF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75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448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6F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A3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4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78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A0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C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6C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72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C5737">
            <w:pPr>
              <w:jc w:val="center"/>
            </w:pPr>
          </w:p>
        </w:tc>
      </w:tr>
      <w:tr w14:paraId="13F7692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9D6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94B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4C7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81DC">
            <w:pPr>
              <w:jc w:val="center"/>
            </w:pPr>
            <w:r>
              <w:rPr>
                <w:rFonts w:ascii="宋体" w:hAnsi="宋体" w:eastAsia="宋体"/>
                <w:sz w:val="16"/>
              </w:rPr>
              <w:t>98.11分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B26E91"/>
        </w:tc>
      </w:tr>
    </w:tbl>
    <w:p w14:paraId="3AC27E1D">
      <w:r>
        <w:br w:type="page"/>
      </w:r>
    </w:p>
    <w:p w14:paraId="331648BB">
      <w:pPr>
        <w:spacing w:line="640" w:lineRule="exact"/>
        <w:ind w:firstLine="640"/>
        <w:jc w:val="both"/>
        <w:outlineLvl w:val="2"/>
      </w:pPr>
      <w:r>
        <w:rPr>
          <w:rFonts w:ascii="黑体" w:hAnsi="黑体" w:eastAsia="黑体"/>
          <w:sz w:val="32"/>
        </w:rPr>
        <w:t>十二、其他需说明的事项</w:t>
      </w:r>
    </w:p>
    <w:p w14:paraId="693726E3">
      <w:pPr>
        <w:spacing w:line="580" w:lineRule="exact"/>
        <w:ind w:firstLine="640"/>
        <w:jc w:val="both"/>
      </w:pPr>
      <w:r>
        <w:rPr>
          <w:rFonts w:ascii="仿宋_GB2312" w:hAnsi="仿宋_GB2312" w:eastAsia="仿宋_GB2312"/>
          <w:b w:val="0"/>
          <w:sz w:val="32"/>
        </w:rPr>
        <w:t>本单位无其他需说明的事项。</w:t>
      </w:r>
    </w:p>
    <w:p w14:paraId="5E811813">
      <w:r>
        <w:br w:type="page"/>
      </w:r>
    </w:p>
    <w:p w14:paraId="75BCF90A">
      <w:pPr>
        <w:spacing w:line="240" w:lineRule="auto"/>
        <w:jc w:val="center"/>
        <w:outlineLvl w:val="1"/>
      </w:pPr>
      <w:r>
        <w:rPr>
          <w:rFonts w:ascii="黑体" w:hAnsi="黑体" w:eastAsia="黑体"/>
          <w:sz w:val="32"/>
        </w:rPr>
        <w:t>第三部分 专业名词解释</w:t>
      </w:r>
    </w:p>
    <w:p w14:paraId="1F6FE1B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EC878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B446D8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C05A09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1ED683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8891F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D8ECEA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F06B4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A3245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A15AC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31F64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FEA304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5DFEC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39F4E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70D26FF">
      <w:r>
        <w:br w:type="page"/>
      </w:r>
    </w:p>
    <w:p w14:paraId="02FA3DFA">
      <w:pPr>
        <w:spacing w:line="240" w:lineRule="auto"/>
        <w:jc w:val="center"/>
        <w:outlineLvl w:val="1"/>
      </w:pPr>
      <w:r>
        <w:rPr>
          <w:rFonts w:ascii="黑体" w:hAnsi="黑体" w:eastAsia="黑体"/>
          <w:sz w:val="32"/>
        </w:rPr>
        <w:t>第四部分 部门决算报表（见附表）</w:t>
      </w:r>
    </w:p>
    <w:p w14:paraId="5DB15C87">
      <w:pPr>
        <w:spacing w:line="240" w:lineRule="auto"/>
        <w:ind w:firstLine="640"/>
        <w:jc w:val="both"/>
      </w:pPr>
      <w:r>
        <w:rPr>
          <w:rFonts w:ascii="仿宋_GB2312" w:hAnsi="仿宋_GB2312" w:eastAsia="仿宋_GB2312"/>
          <w:b w:val="0"/>
          <w:sz w:val="32"/>
        </w:rPr>
        <w:t>一、《收入支出决算总表》</w:t>
      </w:r>
    </w:p>
    <w:p w14:paraId="05E21770">
      <w:pPr>
        <w:spacing w:line="240" w:lineRule="auto"/>
        <w:ind w:firstLine="640"/>
        <w:jc w:val="both"/>
      </w:pPr>
      <w:r>
        <w:rPr>
          <w:rFonts w:ascii="仿宋_GB2312" w:hAnsi="仿宋_GB2312" w:eastAsia="仿宋_GB2312"/>
          <w:b w:val="0"/>
          <w:sz w:val="32"/>
        </w:rPr>
        <w:t>二、《收入决算表》</w:t>
      </w:r>
    </w:p>
    <w:p w14:paraId="3F0DA9E9">
      <w:pPr>
        <w:spacing w:line="240" w:lineRule="auto"/>
        <w:ind w:firstLine="640"/>
        <w:jc w:val="both"/>
      </w:pPr>
      <w:r>
        <w:rPr>
          <w:rFonts w:ascii="仿宋_GB2312" w:hAnsi="仿宋_GB2312" w:eastAsia="仿宋_GB2312"/>
          <w:b w:val="0"/>
          <w:sz w:val="32"/>
        </w:rPr>
        <w:t>三、《支出决算表》</w:t>
      </w:r>
    </w:p>
    <w:p w14:paraId="4E6669E7">
      <w:pPr>
        <w:spacing w:line="240" w:lineRule="auto"/>
        <w:ind w:firstLine="640"/>
        <w:jc w:val="both"/>
      </w:pPr>
      <w:r>
        <w:rPr>
          <w:rFonts w:ascii="仿宋_GB2312" w:hAnsi="仿宋_GB2312" w:eastAsia="仿宋_GB2312"/>
          <w:b w:val="0"/>
          <w:sz w:val="32"/>
        </w:rPr>
        <w:t>四、《财政拨款收入支出决算总表》</w:t>
      </w:r>
    </w:p>
    <w:p w14:paraId="77A3E7F9">
      <w:pPr>
        <w:spacing w:line="240" w:lineRule="auto"/>
        <w:ind w:firstLine="640"/>
        <w:jc w:val="both"/>
      </w:pPr>
      <w:r>
        <w:rPr>
          <w:rFonts w:ascii="仿宋_GB2312" w:hAnsi="仿宋_GB2312" w:eastAsia="仿宋_GB2312"/>
          <w:b w:val="0"/>
          <w:sz w:val="32"/>
        </w:rPr>
        <w:t>五、《一般公共预算财政拨款支出决算表》</w:t>
      </w:r>
    </w:p>
    <w:p w14:paraId="50A89437">
      <w:pPr>
        <w:spacing w:line="240" w:lineRule="auto"/>
        <w:ind w:firstLine="640"/>
        <w:jc w:val="both"/>
      </w:pPr>
      <w:r>
        <w:rPr>
          <w:rFonts w:ascii="仿宋_GB2312" w:hAnsi="仿宋_GB2312" w:eastAsia="仿宋_GB2312"/>
          <w:b w:val="0"/>
          <w:sz w:val="32"/>
        </w:rPr>
        <w:t>六、《一般公共预算财政拨款基本支出决算表》</w:t>
      </w:r>
    </w:p>
    <w:p w14:paraId="2533ACF5">
      <w:pPr>
        <w:spacing w:line="240" w:lineRule="auto"/>
        <w:ind w:firstLine="640"/>
        <w:jc w:val="both"/>
      </w:pPr>
      <w:r>
        <w:rPr>
          <w:rFonts w:ascii="仿宋_GB2312" w:hAnsi="仿宋_GB2312" w:eastAsia="仿宋_GB2312"/>
          <w:b w:val="0"/>
          <w:sz w:val="32"/>
        </w:rPr>
        <w:t>七、《政府性基金预算财政拨款收入支出决算表》</w:t>
      </w:r>
    </w:p>
    <w:p w14:paraId="6B78B0B4">
      <w:pPr>
        <w:spacing w:line="240" w:lineRule="auto"/>
        <w:ind w:firstLine="640"/>
        <w:jc w:val="both"/>
      </w:pPr>
      <w:r>
        <w:rPr>
          <w:rFonts w:ascii="仿宋_GB2312" w:hAnsi="仿宋_GB2312" w:eastAsia="仿宋_GB2312"/>
          <w:b w:val="0"/>
          <w:sz w:val="32"/>
        </w:rPr>
        <w:t>八、《国有资本经营预算财政拨款收入支出决算表》</w:t>
      </w:r>
    </w:p>
    <w:p w14:paraId="62C432E1">
      <w:pPr>
        <w:spacing w:line="240" w:lineRule="auto"/>
        <w:ind w:firstLine="640"/>
        <w:jc w:val="both"/>
      </w:pPr>
      <w:r>
        <w:rPr>
          <w:rFonts w:ascii="仿宋_GB2312" w:hAnsi="仿宋_GB2312" w:eastAsia="仿宋_GB2312"/>
          <w:b w:val="0"/>
          <w:sz w:val="32"/>
        </w:rPr>
        <w:t>九、《财政拨款“三公”经费支出决算表》</w:t>
      </w:r>
    </w:p>
    <w:p w14:paraId="789E0A70">
      <w:pPr>
        <w:spacing w:line="240" w:lineRule="auto"/>
        <w:ind w:firstLine="640"/>
        <w:jc w:val="both"/>
      </w:pPr>
    </w:p>
    <w:p w14:paraId="133407C0">
      <w:pPr>
        <w:spacing w:line="240" w:lineRule="auto"/>
        <w:ind w:firstLine="640"/>
        <w:jc w:val="both"/>
      </w:pPr>
    </w:p>
    <w:p w14:paraId="53345BA5">
      <w:pPr>
        <w:spacing w:line="240" w:lineRule="auto"/>
        <w:ind w:firstLine="640"/>
        <w:jc w:val="both"/>
      </w:pPr>
    </w:p>
    <w:p w14:paraId="367F6847">
      <w:pPr>
        <w:spacing w:line="240" w:lineRule="auto"/>
        <w:ind w:firstLine="640"/>
        <w:jc w:val="both"/>
      </w:pPr>
    </w:p>
    <w:p w14:paraId="06C878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454B91-7165-45C9-A597-578BC19F4E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BF45FA0-807D-40A9-B30F-6D3C757E4061}"/>
  </w:font>
  <w:font w:name="仿宋_GB2312">
    <w:panose1 w:val="02010609030101010101"/>
    <w:charset w:val="86"/>
    <w:family w:val="modern"/>
    <w:pitch w:val="default"/>
    <w:sig w:usb0="00000001" w:usb1="080E0000" w:usb2="00000000" w:usb3="00000000" w:csb0="00040000" w:csb1="00000000"/>
    <w:embedRegular r:id="rId3" w:fontKey="{BB33B446-9305-42F7-9756-F5CE16D38CAC}"/>
  </w:font>
  <w:font w:name="楷体_GB2312">
    <w:panose1 w:val="02010609030101010101"/>
    <w:charset w:val="86"/>
    <w:family w:val="auto"/>
    <w:pitch w:val="default"/>
    <w:sig w:usb0="00000001" w:usb1="080E0000" w:usb2="00000000" w:usb3="00000000" w:csb0="00040000" w:csb1="00000000"/>
    <w:embedRegular r:id="rId4" w:fontKey="{525DCE7C-0597-4337-BDD8-C0965009373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48204A"/>
    <w:rsid w:val="326F0A17"/>
    <w:rsid w:val="3277581B"/>
    <w:rsid w:val="38006E2C"/>
    <w:rsid w:val="3914510A"/>
    <w:rsid w:val="3B1220C9"/>
    <w:rsid w:val="3D5275AC"/>
    <w:rsid w:val="3EA7725F"/>
    <w:rsid w:val="3EC014A1"/>
    <w:rsid w:val="40834692"/>
    <w:rsid w:val="41855F70"/>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7012</Words>
  <Characters>8147</Characters>
  <Lines>0</Lines>
  <Paragraphs>0</Paragraphs>
  <TotalTime>8</TotalTime>
  <ScaleCrop>false</ScaleCrop>
  <LinksUpToDate>false</LinksUpToDate>
  <CharactersWithSpaces>8155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2025-09-30T02:30:57Z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