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2024年综合发展与环境改善工程项目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叶城县</w:t>
      </w:r>
      <w:r>
        <w:rPr>
          <w:rStyle w:val="19"/>
          <w:rFonts w:hint="eastAsia" w:ascii="仿宋" w:hAnsi="仿宋" w:eastAsia="仿宋" w:cs="仿宋"/>
          <w:b w:val="0"/>
          <w:bCs w:val="0"/>
          <w:spacing w:val="-4"/>
          <w:sz w:val="32"/>
          <w:szCs w:val="32"/>
          <w:lang w:val="en-US" w:eastAsia="zh-CN"/>
        </w:rPr>
        <w:t>河园镇</w:t>
      </w:r>
      <w:r>
        <w:rPr>
          <w:rStyle w:val="19"/>
          <w:rFonts w:hint="eastAsia" w:ascii="仿宋" w:hAnsi="仿宋" w:eastAsia="仿宋" w:cs="仿宋"/>
          <w:b w:val="0"/>
          <w:bCs w:val="0"/>
          <w:spacing w:val="-4"/>
          <w:sz w:val="32"/>
          <w:szCs w:val="32"/>
        </w:rPr>
        <w:t>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叶城县</w:t>
      </w:r>
      <w:r>
        <w:rPr>
          <w:rStyle w:val="19"/>
          <w:rFonts w:hint="eastAsia" w:ascii="仿宋" w:hAnsi="仿宋" w:eastAsia="仿宋" w:cs="仿宋"/>
          <w:b w:val="0"/>
          <w:bCs w:val="0"/>
          <w:spacing w:val="-4"/>
          <w:sz w:val="32"/>
          <w:szCs w:val="32"/>
          <w:lang w:val="en-US" w:eastAsia="zh-CN"/>
        </w:rPr>
        <w:t>河园镇</w:t>
      </w:r>
      <w:r>
        <w:rPr>
          <w:rStyle w:val="19"/>
          <w:rFonts w:hint="eastAsia" w:ascii="仿宋" w:hAnsi="仿宋" w:eastAsia="仿宋" w:cs="仿宋"/>
          <w:b w:val="0"/>
          <w:bCs w:val="0"/>
          <w:spacing w:val="-4"/>
          <w:sz w:val="32"/>
          <w:szCs w:val="32"/>
        </w:rPr>
        <w:t>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 xml:space="preserve">张坤 </w:t>
      </w:r>
    </w:p>
    <w:p>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2025年03月10日</w:t>
      </w:r>
    </w:p>
    <w:p>
      <w:pPr>
        <w:rPr>
          <w:rStyle w:val="19"/>
          <w:rFonts w:hint="eastAsia" w:ascii="仿宋" w:hAnsi="仿宋" w:eastAsia="仿宋" w:cs="仿宋"/>
          <w:b w:val="0"/>
          <w:bCs w:val="0"/>
          <w:spacing w:val="-4"/>
          <w:sz w:val="32"/>
          <w:szCs w:val="32"/>
        </w:rPr>
      </w:pPr>
      <w:r>
        <w:br w:type="page"/>
      </w:r>
      <w:bookmarkStart w:id="0" w:name="_GoBack"/>
      <w:bookmarkEnd w:id="0"/>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以及喀什地区发展改革委关于下达2024年第三批自治区预算内投资计划的通知（叶发改农经〔2024〕132号）文件与规定，旨在评价项目实施前期、过程及效果，评价财政预算资金使用的效率及效益。通过该项目的实施，可以极大地改善居民的生产基础条件，推动乡镇经济发展，扩大生产，增加经济效益，进一步与巩固当地居民增产增收的作用，本工程的实施将体现党和政府对广大群众的关怀，促进社会的协调发展，为全面建设小康生活奠定了良好的基础。</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喀什地区关于叶城县2024年综合发展与环境改善工程可行性研究报告（代项目建议书）的批复。本项目总资金230万元，主要用于村民活动中心附属配套提升改造建设、村级公共服务基础设施提升建设、新建人大代表议事亭。通过相关项目建成和投入使用，促进河园镇 6 个乡村的经济发展，带动当地群众就业，增加群众收入。截止2024年12月31日支出项目资金192.63万元，其中设计费支出3.4万元，工程款188.53万元。通过相关项目建成和投入使用，保障民生，进一步完善基设施，改善当地生态环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叶城县河园镇人民政府（行政单位）决算编制范围的有5个办公室：党政办公室、党建办公室、经济发展办公室、社会事务办公室、综合执法办公室。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编制人数50人，其中：行政人员编制50人、机关公勤事业编制3人、事业编制21人。实有在职人数104人，其中：行政在职56人、行政工人1人、参公22人、机关工勤事业编制5人、事业在职20人。离退休人员14人，其中：行政退休人员12人、事业退休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喀地财建〔2024〕29号共安排下达资金230万元，为中央预算内资金，最终确定项目资金总数为230万元。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截至2024年12月31日，实际支出192.63万元，预算执行率83.75%。</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本项目总资金230万元，主要用于村民活动中心附属配套提升改造建设、村级公共服务基础设施提升建设、新建人大代表议事亭。通过相关项目建成和投入使用，促进河园镇 6 个乡村的经济发展，带动当地群众就业，增加群众收入。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实施的前期准备工作：编写实施方案，组织招投标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具体实施工作：2024年6月开工，通水通电及平整场地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验收阶段的具体工作：2024年11月完工，施工单位退场、场地清理、竣工验收等工作。</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喀什地区财政局《喀什地区财政支出绩效评价管理暂行办法》（喀地财预〔2019〕18号）等相关政策文件与规定，我单位针对22024年综合发展与环境改善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第一阶段：前期准备（2025年1月1日-1月16日）。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张坤任评价组组长，绩效评价工作职责为负责全盘工作。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刘恩瑀、蓝存媛任评价组副组长，绩效评价工作职责为对项目实施情况进行实地调查。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买买提江·阿不力孜、刘梦玉任评价组成员，绩效评价工作职责为负责资料审核等工作。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第二阶段：组织实施（2025年1月17日-2月9日）。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第三阶段：分析评价（2025年2月10日-2月15日）。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第四阶段：撰写与提交评价报告（2025年2月15日-2月28日）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综合发展与环境改善工程项目经费项目，可以极大地改善居民的生产基础条件，推动乡镇经济发展，扩大生产，增加经济效益，进一步与巩固当地居民增产增收的作用，本工程的实施将体现党和政府对广大群众的关怀，促进社会的协调发展，为全面建设小康生活奠定了良好的基础。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通过实施2024年综合发展与环境改善工程项目基层民生改善、提升基础设施条件效果明显。项目实施主要通过项目决策、项目过程、项目产出以及项目效益等方面进行评价，其中：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叶城县发展和改革委员会关于下达喀什地区发展改革委关于下达2024年第三批自治区预算内投资计划的通知（喀地财建〔2024〕29号）文件立项，项目施符合（叶改发农经（喀地财建〔2024〕29号）要求，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综合发展与环境改善工程项目预算安排230万元，实际支出192.63万元，预算执行率83.75%。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项目产出：项目涉及村个数6个，项目工程验收合格率100%。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项目效益：通过实施此项目基层民生改善、提升基础设施条件效果明显。</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止2024年12月31日支出项目资金192.63万元，其中设计费支出3.4万元，工程款188.53万元。通过相关项目建成和投入使用，保障民生，进一步完善基础设施，改善当地生态环境。该项目最终评分97.07分，绩效评级为“优”。</w:t>
      </w:r>
    </w:p>
    <w:p>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喀什地区财政局关于下达2024年综合发展与环境改善工程项目的通知（喀地财建喀地财建〔2024〕29号）文件内容，符合行业发展规划和政策要求；本项目立项符合《叶城县河源镇配置内设机构和人员编制规定》，属于我镇履职所需；根据《财政资金直接支付申请书》，本项目资金性质为“公共财政预算”，功能分类为“一般行政管理事务”，经济分类为“农村基础设施建设”，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①项目根据决策依据编制工作计划和经费预算，经过与河园镇分管领导进行沟通、筛选确定经费预算计划，上党委会研究确定最终预算方案，严格按照规定的程序申请设立，得1分。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②项目的审批文件及材料有《喀什地区发展改革委关于下达2024年第三批自治区预算内投资计划的通知（喀地财建〔2024〕29号）等，符合相关要求，得0.5分。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③事前已经过必要的可行性研究、专家论证、风险评估、绩效评估、集体决策，文件及材料有《喀什地区叶城县2024年综合发展与环境改善工程可行性研究报告（代项目建议书）》得0.5分。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综上，该指标满分为2分，根据评分标准得2分。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①项目严格按照《2024年自治区分行业分领域绩效指标体系》、《喀什地区叶城县2024年综合发展与环境改善工程可行性研究报告（代项目建议书）》设置了《项目支出绩效目标表》得0.5分。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②项目绩效目标中设立了项目涉及村个数、项目（工程）验收合格率、项目（工程）完成及时率等核心指标内容，与本项目实际工作内容相关，得1分；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③项目预期产出效益和效果是符合正常的业绩水平得0.5分。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经查证《项目支出绩效目标表》、《喀什地区发展改革委关于下达2024年第三批自治区预算内投资计划的通知（喀地财建〔2024〕29号））等相关资料，本项目预算确定金额、预算批复的项目投资额都为230万元，故绩效目标金额与预算确定的项目投资额或资金量相匹配，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综上，该指标满分3分，根据评分标准得3分。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7个，定量指标6个，定性指标1个，指标量化率为85.71%，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项目涉及村个数6个，三级指标的年度指标值与年度绩效目标中任务数一致，已设置时效指标“项目完成及时率”。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①根据《2024年综合发展与环境改善工程项目会议纪要》，本项目预算编制经过科学论证，得0.5分。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②根据《2024年综合发展与环境改善工程项目实施方案》，本项目预算内容与项目内容匹配，得0.5分。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230万元，我单位在预算申请中严格按照项目实施内容及测算标准进行核算，其中：基础设施建设230万元。预算确定资金量与实际工作任务相匹配。本项目预算额度测算依据充分，严格按照标准编制，预算确定资金量与实际工作任务相匹配；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综上，该指标满分3分，根据评分标准得3分。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①本项目以《喀地财建〔2024〕29号》文件为依据进行资金分配，预算资金分配依据充分，得1分。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②根据本项目《2024年综合发展与环境改善工程项目实施方案》资金分配额度合理，与我单位实际情况相适应，得1分。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综上，该指标满分2分，根据评分标准得2分。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5个三级指标构成，权重分为20分，实际得分19.51分，得分率为97.55%。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230万元，其中：财政安排资金230万元，其他资金0万元，实际到位资金230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实际支出资金192.63万元，预算执行率=实际支出资金192.63万元/实际到位资金230万元×100%=83.75%；通过分析可知，该项目预算编制较为详细，项目资金支出总体能够按照预算执行，根据评分标准，该指标扣0.49分，得2.51分,偏差原因：该项目目前已完工并验收，剩余资金将退回国库；改进措施：加强资金管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检查项目资金申请文件、国库支付凭证等财务资料，得出本项目资金支出符合国家财经法规、《政府会计制度》、《叶城县河源镇人民政府单位资金管理办法》、《叶城县河源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①我单位制定了《叶城县河园镇人民政府预算绩效管理工作实施办法》等健全完整的各项管理制度，得2分。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综上，该指标满分5分，根据评分标准得5分。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叶城县河源镇人民政府资金管理办法》《叶城县河源镇人民政府收支业务管理制度》《叶城县河源镇人民政府采购业务管理制度》《叶城县河源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河源镇人民政府项目工作领导小组，由张坤任组长，负责项目的组织工作；刘恩瑀、蓝存媛任副组长，负责项目的实施工作；组员包括：买买提江·阿不力孜、刘梦玉，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项目产出类指标包括产出数量、产出质量、产出时效、产出成本四方面的内容，由4个三级指标构成，权重分为45分，实际得分42.56分，得分率为90.71%。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项目涉及村个数指标，预期指标值为6个，实际完成值为6个，指标完成率为6个，与预期目标一致，根据评分标准，该指标不扣分，得10分。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项目（工程）验收合格率指标，预期指标值为100%，实际完成值为100%，指标完成率为100%，与预期目标一致，根据评分标准，该指标不扣分，得10分。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项目完工时间指标，预期指标值为2024年12月20日，实际完成值为2024年11月1日，指标完成率为100%，与预期目标一致，根据评分标准，该指标不扣分，得5分。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项目（工程）完成及时率指标，预期指标值为100%，实际完成值为100%，指标完成率为100%，与预期目标一致，根据评分标准，该指标不扣分，得5分。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每个村平均投资金额指标，预期指标值为小于等于38.33万元，实际完成值为32.1万元，指标完成率为83.74%，与预期目标不一致，项目经费都能控制绩效目标范围内，根据评分标准，该指标扣2.44分，得12.56分。偏差原因：该项目目前已完工并验收，剩余资金将退回国库；改进措施：加强资金管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合计得12.56分。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基层民生改善、提升基础设施条件、推动经济健康发展指标，该指标预期指标值为效果明显，实际完成值为效果明显，指标完成率为100%，与预期指标一致，根据评分标准，该指标不扣分，得10分。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对于“满意度指标：受益群众满意度100%，该指标预期指标值为95%，实际完成值为95%，指标完成率为100%，达到预期目标，根据评分标准，该指标不扣分,得10分。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综合发展与环境改善工程项目预算230万元，到位230万元，实际支出192.63万元，预算执行率为83.74%，项目绩效指标总体完成率为97.7%，偏差率为13.96%，偏差原因：该项目目前已完工并验收，剩余资金将退回国库；改进措施：加强资金管理。</w:t>
      </w:r>
    </w:p>
    <w:p>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项目完工后改善村级公务服务设施，改善人居环境，提高村民生活水平，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该项目因为跟后期项目冲突，无法按照实际竣工日期完工，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1.加强监督检查，健全问责机制。将专项公用经费的监督检查纳入常态化工作，定期开展专项审计和检查，及时发现问题和纠正问题。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2.优化资金分配，保障基层需求。在资金分配上向乡镇，村委会等基层单位倾斜，确保基层工作正常运转。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3.细化资金管理制度。明确负面清单，制定资金使用的“禁止性条款清单”等，并加强警示。</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527B555D"/>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e4a80b-1242-4c1d-bacc-9e550a9e623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Administrator</cp:lastModifiedBy>
  <cp:lastPrinted>2018-12-31T10:56:00Z</cp:lastPrinted>
  <dcterms:modified xsi:type="dcterms:W3CDTF">2025-11-03T10:03:14Z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299A846E7742483FADE25949A45A48D3_12</vt:lpwstr>
  </property>
</Properties>
</file>