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AE91CE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叶城县河园镇人民政府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8EE291">
      <w:r>
        <w:br w:type="page"/>
      </w:r>
    </w:p>
    <w:p w14:paraId="3551377F">
      <w:pPr>
        <w:spacing w:line="640" w:lineRule="exact"/>
        <w:jc w:val="center"/>
        <w:outlineLvl w:val="1"/>
      </w:pPr>
      <w:r>
        <w:rPr>
          <w:rFonts w:ascii="黑体" w:hAnsi="黑体" w:eastAsia="黑体"/>
          <w:sz w:val="32"/>
        </w:rPr>
        <w:t>第一部分 单位概况</w:t>
      </w:r>
    </w:p>
    <w:p w14:paraId="6086D454">
      <w:pPr>
        <w:spacing w:line="640" w:lineRule="exact"/>
        <w:ind w:firstLine="640"/>
        <w:jc w:val="both"/>
        <w:outlineLvl w:val="2"/>
      </w:pPr>
      <w:r>
        <w:rPr>
          <w:rFonts w:ascii="黑体" w:hAnsi="黑体" w:eastAsia="黑体"/>
          <w:sz w:val="32"/>
        </w:rPr>
        <w:t>一、主要职能</w:t>
      </w:r>
    </w:p>
    <w:p w14:paraId="3A76543C">
      <w:pPr>
        <w:spacing w:line="580" w:lineRule="exact"/>
        <w:ind w:firstLine="640"/>
        <w:jc w:val="both"/>
      </w:pPr>
      <w:r>
        <w:rPr>
          <w:rFonts w:ascii="仿宋_GB2312" w:hAnsi="仿宋_GB2312" w:eastAsia="仿宋_GB2312"/>
          <w:sz w:val="32"/>
        </w:rPr>
        <w:t>作为乡镇党政机关，其主要职能为：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14:paraId="6321F4B5">
      <w:pPr>
        <w:spacing w:line="640" w:lineRule="exact"/>
        <w:ind w:firstLine="640"/>
        <w:jc w:val="both"/>
        <w:outlineLvl w:val="2"/>
      </w:pPr>
      <w:r>
        <w:rPr>
          <w:rFonts w:ascii="黑体" w:hAnsi="黑体" w:eastAsia="黑体"/>
          <w:sz w:val="32"/>
        </w:rPr>
        <w:t>二、机构设置及人员情况</w:t>
      </w:r>
    </w:p>
    <w:p w14:paraId="35F4DE2D">
      <w:pPr>
        <w:spacing w:line="580" w:lineRule="exact"/>
        <w:ind w:firstLine="640"/>
        <w:jc w:val="both"/>
      </w:pPr>
      <w:r>
        <w:rPr>
          <w:rFonts w:ascii="仿宋_GB2312" w:hAnsi="仿宋_GB2312" w:eastAsia="仿宋_GB2312"/>
          <w:sz w:val="32"/>
        </w:rPr>
        <w:t>叶城县河园镇人民政府2024年度，实有人数118人，其中：在职人员104人，减少14人；离休人员0人，增加0人；退休人员14人,增加1人。</w:t>
      </w:r>
    </w:p>
    <w:p w14:paraId="5E4E6A47">
      <w:pPr>
        <w:spacing w:line="580" w:lineRule="exact"/>
        <w:ind w:firstLine="640"/>
        <w:jc w:val="both"/>
      </w:pPr>
      <w:r>
        <w:rPr>
          <w:rFonts w:ascii="仿宋_GB2312" w:hAnsi="仿宋_GB2312" w:eastAsia="仿宋_GB2312"/>
          <w:sz w:val="32"/>
        </w:rPr>
        <w:t>叶城县河园镇人民政府无下属预算单位，下设5个科室，分别是：党政办、社会事务办、综治办、党建办、经济发展办。</w:t>
      </w:r>
    </w:p>
    <w:p w14:paraId="43CC6CC0">
      <w:r>
        <w:br w:type="page"/>
      </w:r>
    </w:p>
    <w:p w14:paraId="74A052A1">
      <w:pPr>
        <w:spacing w:line="240" w:lineRule="auto"/>
        <w:jc w:val="center"/>
        <w:outlineLvl w:val="1"/>
      </w:pPr>
      <w:r>
        <w:rPr>
          <w:rFonts w:ascii="黑体" w:hAnsi="黑体" w:eastAsia="黑体"/>
          <w:sz w:val="32"/>
        </w:rPr>
        <w:t>第二部分 部门决算情况说明</w:t>
      </w:r>
    </w:p>
    <w:p w14:paraId="44917BB5">
      <w:pPr>
        <w:spacing w:line="640" w:lineRule="exact"/>
        <w:ind w:firstLine="640"/>
        <w:jc w:val="both"/>
        <w:outlineLvl w:val="2"/>
      </w:pPr>
      <w:r>
        <w:rPr>
          <w:rFonts w:ascii="黑体" w:hAnsi="黑体" w:eastAsia="黑体"/>
          <w:sz w:val="32"/>
        </w:rPr>
        <w:t>一、收入支出决算总体情况说明</w:t>
      </w:r>
    </w:p>
    <w:p w14:paraId="3ED7D0FB">
      <w:pPr>
        <w:spacing w:line="580" w:lineRule="exact"/>
        <w:ind w:firstLine="640"/>
        <w:jc w:val="both"/>
      </w:pPr>
      <w:r>
        <w:rPr>
          <w:rFonts w:ascii="仿宋_GB2312" w:hAnsi="仿宋_GB2312" w:eastAsia="仿宋_GB2312"/>
          <w:b/>
          <w:sz w:val="32"/>
        </w:rPr>
        <w:t>2024年度收入总计5,715.25万元，</w:t>
      </w:r>
      <w:r>
        <w:rPr>
          <w:rFonts w:ascii="仿宋_GB2312" w:hAnsi="仿宋_GB2312" w:eastAsia="仿宋_GB2312"/>
          <w:b w:val="0"/>
          <w:sz w:val="32"/>
        </w:rPr>
        <w:t>其中：本年收入合计5,715.25万元，使用非财政拨款结余（含专用结余）0.00万元，年初结转和结余0.00万元。</w:t>
      </w:r>
    </w:p>
    <w:p w14:paraId="55E889A5">
      <w:pPr>
        <w:spacing w:line="580" w:lineRule="exact"/>
        <w:ind w:firstLine="640"/>
        <w:jc w:val="both"/>
      </w:pPr>
      <w:r>
        <w:rPr>
          <w:rFonts w:ascii="仿宋_GB2312" w:hAnsi="仿宋_GB2312" w:eastAsia="仿宋_GB2312"/>
          <w:b/>
          <w:sz w:val="32"/>
        </w:rPr>
        <w:t>2024年度支出总计5,715.25万元，</w:t>
      </w:r>
      <w:r>
        <w:rPr>
          <w:rFonts w:ascii="仿宋_GB2312" w:hAnsi="仿宋_GB2312" w:eastAsia="仿宋_GB2312"/>
          <w:b w:val="0"/>
          <w:sz w:val="32"/>
        </w:rPr>
        <w:t>其中：本年支出合计5,715.25万元，结余分配0.00万元，年末结转和结余0.00万元。</w:t>
      </w:r>
    </w:p>
    <w:p w14:paraId="23AFB21A">
      <w:pPr>
        <w:spacing w:line="580" w:lineRule="exact"/>
        <w:ind w:firstLine="640"/>
        <w:jc w:val="both"/>
      </w:pPr>
      <w:r>
        <w:rPr>
          <w:rFonts w:ascii="仿宋_GB2312" w:hAnsi="仿宋_GB2312" w:eastAsia="仿宋_GB2312"/>
          <w:b w:val="0"/>
          <w:sz w:val="32"/>
        </w:rPr>
        <w:t>收入支出总体与上年相比，减少638.89万元，下降10.05%，主要原因是：本年减少公共文化服务体系建设、2023年第二批综合发展与环境改善工程自治区预算内投资、叶城县2023年萨依巴格乡林果地土地平整、叶城县萨依巴格乡防渗渠建设等项目经费，导致相关经费减少。</w:t>
      </w:r>
      <w:r>
        <w:rPr>
          <w:rFonts w:hint="eastAsia" w:ascii="仿宋_GB2312" w:hAnsi="仿宋_GB2312" w:eastAsia="仿宋_GB2312"/>
          <w:b w:val="0"/>
          <w:sz w:val="32"/>
          <w:lang w:val="en-US" w:eastAsia="zh-CN"/>
        </w:rPr>
        <w:t>减少</w:t>
      </w:r>
      <w:r>
        <w:rPr>
          <w:rFonts w:hint="eastAsia" w:ascii="仿宋_GB2312" w:hAnsi="仿宋_GB2312" w:eastAsia="仿宋_GB2312"/>
          <w:b w:val="0"/>
          <w:sz w:val="32"/>
        </w:rPr>
        <w:t>存量资金</w:t>
      </w:r>
      <w:r>
        <w:rPr>
          <w:rFonts w:hint="eastAsia" w:ascii="仿宋_GB2312" w:hAnsi="仿宋_GB2312" w:eastAsia="仿宋_GB2312"/>
          <w:b w:val="0"/>
          <w:sz w:val="32"/>
          <w:lang w:val="en-US" w:eastAsia="zh-CN"/>
        </w:rPr>
        <w:t>用于</w:t>
      </w:r>
      <w:r>
        <w:rPr>
          <w:rFonts w:hint="eastAsia" w:ascii="仿宋_GB2312" w:hAnsi="仿宋_GB2312" w:eastAsia="仿宋_GB2312"/>
          <w:b w:val="0"/>
          <w:sz w:val="32"/>
        </w:rPr>
        <w:t>2022年喀什地区叶城县综合发展与环境改善工程项目</w:t>
      </w:r>
    </w:p>
    <w:p w14:paraId="5ECE9FCD">
      <w:pPr>
        <w:spacing w:line="640" w:lineRule="exact"/>
        <w:ind w:firstLine="640"/>
        <w:jc w:val="both"/>
        <w:outlineLvl w:val="2"/>
      </w:pPr>
      <w:r>
        <w:rPr>
          <w:rFonts w:ascii="黑体" w:hAnsi="黑体" w:eastAsia="黑体"/>
          <w:sz w:val="32"/>
        </w:rPr>
        <w:t>二、收入决算情况说明</w:t>
      </w:r>
    </w:p>
    <w:p w14:paraId="2A960993">
      <w:pPr>
        <w:spacing w:line="580" w:lineRule="exact"/>
        <w:ind w:firstLine="640"/>
        <w:jc w:val="both"/>
      </w:pPr>
      <w:r>
        <w:rPr>
          <w:rFonts w:ascii="仿宋_GB2312" w:hAnsi="仿宋_GB2312" w:eastAsia="仿宋_GB2312"/>
          <w:b/>
          <w:sz w:val="32"/>
        </w:rPr>
        <w:t>本年收入5,715.25万元，</w:t>
      </w:r>
      <w:r>
        <w:rPr>
          <w:rFonts w:ascii="仿宋_GB2312" w:hAnsi="仿宋_GB2312" w:eastAsia="仿宋_GB2312"/>
          <w:b w:val="0"/>
          <w:sz w:val="32"/>
        </w:rPr>
        <w:t>其中：财政拨款收入5,707.73万元，占99.87%；上级补助收入0.00万元，占0.00%；事业收入0.00万元，占0.00%；经营收入0.00万元，占0.00%；附属单位上缴收入0.00万元，占0.00%；其他收入7.53万元，占0.13%。</w:t>
      </w:r>
    </w:p>
    <w:p w14:paraId="48C06ADE">
      <w:pPr>
        <w:spacing w:line="640" w:lineRule="exact"/>
        <w:ind w:firstLine="640"/>
        <w:jc w:val="both"/>
        <w:outlineLvl w:val="2"/>
      </w:pPr>
      <w:r>
        <w:rPr>
          <w:rFonts w:ascii="黑体" w:hAnsi="黑体" w:eastAsia="黑体"/>
          <w:sz w:val="32"/>
        </w:rPr>
        <w:t>三、支出决算情况说明</w:t>
      </w:r>
    </w:p>
    <w:p w14:paraId="381AF654">
      <w:pPr>
        <w:spacing w:line="580" w:lineRule="exact"/>
        <w:ind w:firstLine="640"/>
        <w:jc w:val="both"/>
      </w:pPr>
      <w:r>
        <w:rPr>
          <w:rFonts w:ascii="仿宋_GB2312" w:hAnsi="仿宋_GB2312" w:eastAsia="仿宋_GB2312"/>
          <w:b/>
          <w:sz w:val="32"/>
        </w:rPr>
        <w:t>本年支出5,715.25万元，</w:t>
      </w:r>
      <w:r>
        <w:rPr>
          <w:rFonts w:ascii="仿宋_GB2312" w:hAnsi="仿宋_GB2312" w:eastAsia="仿宋_GB2312"/>
          <w:b w:val="0"/>
          <w:sz w:val="32"/>
        </w:rPr>
        <w:t>其中：基本支出2,247.33万元，占39.32%；项目支出3,467.92万元，占60.68%；上缴上级支出0.00万元，占0.00%；经营支出0.00万元，占0.00%；对附属单位补助支出0.00万元，占0.00%。</w:t>
      </w:r>
    </w:p>
    <w:p w14:paraId="6756F5B8">
      <w:pPr>
        <w:spacing w:line="640" w:lineRule="exact"/>
        <w:ind w:firstLine="640"/>
        <w:jc w:val="both"/>
        <w:outlineLvl w:val="2"/>
      </w:pPr>
      <w:r>
        <w:rPr>
          <w:rFonts w:ascii="黑体" w:hAnsi="黑体" w:eastAsia="黑体"/>
          <w:sz w:val="32"/>
        </w:rPr>
        <w:t>四、财政拨款收入支出决算总体情况说明</w:t>
      </w:r>
    </w:p>
    <w:p w14:paraId="077DBC3C">
      <w:pPr>
        <w:spacing w:line="580" w:lineRule="exact"/>
        <w:ind w:firstLine="640"/>
        <w:jc w:val="both"/>
      </w:pPr>
      <w:r>
        <w:rPr>
          <w:rFonts w:ascii="仿宋_GB2312" w:hAnsi="仿宋_GB2312" w:eastAsia="仿宋_GB2312"/>
          <w:b/>
          <w:sz w:val="32"/>
        </w:rPr>
        <w:t>2024年度财政拨款收入总计5,707.73万元，</w:t>
      </w:r>
      <w:r>
        <w:rPr>
          <w:rFonts w:ascii="仿宋_GB2312" w:hAnsi="仿宋_GB2312" w:eastAsia="仿宋_GB2312"/>
          <w:b w:val="0"/>
          <w:sz w:val="32"/>
        </w:rPr>
        <w:t>其中：年初财政拨款结转和结余0.00万元，本年财政拨款收入5,707.73万元。</w:t>
      </w:r>
      <w:r>
        <w:rPr>
          <w:rFonts w:ascii="仿宋_GB2312" w:hAnsi="仿宋_GB2312" w:eastAsia="仿宋_GB2312"/>
          <w:b/>
          <w:sz w:val="32"/>
        </w:rPr>
        <w:t>财政拨款支出总计5,707.73万元，</w:t>
      </w:r>
      <w:r>
        <w:rPr>
          <w:rFonts w:ascii="仿宋_GB2312" w:hAnsi="仿宋_GB2312" w:eastAsia="仿宋_GB2312"/>
          <w:b w:val="0"/>
          <w:sz w:val="32"/>
        </w:rPr>
        <w:t>其中：年末财政拨款结转和结余0.00万元，本年财政拨款支出5,707.73万元。</w:t>
      </w:r>
    </w:p>
    <w:p w14:paraId="18A49CE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485.78万元，下降7.84%，主要原因是：本年减少公共文化服务体系建设、2023年第二批综合发展与环境改善工程自治区预算内投资、叶城县2023年萨依巴格乡林果地土地平整、叶城县萨依巴格乡防渗渠建设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2,888.47万元，决算数5,707.73万元，预决算差异率97.60%，主要原因是：年中追加2024年农村公路建设以奖代补、2024年综合发展与环境改善工程、2024年叶城县依提木孔镇-萨依巴格乡道路建设项目-车辆购置税用于农村公路</w:t>
      </w:r>
      <w:r>
        <w:rPr>
          <w:rFonts w:hint="eastAsia" w:ascii="仿宋_GB2312" w:hAnsi="仿宋_GB2312" w:eastAsia="仿宋_GB2312"/>
          <w:b w:val="0"/>
          <w:sz w:val="32"/>
          <w:lang w:eastAsia="zh-CN"/>
        </w:rPr>
        <w:t>建设</w:t>
      </w:r>
      <w:r>
        <w:rPr>
          <w:rFonts w:ascii="仿宋_GB2312" w:hAnsi="仿宋_GB2312" w:eastAsia="仿宋_GB2312"/>
          <w:b w:val="0"/>
          <w:sz w:val="32"/>
        </w:rPr>
        <w:t>资金等项目经费，导致预决算差异。</w:t>
      </w:r>
    </w:p>
    <w:p w14:paraId="302282CE">
      <w:pPr>
        <w:spacing w:line="640" w:lineRule="exact"/>
        <w:ind w:firstLine="640"/>
        <w:jc w:val="both"/>
        <w:outlineLvl w:val="2"/>
      </w:pPr>
      <w:r>
        <w:rPr>
          <w:rFonts w:ascii="黑体" w:hAnsi="黑体" w:eastAsia="黑体"/>
          <w:sz w:val="32"/>
        </w:rPr>
        <w:t>五、一般公共预算财政拨款支出决算情况说明</w:t>
      </w:r>
    </w:p>
    <w:p w14:paraId="49B71013">
      <w:pPr>
        <w:spacing w:line="640" w:lineRule="exact"/>
        <w:ind w:firstLine="640"/>
        <w:jc w:val="both"/>
        <w:outlineLvl w:val="3"/>
      </w:pPr>
      <w:r>
        <w:rPr>
          <w:rFonts w:ascii="楷体_GB2312" w:hAnsi="楷体_GB2312" w:eastAsia="楷体_GB2312"/>
          <w:b/>
          <w:sz w:val="32"/>
        </w:rPr>
        <w:t>（一）一般公共预算财政拨款支出决算总体情况</w:t>
      </w:r>
    </w:p>
    <w:p w14:paraId="084EE7BE">
      <w:pPr>
        <w:spacing w:line="580" w:lineRule="exact"/>
        <w:ind w:firstLine="640"/>
        <w:jc w:val="both"/>
      </w:pPr>
      <w:r>
        <w:rPr>
          <w:rFonts w:ascii="仿宋_GB2312" w:hAnsi="仿宋_GB2312" w:eastAsia="仿宋_GB2312"/>
          <w:b/>
          <w:sz w:val="32"/>
        </w:rPr>
        <w:t>2024年度一般公共预算财政拨款支出5,707.73万元，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减少485.78万元，下降7.84%，主要原因是：本年减少公共文化服务体系建设、2023年第二批综合发展与环境改善工程自治区预算内投资、叶城县2023年萨依巴格乡林果地土地平整、叶城县萨依巴格乡防渗渠建设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2,888.47万元，决算数5,707.73万元，预决算差异率97.60%，主要原因是：年中追加2024年农村公路建设以奖代补、2024年综合发展与环境改善工程、2024年叶城县依提木孔镇-萨依巴格乡道路建设项目-车辆购置税用于农村公路</w:t>
      </w:r>
      <w:r>
        <w:rPr>
          <w:rFonts w:hint="eastAsia" w:ascii="仿宋_GB2312" w:hAnsi="仿宋_GB2312" w:eastAsia="仿宋_GB2312"/>
          <w:b w:val="0"/>
          <w:sz w:val="32"/>
          <w:lang w:eastAsia="zh-CN"/>
        </w:rPr>
        <w:t>建设</w:t>
      </w:r>
      <w:r>
        <w:rPr>
          <w:rFonts w:ascii="仿宋_GB2312" w:hAnsi="仿宋_GB2312" w:eastAsia="仿宋_GB2312"/>
          <w:b w:val="0"/>
          <w:sz w:val="32"/>
        </w:rPr>
        <w:t>资金等项目经费，导致预决算差异。</w:t>
      </w:r>
    </w:p>
    <w:p w14:paraId="1E7D9F98">
      <w:pPr>
        <w:spacing w:line="640" w:lineRule="exact"/>
        <w:ind w:firstLine="640"/>
        <w:jc w:val="both"/>
        <w:outlineLvl w:val="3"/>
      </w:pPr>
      <w:r>
        <w:rPr>
          <w:rFonts w:ascii="楷体_GB2312" w:hAnsi="楷体_GB2312" w:eastAsia="楷体_GB2312"/>
          <w:b/>
          <w:sz w:val="32"/>
        </w:rPr>
        <w:t>（二）一般公共预算财政拨款支出决算结构情况</w:t>
      </w:r>
    </w:p>
    <w:p w14:paraId="3F592BEA">
      <w:pPr>
        <w:spacing w:line="580" w:lineRule="exact"/>
        <w:ind w:firstLine="640"/>
        <w:jc w:val="both"/>
      </w:pPr>
      <w:r>
        <w:rPr>
          <w:rFonts w:ascii="仿宋_GB2312" w:hAnsi="仿宋_GB2312" w:eastAsia="仿宋_GB2312"/>
          <w:b w:val="0"/>
          <w:sz w:val="32"/>
        </w:rPr>
        <w:t>1.一般公共服务支出(类)2,016.17万元,占35.32%。</w:t>
      </w:r>
    </w:p>
    <w:p w14:paraId="43A25C91">
      <w:pPr>
        <w:spacing w:line="580" w:lineRule="exact"/>
        <w:ind w:firstLine="640"/>
        <w:jc w:val="both"/>
      </w:pPr>
      <w:r>
        <w:rPr>
          <w:rFonts w:ascii="仿宋_GB2312" w:hAnsi="仿宋_GB2312" w:eastAsia="仿宋_GB2312"/>
          <w:b w:val="0"/>
          <w:sz w:val="32"/>
        </w:rPr>
        <w:t>2.公共安全支出(类)4.00万元,占0.07%。</w:t>
      </w:r>
    </w:p>
    <w:p w14:paraId="0D09C0FE">
      <w:pPr>
        <w:spacing w:line="580" w:lineRule="exact"/>
        <w:ind w:firstLine="640"/>
        <w:jc w:val="both"/>
      </w:pPr>
      <w:r>
        <w:rPr>
          <w:rFonts w:ascii="仿宋_GB2312" w:hAnsi="仿宋_GB2312" w:eastAsia="仿宋_GB2312"/>
          <w:b w:val="0"/>
          <w:sz w:val="32"/>
        </w:rPr>
        <w:t>3.文化旅游体育与传媒支出(类)182.42万元,占3.20%。</w:t>
      </w:r>
    </w:p>
    <w:p w14:paraId="6B75B597">
      <w:pPr>
        <w:spacing w:line="580" w:lineRule="exact"/>
        <w:ind w:firstLine="640"/>
        <w:jc w:val="both"/>
      </w:pPr>
      <w:r>
        <w:rPr>
          <w:rFonts w:ascii="仿宋_GB2312" w:hAnsi="仿宋_GB2312" w:eastAsia="仿宋_GB2312"/>
          <w:b w:val="0"/>
          <w:sz w:val="32"/>
        </w:rPr>
        <w:t>4.社会保障和就业支出(类)247.44万元,占4.34%。</w:t>
      </w:r>
    </w:p>
    <w:p w14:paraId="0E8E408E">
      <w:pPr>
        <w:spacing w:line="580" w:lineRule="exact"/>
        <w:ind w:firstLine="640"/>
        <w:jc w:val="both"/>
      </w:pPr>
      <w:r>
        <w:rPr>
          <w:rFonts w:ascii="仿宋_GB2312" w:hAnsi="仿宋_GB2312" w:eastAsia="仿宋_GB2312"/>
          <w:b w:val="0"/>
          <w:sz w:val="32"/>
        </w:rPr>
        <w:t>5.卫生健康支出(类)116.98万元,占2.05%。</w:t>
      </w:r>
    </w:p>
    <w:p w14:paraId="49912E86">
      <w:pPr>
        <w:spacing w:line="580" w:lineRule="exact"/>
        <w:ind w:firstLine="640"/>
        <w:jc w:val="both"/>
      </w:pPr>
      <w:r>
        <w:rPr>
          <w:rFonts w:ascii="仿宋_GB2312" w:hAnsi="仿宋_GB2312" w:eastAsia="仿宋_GB2312"/>
          <w:b w:val="0"/>
          <w:sz w:val="32"/>
        </w:rPr>
        <w:t>6.城乡社区支出(类)3.19万元,占0.06%。</w:t>
      </w:r>
    </w:p>
    <w:p w14:paraId="239F36DF">
      <w:pPr>
        <w:spacing w:line="580" w:lineRule="exact"/>
        <w:ind w:firstLine="640"/>
        <w:jc w:val="both"/>
      </w:pPr>
      <w:r>
        <w:rPr>
          <w:rFonts w:ascii="仿宋_GB2312" w:hAnsi="仿宋_GB2312" w:eastAsia="仿宋_GB2312"/>
          <w:b w:val="0"/>
          <w:sz w:val="32"/>
        </w:rPr>
        <w:t>7.农林水支出(类)2,745.27万元,占48.10%。</w:t>
      </w:r>
    </w:p>
    <w:p w14:paraId="2300AEC9">
      <w:pPr>
        <w:spacing w:line="580" w:lineRule="exact"/>
        <w:ind w:firstLine="640"/>
        <w:jc w:val="both"/>
      </w:pPr>
      <w:r>
        <w:rPr>
          <w:rFonts w:ascii="仿宋_GB2312" w:hAnsi="仿宋_GB2312" w:eastAsia="仿宋_GB2312"/>
          <w:b w:val="0"/>
          <w:sz w:val="32"/>
        </w:rPr>
        <w:t>8.交通运输支出(类)210.67万元,占3.69%。</w:t>
      </w:r>
    </w:p>
    <w:p w14:paraId="6A40A12A">
      <w:pPr>
        <w:spacing w:line="580" w:lineRule="exact"/>
        <w:ind w:firstLine="640"/>
        <w:jc w:val="both"/>
      </w:pPr>
      <w:r>
        <w:rPr>
          <w:rFonts w:ascii="仿宋_GB2312" w:hAnsi="仿宋_GB2312" w:eastAsia="仿宋_GB2312"/>
          <w:b w:val="0"/>
          <w:sz w:val="32"/>
        </w:rPr>
        <w:t>9.住房保障支出(类)181.59万元,占3.18%。</w:t>
      </w:r>
    </w:p>
    <w:p w14:paraId="1379361A">
      <w:pPr>
        <w:spacing w:line="640" w:lineRule="exact"/>
        <w:ind w:firstLine="640"/>
        <w:jc w:val="both"/>
        <w:outlineLvl w:val="3"/>
      </w:pPr>
      <w:r>
        <w:rPr>
          <w:rFonts w:ascii="楷体_GB2312" w:hAnsi="楷体_GB2312" w:eastAsia="楷体_GB2312"/>
          <w:b/>
          <w:sz w:val="32"/>
        </w:rPr>
        <w:t>（三）一般公共预算财政拨款支出决算具体情况</w:t>
      </w:r>
    </w:p>
    <w:p w14:paraId="22566A5C">
      <w:pPr>
        <w:spacing w:line="580" w:lineRule="exact"/>
        <w:ind w:firstLine="640"/>
        <w:jc w:val="both"/>
      </w:pPr>
      <w:r>
        <w:rPr>
          <w:rFonts w:ascii="仿宋_GB2312" w:hAnsi="仿宋_GB2312" w:eastAsia="仿宋_GB2312"/>
          <w:b w:val="0"/>
          <w:sz w:val="32"/>
        </w:rPr>
        <w:t>1.一般公共服务支出(类)人大事务(款)代表工作(项):支出决算数为2.52万元，比上年决算减少1.52万元，下降37.62%,主要原因是：本年减少自治区人大代表活动经费，导致相关经费减少。</w:t>
      </w:r>
    </w:p>
    <w:p w14:paraId="03EBFC33">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2.一般公共服务支出(类)政府办公厅（室）及相关机构事务(款)行政运行(项):支出决算数为1,706.32万元，比上年决算减少176.39万元，下降9.37%,主要原因是：本年在职人员减少，相应人员经费较上年减少。</w:t>
      </w:r>
    </w:p>
    <w:p w14:paraId="2B0B5910">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33.40万元，比上年决算减少15.41万元，下降31.57%,主要原因是：本年减少萨依巴格乡2023年县级专项公用经费，导致相关经费减少。</w:t>
      </w:r>
    </w:p>
    <w:p w14:paraId="5404BDFF">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4.一般公共服务支出(类)纪检监察事务(款)其他纪检监察事务支出(项):支出决算数为2.00万元，比上年决算增加1.00万元，增长100.00%,主要原因是：本年增加专项项目经费，导致相关经费增加。</w:t>
      </w:r>
    </w:p>
    <w:p w14:paraId="01C23C04">
      <w:pPr>
        <w:spacing w:line="580" w:lineRule="exact"/>
        <w:ind w:firstLine="640"/>
        <w:jc w:val="both"/>
      </w:pPr>
      <w:r>
        <w:rPr>
          <w:rFonts w:ascii="仿宋_GB2312" w:hAnsi="仿宋_GB2312" w:eastAsia="仿宋_GB2312"/>
          <w:b w:val="0"/>
          <w:sz w:val="32"/>
        </w:rPr>
        <w:t>5.一般公共服务支出(类)组织事务(款)其他组织事务支出(项):支出决算数为268.93万元，比上年决算增加80.90万元，增长43.03%,主要原因是：本年增加专项项目经费，导致相关经费增加。</w:t>
      </w:r>
    </w:p>
    <w:p w14:paraId="19F6DF0F">
      <w:pPr>
        <w:spacing w:line="580" w:lineRule="exact"/>
        <w:ind w:firstLine="640"/>
        <w:jc w:val="both"/>
      </w:pPr>
      <w:r>
        <w:rPr>
          <w:rFonts w:ascii="仿宋_GB2312" w:hAnsi="仿宋_GB2312" w:eastAsia="仿宋_GB2312"/>
          <w:b w:val="0"/>
          <w:sz w:val="32"/>
        </w:rPr>
        <w:t>6.一般公共服务支出(类)统战事务(款)宗教事务(项):支出决算数为3.00万元，比上年决算增加3.00万元，增长100.00%,主要原因是：本年增加专项项目经费，导致相关经费增加。</w:t>
      </w:r>
    </w:p>
    <w:p w14:paraId="7A9EEB51">
      <w:pPr>
        <w:spacing w:line="580" w:lineRule="exact"/>
        <w:ind w:firstLine="640"/>
        <w:jc w:val="both"/>
      </w:pPr>
      <w:r>
        <w:rPr>
          <w:rFonts w:ascii="仿宋_GB2312" w:hAnsi="仿宋_GB2312" w:eastAsia="仿宋_GB2312"/>
          <w:b w:val="0"/>
          <w:sz w:val="32"/>
        </w:rPr>
        <w:t>7.一般公共服务支出(类)统战事务(款)其他统战事务支出(项):支出决算数为0.00万元，比上年决算减少9.00万元，下降100.00%,主要原因是：本年减少专项项目经费，导致相关经费减少。</w:t>
      </w:r>
    </w:p>
    <w:p w14:paraId="617024AA">
      <w:pPr>
        <w:spacing w:line="580" w:lineRule="exact"/>
        <w:ind w:firstLine="640"/>
        <w:jc w:val="both"/>
      </w:pPr>
      <w:r>
        <w:rPr>
          <w:rFonts w:ascii="仿宋_GB2312" w:hAnsi="仿宋_GB2312" w:eastAsia="仿宋_GB2312"/>
          <w:b w:val="0"/>
          <w:sz w:val="32"/>
        </w:rPr>
        <w:t>8.公共安全支出(类)其他公共安全支出(款)其他公共安全支出(项):支出决算数为4.00万元，比上年决算减少6.00万元，下降60.00%,主要原因是：本年减少专项项目经费，导致相关经费减少。</w:t>
      </w:r>
    </w:p>
    <w:p w14:paraId="3CA111FD">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170.66万元，比上年决算增加166.04万元，增长3,593.94%,主要原因是：本年增加中央补助地方美术馆、公共图书馆、文化馆（站）免费开放补助资金项目经费，导致相关经费增加。</w:t>
      </w:r>
    </w:p>
    <w:p w14:paraId="43837CE6">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11.76万元，比上年决算减少20.00万元，下降62.97%,主要原因是：本年减少公共文化服务体系建设项目经费，导致相关经费减少。</w:t>
      </w:r>
    </w:p>
    <w:p w14:paraId="2B30A25A">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11.社会保障和就业支出(类)民政管理事务(款)其他民政管理事务支出(项):支出决算数为5.00万元，比上年决算增加0.00万元，增长0.00%,主要原因是：本年幸福大院经费与上年一致，无变化。</w:t>
      </w:r>
    </w:p>
    <w:p w14:paraId="7FD55D1F">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12.社会保障和就业支出(类)行政事业单位养老支出(款)行政单位离退休(项):支出决算数为17.15万元，比上年决算减少2.33万元，下降11.96%,主要原因是：本年</w:t>
      </w:r>
      <w:r>
        <w:rPr>
          <w:rFonts w:hint="eastAsia" w:ascii="仿宋_GB2312" w:hAnsi="仿宋_GB2312" w:eastAsia="仿宋_GB2312"/>
          <w:b w:val="0"/>
          <w:sz w:val="32"/>
          <w:lang w:val="en-US" w:eastAsia="zh-CN"/>
        </w:rPr>
        <w:t>未补发</w:t>
      </w:r>
      <w:r>
        <w:rPr>
          <w:rFonts w:ascii="仿宋_GB2312" w:hAnsi="仿宋_GB2312" w:eastAsia="仿宋_GB2312"/>
          <w:b w:val="0"/>
          <w:sz w:val="32"/>
        </w:rPr>
        <w:t>退休人员</w:t>
      </w:r>
      <w:r>
        <w:rPr>
          <w:rFonts w:hint="eastAsia" w:ascii="仿宋_GB2312" w:hAnsi="仿宋_GB2312" w:eastAsia="仿宋_GB2312"/>
          <w:b w:val="0"/>
          <w:sz w:val="32"/>
          <w:lang w:val="en-US" w:eastAsia="zh-CN"/>
        </w:rPr>
        <w:t>绩效</w:t>
      </w:r>
      <w:r>
        <w:rPr>
          <w:rFonts w:ascii="仿宋_GB2312" w:hAnsi="仿宋_GB2312" w:eastAsia="仿宋_GB2312"/>
          <w:b w:val="0"/>
          <w:sz w:val="32"/>
        </w:rPr>
        <w:t>，行政单位离退休</w:t>
      </w:r>
      <w:r>
        <w:rPr>
          <w:rFonts w:hint="eastAsia" w:ascii="仿宋_GB2312" w:hAnsi="仿宋_GB2312" w:eastAsia="仿宋_GB2312"/>
          <w:b w:val="0"/>
          <w:sz w:val="32"/>
          <w:lang w:val="en-US" w:eastAsia="zh-CN"/>
        </w:rPr>
        <w:t>经费</w:t>
      </w:r>
      <w:r>
        <w:rPr>
          <w:rFonts w:ascii="仿宋_GB2312" w:hAnsi="仿宋_GB2312" w:eastAsia="仿宋_GB2312"/>
          <w:b w:val="0"/>
          <w:sz w:val="32"/>
        </w:rPr>
        <w:t>减少。</w:t>
      </w:r>
    </w:p>
    <w:p w14:paraId="73E0FF6A">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225.30万元，比上年决算增加52.72万元，增长30.55%,主要原因是：本年在职人员工资基数调增，养老缴费基数上涨，相应支出增加。</w:t>
      </w:r>
    </w:p>
    <w:p w14:paraId="012A2E52">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14.社会保障和就业支出(类)行政事业单位养老支出(款)机关事业单位职业年金缴费支出(项):支出决算数为0.00万元，比上年决算减少7.69万元，下降100.00%,主要原因是：本年</w:t>
      </w:r>
      <w:r>
        <w:rPr>
          <w:rFonts w:hint="eastAsia" w:ascii="仿宋_GB2312" w:hAnsi="仿宋_GB2312" w:eastAsia="仿宋_GB2312"/>
          <w:b w:val="0"/>
          <w:sz w:val="32"/>
          <w:lang w:val="en-US" w:eastAsia="zh-CN"/>
        </w:rPr>
        <w:t>新增退休人员职业年金次年做实，</w:t>
      </w:r>
      <w:r>
        <w:rPr>
          <w:rFonts w:ascii="仿宋_GB2312" w:hAnsi="仿宋_GB2312" w:eastAsia="仿宋_GB2312"/>
          <w:b w:val="0"/>
          <w:sz w:val="32"/>
        </w:rPr>
        <w:t>职业年金缴费支出</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w:t>
      </w:r>
    </w:p>
    <w:p w14:paraId="6D2365A4">
      <w:pPr>
        <w:spacing w:line="580" w:lineRule="exact"/>
        <w:ind w:firstLine="640"/>
        <w:jc w:val="both"/>
      </w:pPr>
      <w:r>
        <w:rPr>
          <w:rFonts w:ascii="仿宋_GB2312" w:hAnsi="仿宋_GB2312" w:eastAsia="仿宋_GB2312"/>
          <w:b w:val="0"/>
          <w:sz w:val="32"/>
        </w:rPr>
        <w:t>15.卫生健康支出(类)行政事业单位医疗(款)行政单位医疗(项):支出决算数为95.73万元，比上年决算增加22.29万元，增长30.35%,主要原因是：本年在职人员工资基数调增，医疗缴费基数上涨，相应支出增加。</w:t>
      </w:r>
    </w:p>
    <w:p w14:paraId="6C2EAC2E">
      <w:pPr>
        <w:spacing w:line="580" w:lineRule="exact"/>
        <w:ind w:firstLine="640"/>
        <w:jc w:val="both"/>
      </w:pPr>
      <w:r>
        <w:rPr>
          <w:rFonts w:ascii="仿宋_GB2312" w:hAnsi="仿宋_GB2312" w:eastAsia="仿宋_GB2312"/>
          <w:b w:val="0"/>
          <w:sz w:val="32"/>
        </w:rPr>
        <w:t>16.卫生健康支出(类)行政事业单位医疗(款)公务员医疗补助(项):支出决算数为21.25万元，比上年决算增加4.08万元，增长23.76%,主要原因是：本年在职人员工资基数调增，医疗缴费基数上涨，相应支出增加。</w:t>
      </w:r>
    </w:p>
    <w:p w14:paraId="1CC0E93E">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3.19万元，比上年决算减少155.52万元，下降97.99%,主要原因是：本年减少2023年第二批综合发展与环境改善工程自治区预算内投资项目经费，导致相关经费减少。</w:t>
      </w:r>
    </w:p>
    <w:p w14:paraId="23AEB0B1">
      <w:pPr>
        <w:spacing w:line="580" w:lineRule="exact"/>
        <w:ind w:firstLine="640"/>
        <w:jc w:val="both"/>
      </w:pPr>
      <w:r>
        <w:rPr>
          <w:rFonts w:ascii="仿宋_GB2312" w:hAnsi="仿宋_GB2312" w:eastAsia="仿宋_GB2312"/>
          <w:b w:val="0"/>
          <w:sz w:val="32"/>
        </w:rPr>
        <w:t>18.农林水支出(类)农业农村(款)行政运行(项):支出决算数为0.00万元，比上年决算减少61.31万元，下降100.00%,主要原因是：本年科目调整，津贴补贴上年单独列支，本年在主科目列支，导致相关经费减少。</w:t>
      </w:r>
    </w:p>
    <w:p w14:paraId="5298CF68">
      <w:pPr>
        <w:spacing w:line="580" w:lineRule="exact"/>
        <w:ind w:firstLine="640"/>
        <w:jc w:val="both"/>
      </w:pPr>
      <w:r>
        <w:rPr>
          <w:rFonts w:ascii="仿宋_GB2312" w:hAnsi="仿宋_GB2312" w:eastAsia="仿宋_GB2312"/>
          <w:b w:val="0"/>
          <w:sz w:val="32"/>
        </w:rPr>
        <w:t>19.农林水支出(类)农业农村(款)农业生产发展(项):支出决算数为3.52万元，比上年决算增加3.52万元，增长100.00%,主要原因是：本年增加高素质农民培育项目-河园镇萨依巴格（17）村、萨亚特（18）村项目经费，导致相关经费增加。</w:t>
      </w:r>
    </w:p>
    <w:p w14:paraId="5EEE8275">
      <w:pPr>
        <w:spacing w:line="580" w:lineRule="exact"/>
        <w:ind w:firstLine="640"/>
        <w:jc w:val="both"/>
      </w:pPr>
      <w:r>
        <w:rPr>
          <w:rFonts w:ascii="仿宋_GB2312" w:hAnsi="仿宋_GB2312" w:eastAsia="仿宋_GB2312"/>
          <w:b w:val="0"/>
          <w:sz w:val="32"/>
        </w:rPr>
        <w:t>20.农林水支出(类)巩固脱贫攻坚成果衔接乡村振兴(款)农村基础设施建设(项):支出决算数为192.63万元，比上年决算增加192.63万元，增长100.00%,主要原因是：本年增加2024年综合发展与环境改善工程项目经费，导致相关经费增加。</w:t>
      </w:r>
    </w:p>
    <w:p w14:paraId="3483EC60">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2,549.12万元，比上年决算减少819.40万元，下降24.33%,主要原因是：本年减少叶城县2023年萨依巴格乡林果地土地平整、叶城县萨依巴格乡防渗渠建设等项目经费，导致相关经费减少。</w:t>
      </w:r>
    </w:p>
    <w:p w14:paraId="05FDACBA">
      <w:pPr>
        <w:spacing w:line="580" w:lineRule="exact"/>
        <w:ind w:firstLine="640"/>
        <w:jc w:val="both"/>
      </w:pPr>
      <w:r>
        <w:rPr>
          <w:rFonts w:ascii="仿宋_GB2312" w:hAnsi="仿宋_GB2312" w:eastAsia="仿宋_GB2312"/>
          <w:b w:val="0"/>
          <w:sz w:val="32"/>
        </w:rPr>
        <w:t>22.交通运输支出(类)公路水路运输(款)公路建设(项):支出决算数为210.43万元，比上年决算增加210.43万元，增长100.00%,主要原因是：本年增加2024年叶城县依提木孔镇-萨依巴格乡道路建设项目-车辆购置税用于农村公路</w:t>
      </w:r>
      <w:r>
        <w:rPr>
          <w:rFonts w:hint="eastAsia" w:ascii="仿宋_GB2312" w:hAnsi="仿宋_GB2312" w:eastAsia="仿宋_GB2312"/>
          <w:b w:val="0"/>
          <w:sz w:val="32"/>
          <w:lang w:eastAsia="zh-CN"/>
        </w:rPr>
        <w:t>建设</w:t>
      </w:r>
      <w:r>
        <w:rPr>
          <w:rFonts w:ascii="仿宋_GB2312" w:hAnsi="仿宋_GB2312" w:eastAsia="仿宋_GB2312"/>
          <w:b w:val="0"/>
          <w:sz w:val="32"/>
        </w:rPr>
        <w:t>资金项目经费，导致相关经费增加。</w:t>
      </w:r>
    </w:p>
    <w:p w14:paraId="101002AD">
      <w:pPr>
        <w:spacing w:line="580" w:lineRule="exact"/>
        <w:ind w:firstLine="640"/>
        <w:jc w:val="both"/>
      </w:pPr>
      <w:r>
        <w:rPr>
          <w:rFonts w:ascii="仿宋_GB2312" w:hAnsi="仿宋_GB2312" w:eastAsia="仿宋_GB2312"/>
          <w:b w:val="0"/>
          <w:sz w:val="32"/>
        </w:rPr>
        <w:t>23.交通运输支出(类)邮政业支出(款)邮政普遍服务与特殊服务(项):支出决算数为0.24万元，比上年决算增加0.00万元，增长0.00%,主要原因是：2024年农牧区投递员专项补贴资金与上年一致，无变化。</w:t>
      </w:r>
    </w:p>
    <w:p w14:paraId="79116260">
      <w:pPr>
        <w:spacing w:line="580" w:lineRule="exact"/>
        <w:ind w:firstLine="640"/>
        <w:jc w:val="both"/>
      </w:pPr>
      <w:r>
        <w:rPr>
          <w:rFonts w:ascii="仿宋_GB2312" w:hAnsi="仿宋_GB2312" w:eastAsia="仿宋_GB2312"/>
          <w:b w:val="0"/>
          <w:sz w:val="32"/>
        </w:rPr>
        <w:t>24.住房保障支出(类)住房改革支出(款)住房公积金(项):支出决算数为181.59万元，比上年决算增加52.18万元，增长40.32%,主要原因是：本年在职人员工资基数调增，公积金缴费基数上涨，相应支出增加。</w:t>
      </w:r>
    </w:p>
    <w:p w14:paraId="23B6522F">
      <w:pPr>
        <w:spacing w:line="640" w:lineRule="exact"/>
        <w:ind w:firstLine="640"/>
        <w:jc w:val="both"/>
        <w:outlineLvl w:val="2"/>
      </w:pPr>
      <w:r>
        <w:rPr>
          <w:rFonts w:ascii="黑体" w:hAnsi="黑体" w:eastAsia="黑体"/>
          <w:sz w:val="32"/>
        </w:rPr>
        <w:t>六、一般公共预算财政拨款基本支出决算情况说明</w:t>
      </w:r>
    </w:p>
    <w:p w14:paraId="734553AC">
      <w:pPr>
        <w:spacing w:line="580" w:lineRule="exact"/>
        <w:ind w:firstLine="640"/>
        <w:jc w:val="both"/>
      </w:pPr>
      <w:r>
        <w:rPr>
          <w:rFonts w:ascii="仿宋_GB2312" w:hAnsi="仿宋_GB2312" w:eastAsia="仿宋_GB2312"/>
          <w:b w:val="0"/>
          <w:sz w:val="32"/>
        </w:rPr>
        <w:t>2024年度一般公共预算财政拨款基本支出2,247.33万元，其中：</w:t>
      </w:r>
      <w:r>
        <w:rPr>
          <w:rFonts w:ascii="仿宋_GB2312" w:hAnsi="仿宋_GB2312" w:eastAsia="仿宋_GB2312"/>
          <w:b/>
          <w:sz w:val="32"/>
        </w:rPr>
        <w:t>人员经费2,187.17万元，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64FCDA05">
      <w:pPr>
        <w:spacing w:line="580" w:lineRule="exact"/>
        <w:ind w:firstLine="640"/>
        <w:jc w:val="both"/>
      </w:pPr>
      <w:r>
        <w:rPr>
          <w:rFonts w:ascii="仿宋_GB2312" w:hAnsi="仿宋_GB2312" w:eastAsia="仿宋_GB2312"/>
          <w:b/>
          <w:sz w:val="32"/>
        </w:rPr>
        <w:t>公用经费60.17万元，</w:t>
      </w:r>
      <w:r>
        <w:rPr>
          <w:rFonts w:ascii="仿宋_GB2312" w:hAnsi="仿宋_GB2312" w:eastAsia="仿宋_GB2312"/>
          <w:b w:val="0"/>
          <w:sz w:val="32"/>
        </w:rPr>
        <w:t>包括：办公费、印刷费、水费、电费、邮电费、取暖费、差旅费、维修（护）费、劳务费、委托业务费、公务用车运行维护费。</w:t>
      </w:r>
    </w:p>
    <w:p w14:paraId="2FBA2A6D">
      <w:pPr>
        <w:spacing w:line="640" w:lineRule="exact"/>
        <w:ind w:firstLine="640"/>
        <w:jc w:val="both"/>
        <w:outlineLvl w:val="2"/>
      </w:pPr>
      <w:r>
        <w:rPr>
          <w:rFonts w:ascii="黑体" w:hAnsi="黑体" w:eastAsia="黑体"/>
          <w:sz w:val="32"/>
        </w:rPr>
        <w:t>七、政府性基金预算财政拨款收入支出决算情况说明</w:t>
      </w:r>
    </w:p>
    <w:p w14:paraId="5CF4942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C51BAEA">
      <w:pPr>
        <w:spacing w:line="640" w:lineRule="exact"/>
        <w:ind w:firstLine="640"/>
        <w:jc w:val="both"/>
        <w:outlineLvl w:val="2"/>
      </w:pPr>
      <w:r>
        <w:rPr>
          <w:rFonts w:ascii="黑体" w:hAnsi="黑体" w:eastAsia="黑体"/>
          <w:sz w:val="32"/>
        </w:rPr>
        <w:t>八、国有资本经营预算财政拨款收入支出决算情况说明</w:t>
      </w:r>
    </w:p>
    <w:p w14:paraId="6F6E1B6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ADE16E">
      <w:pPr>
        <w:spacing w:line="640" w:lineRule="exact"/>
        <w:ind w:firstLine="640"/>
        <w:jc w:val="both"/>
        <w:outlineLvl w:val="2"/>
      </w:pPr>
      <w:r>
        <w:rPr>
          <w:rFonts w:ascii="黑体" w:hAnsi="黑体" w:eastAsia="黑体"/>
          <w:sz w:val="32"/>
        </w:rPr>
        <w:t>九、财政拨款“三公”经费支出决算情况说明</w:t>
      </w:r>
    </w:p>
    <w:p w14:paraId="1878EF9B">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减少4.41万元，下降60.83%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2.84万元，占100.00%，比上年减少4.41万元，下降60.83%，主要原因是：严格落实中央八项规定精神，厉行节约，减少公务用车运行维护费。公务接待费支出0.00万元，占0.00%，比上年增加0.00万元，增长0.00%，主要原因是：2023年与2024年均未安排公务接待费支出。</w:t>
      </w:r>
    </w:p>
    <w:p w14:paraId="1D34122E">
      <w:pPr>
        <w:spacing w:line="580" w:lineRule="exact"/>
        <w:ind w:firstLine="640"/>
        <w:jc w:val="both"/>
      </w:pPr>
      <w:r>
        <w:rPr>
          <w:rFonts w:ascii="仿宋_GB2312" w:hAnsi="仿宋_GB2312" w:eastAsia="仿宋_GB2312"/>
          <w:b/>
          <w:sz w:val="32"/>
        </w:rPr>
        <w:t>具体情况如下：</w:t>
      </w:r>
    </w:p>
    <w:p w14:paraId="201F4CA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CEABFC3">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加油费、维修费、保险费、审车费、过路费等。公务用车购置数0辆，公务用车保有量3辆。国有资产占用情况中固定资产车辆4辆，与公务用车保有量差异原因是：差异车辆为一般业务用车，预算未安排公务用车运行维护费。</w:t>
      </w:r>
    </w:p>
    <w:p w14:paraId="0E67D56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882CD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33DFD1C0">
      <w:pPr>
        <w:spacing w:line="640" w:lineRule="exact"/>
        <w:ind w:firstLine="640"/>
        <w:jc w:val="both"/>
        <w:outlineLvl w:val="2"/>
      </w:pPr>
      <w:r>
        <w:rPr>
          <w:rFonts w:ascii="黑体" w:hAnsi="黑体" w:eastAsia="黑体"/>
          <w:sz w:val="32"/>
        </w:rPr>
        <w:t>十、其他重要事项的情况说明</w:t>
      </w:r>
    </w:p>
    <w:p w14:paraId="7FF6C3AE">
      <w:pPr>
        <w:spacing w:line="640" w:lineRule="exact"/>
        <w:ind w:firstLine="640"/>
        <w:jc w:val="both"/>
        <w:outlineLvl w:val="3"/>
      </w:pPr>
      <w:r>
        <w:rPr>
          <w:rFonts w:ascii="楷体_GB2312" w:hAnsi="楷体_GB2312" w:eastAsia="楷体_GB2312"/>
          <w:b/>
          <w:sz w:val="32"/>
        </w:rPr>
        <w:t>（一）机关运行经费及公用经费支出情况</w:t>
      </w:r>
    </w:p>
    <w:p w14:paraId="6D8E824C">
      <w:pPr>
        <w:spacing w:line="580" w:lineRule="exact"/>
        <w:ind w:firstLine="640"/>
        <w:jc w:val="both"/>
      </w:pPr>
      <w:r>
        <w:rPr>
          <w:rFonts w:ascii="仿宋_GB2312" w:hAnsi="仿宋_GB2312" w:eastAsia="仿宋_GB2312"/>
          <w:b w:val="0"/>
          <w:sz w:val="32"/>
        </w:rPr>
        <w:t>2024年度叶城县河园镇人民政府（行政单位和参照公务员法管理事业单位）机关运行经费支出60.17万元，比上年增加20.75万元，增长52.64%，主要原因是：本年增加办公费、水费，电费等经费，导致机关运行经费增加。</w:t>
      </w:r>
    </w:p>
    <w:p w14:paraId="5FEE17CA">
      <w:pPr>
        <w:spacing w:line="640" w:lineRule="exact"/>
        <w:ind w:firstLine="640"/>
        <w:jc w:val="both"/>
        <w:outlineLvl w:val="3"/>
      </w:pPr>
      <w:r>
        <w:rPr>
          <w:rFonts w:ascii="楷体_GB2312" w:hAnsi="楷体_GB2312" w:eastAsia="楷体_GB2312"/>
          <w:b/>
          <w:sz w:val="32"/>
        </w:rPr>
        <w:t>（二）政府采购情况</w:t>
      </w:r>
    </w:p>
    <w:p w14:paraId="4301106A">
      <w:pPr>
        <w:spacing w:line="580" w:lineRule="exact"/>
        <w:ind w:firstLine="640"/>
        <w:jc w:val="both"/>
      </w:pPr>
      <w:r>
        <w:rPr>
          <w:rFonts w:ascii="仿宋_GB2312" w:hAnsi="仿宋_GB2312" w:eastAsia="仿宋_GB2312"/>
          <w:b w:val="0"/>
          <w:sz w:val="32"/>
        </w:rPr>
        <w:t>2024年度政府采购支出总额538.88万元，其中：政府采购货物支出312.44万元、政府采购工程支出152.65万元、政府采购服务支出73.79万元。</w:t>
      </w:r>
    </w:p>
    <w:p w14:paraId="5C35498F">
      <w:pPr>
        <w:spacing w:line="580" w:lineRule="exact"/>
        <w:ind w:firstLine="640"/>
        <w:jc w:val="both"/>
      </w:pPr>
      <w:r>
        <w:rPr>
          <w:rFonts w:ascii="仿宋_GB2312" w:hAnsi="仿宋_GB2312" w:eastAsia="仿宋_GB2312"/>
          <w:b w:val="0"/>
          <w:sz w:val="32"/>
        </w:rPr>
        <w:t>授予中小企业合同金额538.88万元，占政府采购支出总额的100.00%，其中：授予小微企业合同金额537.54万元，占政府采购支出总额的99.75%。</w:t>
      </w:r>
    </w:p>
    <w:p w14:paraId="74021B2A">
      <w:pPr>
        <w:spacing w:line="640" w:lineRule="exact"/>
        <w:ind w:firstLine="640"/>
        <w:jc w:val="both"/>
        <w:outlineLvl w:val="3"/>
      </w:pPr>
      <w:r>
        <w:rPr>
          <w:rFonts w:ascii="楷体_GB2312" w:hAnsi="楷体_GB2312" w:eastAsia="楷体_GB2312"/>
          <w:b/>
          <w:sz w:val="32"/>
        </w:rPr>
        <w:t>（三）国有资产占用情况说明</w:t>
      </w:r>
    </w:p>
    <w:p w14:paraId="714FC09E">
      <w:pPr>
        <w:spacing w:line="580" w:lineRule="exact"/>
        <w:ind w:firstLine="640"/>
        <w:jc w:val="both"/>
      </w:pPr>
      <w:r>
        <w:rPr>
          <w:rFonts w:ascii="仿宋_GB2312" w:hAnsi="仿宋_GB2312" w:eastAsia="仿宋_GB2312"/>
          <w:b w:val="0"/>
          <w:sz w:val="32"/>
        </w:rPr>
        <w:t>截至2024年12月31日，房屋7,125.09平方米，价值310.41万元。车辆4辆，价值33.94万元，其中：副部（省）级及以上领导用车0辆、主要负责人用车0辆、机要通信用车0辆、应急保障用车0辆、执法执勤用车0辆、特种专业技术用车0辆、离退休干部服务用车0辆、其他用车4辆，其他用车主要是：一般公务用车和单位业务用车。单价100万元（含）以上设备（不含车辆）0台（套）。</w:t>
      </w:r>
    </w:p>
    <w:p w14:paraId="4B034B39">
      <w:pPr>
        <w:spacing w:line="640" w:lineRule="exact"/>
        <w:ind w:firstLine="640"/>
        <w:jc w:val="both"/>
        <w:outlineLvl w:val="2"/>
      </w:pPr>
      <w:r>
        <w:rPr>
          <w:rFonts w:ascii="黑体" w:hAnsi="黑体" w:eastAsia="黑体"/>
          <w:sz w:val="32"/>
        </w:rPr>
        <w:t>十一、预算绩效的情况说明</w:t>
      </w:r>
    </w:p>
    <w:p w14:paraId="340F0C5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5,715.24万元，实际执行总额5,715.24万元；预算绩效评价项目4个，全年预算数541.04万元，全年执行数471.62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hint="eastAsia" w:ascii="仿宋_GB2312" w:hAnsi="仿宋_GB2312" w:eastAsia="仿宋_GB2312"/>
          <w:b w:val="0"/>
          <w:sz w:val="32"/>
          <w:lang w:eastAsia="zh-CN"/>
        </w:rPr>
        <w:t>有效</w:t>
      </w:r>
      <w:r>
        <w:rPr>
          <w:rFonts w:ascii="仿宋_GB2312" w:hAnsi="仿宋_GB2312" w:eastAsia="仿宋_GB2312"/>
          <w:b w:val="0"/>
          <w:sz w:val="32"/>
        </w:rPr>
        <w:t>降低资金偏离政策目标的风险，提高了资金使用效益。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5F55E3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B5D128">
        <w:tblPrEx>
          <w:tblCellMar>
            <w:top w:w="0" w:type="dxa"/>
            <w:left w:w="108" w:type="dxa"/>
            <w:bottom w:w="0" w:type="dxa"/>
            <w:right w:w="108" w:type="dxa"/>
          </w:tblCellMar>
        </w:tblPrEx>
        <w:tc>
          <w:tcPr>
            <w:tcW w:w="8847" w:type="dxa"/>
            <w:gridSpan w:val="9"/>
            <w:vAlign w:val="center"/>
          </w:tcPr>
          <w:p w14:paraId="56884334">
            <w:pPr>
              <w:jc w:val="center"/>
            </w:pPr>
            <w:r>
              <w:rPr>
                <w:rFonts w:ascii="宋体" w:hAnsi="宋体" w:eastAsia="宋体"/>
                <w:sz w:val="24"/>
              </w:rPr>
              <w:t>单位整体支出绩效自评表</w:t>
            </w:r>
          </w:p>
        </w:tc>
      </w:tr>
      <w:tr w14:paraId="61E9D73B">
        <w:tblPrEx>
          <w:tblCellMar>
            <w:top w:w="0" w:type="dxa"/>
            <w:left w:w="108" w:type="dxa"/>
            <w:bottom w:w="0" w:type="dxa"/>
            <w:right w:w="108" w:type="dxa"/>
          </w:tblCellMar>
        </w:tblPrEx>
        <w:tc>
          <w:tcPr>
            <w:tcW w:w="8847" w:type="dxa"/>
            <w:gridSpan w:val="9"/>
            <w:vAlign w:val="center"/>
          </w:tcPr>
          <w:p w14:paraId="2DFA1ED6">
            <w:pPr>
              <w:jc w:val="center"/>
            </w:pPr>
            <w:r>
              <w:rPr>
                <w:rFonts w:ascii="宋体" w:hAnsi="宋体" w:eastAsia="宋体"/>
                <w:sz w:val="24"/>
              </w:rPr>
              <w:t>（2024年度）</w:t>
            </w:r>
          </w:p>
        </w:tc>
      </w:tr>
      <w:tr w14:paraId="5F2BED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0022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EA9711">
            <w:pPr>
              <w:jc w:val="center"/>
            </w:pPr>
            <w:r>
              <w:rPr>
                <w:rFonts w:ascii="宋体" w:hAnsi="宋体" w:eastAsia="宋体"/>
                <w:sz w:val="16"/>
              </w:rPr>
              <w:t>叶城县河园镇人民政府</w:t>
            </w:r>
          </w:p>
        </w:tc>
      </w:tr>
      <w:tr w14:paraId="02769D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E88C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EAF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27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6F5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EDF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39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2A2C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8CA91">
            <w:pPr>
              <w:jc w:val="center"/>
            </w:pPr>
            <w:r>
              <w:rPr>
                <w:rFonts w:ascii="宋体" w:hAnsi="宋体" w:eastAsia="宋体"/>
                <w:sz w:val="16"/>
              </w:rPr>
              <w:t>得分</w:t>
            </w:r>
          </w:p>
        </w:tc>
      </w:tr>
      <w:tr w14:paraId="0F3EA0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07C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0DD8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1582B">
            <w:pPr>
              <w:jc w:val="center"/>
            </w:pPr>
            <w:r>
              <w:rPr>
                <w:rFonts w:ascii="宋体" w:hAnsi="宋体" w:eastAsia="宋体"/>
                <w:sz w:val="16"/>
              </w:rPr>
              <w:t>2,888.46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6F61C">
            <w:pPr>
              <w:jc w:val="center"/>
            </w:pPr>
            <w:r>
              <w:rPr>
                <w:rFonts w:ascii="宋体" w:hAnsi="宋体" w:eastAsia="宋体"/>
                <w:sz w:val="16"/>
              </w:rPr>
              <w:t>5,715.24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D6F14">
            <w:pPr>
              <w:jc w:val="center"/>
            </w:pPr>
            <w:r>
              <w:rPr>
                <w:rFonts w:ascii="宋体" w:hAnsi="宋体" w:eastAsia="宋体"/>
                <w:sz w:val="16"/>
              </w:rPr>
              <w:t>5,715.24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CE1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2792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A12F">
            <w:pPr>
              <w:jc w:val="center"/>
            </w:pPr>
            <w:r>
              <w:rPr>
                <w:rFonts w:ascii="宋体" w:hAnsi="宋体" w:eastAsia="宋体"/>
                <w:sz w:val="16"/>
              </w:rPr>
              <w:t>10</w:t>
            </w:r>
          </w:p>
        </w:tc>
      </w:tr>
      <w:tr w14:paraId="338DA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7D8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3047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4B84B">
            <w:pPr>
              <w:jc w:val="center"/>
            </w:pPr>
            <w:r>
              <w:rPr>
                <w:rFonts w:ascii="宋体" w:hAnsi="宋体" w:eastAsia="宋体"/>
                <w:sz w:val="16"/>
              </w:rPr>
              <w:t>336.71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B406">
            <w:pPr>
              <w:jc w:val="center"/>
            </w:pPr>
            <w:r>
              <w:rPr>
                <w:rFonts w:ascii="宋体" w:hAnsi="宋体" w:eastAsia="宋体"/>
                <w:sz w:val="16"/>
              </w:rPr>
              <w:t>2,888.46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62AE4">
            <w:pPr>
              <w:jc w:val="center"/>
            </w:pPr>
            <w:r>
              <w:rPr>
                <w:rFonts w:ascii="宋体" w:hAnsi="宋体" w:eastAsia="宋体"/>
                <w:sz w:val="16"/>
              </w:rPr>
              <w:t>2,888.46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46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7A2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003F">
            <w:pPr>
              <w:jc w:val="center"/>
            </w:pPr>
            <w:r>
              <w:rPr>
                <w:rFonts w:ascii="宋体" w:hAnsi="宋体" w:eastAsia="宋体"/>
                <w:sz w:val="16"/>
              </w:rPr>
              <w:t>—</w:t>
            </w:r>
          </w:p>
        </w:tc>
      </w:tr>
      <w:tr w14:paraId="713FF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A34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B5B1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D2214">
            <w:pPr>
              <w:jc w:val="center"/>
            </w:pPr>
            <w:r>
              <w:rPr>
                <w:rFonts w:ascii="宋体" w:hAnsi="宋体" w:eastAsia="宋体"/>
                <w:sz w:val="16"/>
              </w:rPr>
              <w:t>2,551.75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6DCBC">
            <w:pPr>
              <w:jc w:val="center"/>
            </w:pPr>
            <w:r>
              <w:rPr>
                <w:rFonts w:ascii="宋体" w:hAnsi="宋体" w:eastAsia="宋体"/>
                <w:sz w:val="16"/>
              </w:rPr>
              <w:t>2,826.78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215FB">
            <w:pPr>
              <w:jc w:val="center"/>
            </w:pPr>
            <w:r>
              <w:rPr>
                <w:rFonts w:ascii="宋体" w:hAnsi="宋体" w:eastAsia="宋体"/>
                <w:sz w:val="16"/>
              </w:rPr>
              <w:t>2,826.78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21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BB1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0E853">
            <w:pPr>
              <w:jc w:val="center"/>
            </w:pPr>
            <w:r>
              <w:rPr>
                <w:rFonts w:ascii="宋体" w:hAnsi="宋体" w:eastAsia="宋体"/>
                <w:sz w:val="16"/>
              </w:rPr>
              <w:t>—</w:t>
            </w:r>
          </w:p>
        </w:tc>
      </w:tr>
      <w:tr w14:paraId="785323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4B2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B93E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31F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076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0A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65D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550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9336">
            <w:pPr>
              <w:jc w:val="center"/>
            </w:pPr>
            <w:r>
              <w:rPr>
                <w:rFonts w:ascii="宋体" w:hAnsi="宋体" w:eastAsia="宋体"/>
                <w:sz w:val="16"/>
              </w:rPr>
              <w:t>—</w:t>
            </w:r>
          </w:p>
        </w:tc>
      </w:tr>
      <w:tr w14:paraId="0D2F2B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761A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D695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12EC8C">
            <w:pPr>
              <w:jc w:val="center"/>
            </w:pPr>
            <w:r>
              <w:rPr>
                <w:rFonts w:ascii="宋体" w:hAnsi="宋体" w:eastAsia="宋体"/>
                <w:sz w:val="16"/>
              </w:rPr>
              <w:t>实际完成情况</w:t>
            </w:r>
          </w:p>
        </w:tc>
      </w:tr>
      <w:tr w14:paraId="587F1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2D1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E97FE9">
            <w:pPr>
              <w:jc w:val="both"/>
            </w:pPr>
            <w:r>
              <w:rPr>
                <w:rFonts w:ascii="宋体" w:hAnsi="宋体" w:eastAsia="宋体"/>
                <w:sz w:val="16"/>
              </w:rPr>
              <w:t>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就业，增加收入，不断提高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D53939">
            <w:pPr>
              <w:jc w:val="both"/>
            </w:pPr>
            <w:r>
              <w:rPr>
                <w:rFonts w:hint="eastAsia" w:ascii="宋体" w:hAnsi="宋体"/>
                <w:sz w:val="16"/>
                <w:lang w:eastAsia="zh-CN"/>
              </w:rPr>
              <w:t>截至</w:t>
            </w:r>
            <w:r>
              <w:rPr>
                <w:rFonts w:ascii="宋体" w:hAnsi="宋体" w:eastAsia="宋体"/>
                <w:sz w:val="16"/>
              </w:rPr>
              <w:t>2024年12月31日，已完成以下几项工作：(1)认真贯彻新时代党的路线、方针、政策，促进职能转变，巩固加强基层政权建设，建设健全适应新农村经济发展和社会稳固的体制机制。</w:t>
            </w:r>
            <w:r>
              <w:rPr>
                <w:rFonts w:ascii="宋体" w:hAnsi="宋体" w:eastAsia="宋体"/>
                <w:sz w:val="16"/>
              </w:rPr>
              <w:br w:type="textWrapping"/>
            </w:r>
            <w:r>
              <w:rPr>
                <w:rFonts w:ascii="宋体" w:hAnsi="宋体" w:eastAsia="宋体"/>
                <w:sz w:val="16"/>
              </w:rPr>
              <w:t>(2)加快农村经济发展，解放思想，转变观念，不断增加农民收入，保障幸福大院运转个数</w:t>
            </w:r>
            <w:r>
              <w:rPr>
                <w:rFonts w:ascii="宋体" w:hAnsi="宋体" w:eastAsia="宋体"/>
                <w:sz w:val="16"/>
              </w:rPr>
              <w:tab/>
            </w:r>
            <w:r>
              <w:rPr>
                <w:rFonts w:ascii="宋体" w:hAnsi="宋体" w:eastAsia="宋体"/>
                <w:sz w:val="16"/>
              </w:rPr>
              <w:t>1个，保障职工工资人数118人，防渗渠建设公里数6.9公里，建设核桃高产示范园面积600亩，土地碎片化整理亩数1893.93亩，为壮大乡村经济发展创造有利条件。做好乡村发展规划，培育主导产业，推动产业结构调整，提高农业综合生产能力。建立新型农业社会化服务体系，发展农民专业合作组织，提高农产品质量安全水平。稳固和完善农村基本经营制度，探索集体经济有效实现形式，引导农民珍惜土地，增加投入，发展集约经营。落实强农惠农措施，确保农民受益。促进民营经济发展，引导农民多渠道</w:t>
            </w:r>
            <w:bookmarkStart w:id="0" w:name="_GoBack"/>
            <w:bookmarkEnd w:id="0"/>
            <w:r>
              <w:rPr>
                <w:rFonts w:ascii="宋体" w:hAnsi="宋体" w:eastAsia="宋体"/>
                <w:sz w:val="16"/>
              </w:rPr>
              <w:t>就业，增加收入，不断提高生活水平。</w:t>
            </w:r>
            <w:r>
              <w:rPr>
                <w:rFonts w:ascii="宋体" w:hAnsi="宋体" w:eastAsia="宋体"/>
                <w:sz w:val="16"/>
              </w:rPr>
              <w:br w:type="textWrapping"/>
            </w:r>
            <w:r>
              <w:rPr>
                <w:rFonts w:ascii="宋体" w:hAnsi="宋体" w:eastAsia="宋体"/>
                <w:sz w:val="16"/>
              </w:rPr>
              <w:t>(3)不断强化公共服务，着力保障改善民生。落实计生基本国策，推进优生优育。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改善群众生产生活条件。做好外出务工人员技能培训服务工作，促进农村劳动力平等就业。完善农村公共服务体系，努力建设产业兴旺、生态宜居、乡风文明、治理有效、生活富裕的新农村。</w:t>
            </w:r>
            <w:r>
              <w:rPr>
                <w:rFonts w:ascii="宋体" w:hAnsi="宋体" w:eastAsia="宋体"/>
                <w:sz w:val="16"/>
              </w:rPr>
              <w:br w:type="textWrapping"/>
            </w:r>
            <w:r>
              <w:rPr>
                <w:rFonts w:ascii="宋体" w:hAnsi="宋体" w:eastAsia="宋体"/>
                <w:sz w:val="16"/>
              </w:rPr>
              <w:t>(4)加强社会管理，维护农村稳固。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依法管理</w:t>
            </w:r>
            <w:r>
              <w:rPr>
                <w:rFonts w:hint="eastAsia" w:ascii="宋体" w:hAnsi="宋体"/>
                <w:sz w:val="16"/>
                <w:lang w:eastAsia="zh-CN"/>
              </w:rPr>
              <w:t>ZJ</w:t>
            </w:r>
            <w:r>
              <w:rPr>
                <w:rFonts w:ascii="宋体" w:hAnsi="宋体" w:eastAsia="宋体"/>
                <w:sz w:val="16"/>
              </w:rPr>
              <w:t>事务，反对和制止利用</w:t>
            </w:r>
            <w:r>
              <w:rPr>
                <w:rFonts w:hint="eastAsia" w:ascii="宋体" w:hAnsi="宋体"/>
                <w:sz w:val="16"/>
                <w:lang w:eastAsia="zh-CN"/>
              </w:rPr>
              <w:t>ZJ</w:t>
            </w:r>
            <w:r>
              <w:rPr>
                <w:rFonts w:ascii="宋体" w:hAnsi="宋体" w:eastAsia="宋体"/>
                <w:sz w:val="16"/>
              </w:rPr>
              <w:t>和</w:t>
            </w:r>
            <w:r>
              <w:rPr>
                <w:rFonts w:hint="eastAsia" w:ascii="宋体" w:hAnsi="宋体"/>
                <w:sz w:val="16"/>
                <w:lang w:eastAsia="zh-CN"/>
              </w:rPr>
              <w:t>ZJ</w:t>
            </w:r>
            <w:r>
              <w:rPr>
                <w:rFonts w:ascii="宋体" w:hAnsi="宋体" w:eastAsia="宋体"/>
                <w:sz w:val="16"/>
              </w:rPr>
              <w:t>势力干预农村公共事务。协助县有关部门做好规范生产、市场监管、劳动监察、生态环境保护等方面的工作。维护社会公平正义，确保社会稳固和长治久安。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(5)推动</w:t>
            </w:r>
            <w:r>
              <w:rPr>
                <w:rFonts w:hint="eastAsia" w:ascii="宋体" w:hAnsi="宋体"/>
                <w:sz w:val="16"/>
                <w:lang w:eastAsia="zh-CN"/>
              </w:rPr>
              <w:t>基层</w:t>
            </w:r>
            <w:r>
              <w:rPr>
                <w:rFonts w:ascii="宋体" w:hAnsi="宋体" w:eastAsia="宋体"/>
                <w:sz w:val="16"/>
              </w:rPr>
              <w:t>民主，促进农村和谐。加强农村党的基础组织建设、农村基层干部队伍建设、农村党员队伍建设。做好乡人大、群团、国防教育、兵役、民兵等工作。指导村民自治、完善民主议事制度，推进党务公开、村务公开、财务公开，引导农民有序参与村级事务管理，促进社会组织健康发展，增强社会自治功能。</w:t>
            </w:r>
            <w:r>
              <w:rPr>
                <w:rFonts w:ascii="宋体" w:hAnsi="宋体" w:eastAsia="宋体"/>
                <w:sz w:val="16"/>
              </w:rPr>
              <w:br w:type="textWrapping"/>
            </w:r>
            <w:r>
              <w:rPr>
                <w:rFonts w:ascii="宋体" w:hAnsi="宋体" w:eastAsia="宋体"/>
                <w:sz w:val="16"/>
              </w:rPr>
              <w:t>(6)加强所属事业单位的管理，协同主管单位抓好其他事业站所的管理。</w:t>
            </w:r>
          </w:p>
        </w:tc>
      </w:tr>
      <w:tr w14:paraId="0830DD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D679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3F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95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9BBD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CA8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D5C7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FFB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B9B3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6277">
            <w:pPr>
              <w:jc w:val="center"/>
            </w:pPr>
            <w:r>
              <w:rPr>
                <w:rFonts w:ascii="宋体" w:hAnsi="宋体" w:eastAsia="宋体"/>
                <w:sz w:val="16"/>
              </w:rPr>
              <w:t>得分</w:t>
            </w:r>
          </w:p>
        </w:tc>
      </w:tr>
      <w:tr w14:paraId="455E56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633E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47F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5BE15">
            <w:pPr>
              <w:jc w:val="center"/>
            </w:pPr>
            <w:r>
              <w:rPr>
                <w:rFonts w:ascii="宋体" w:hAnsi="宋体" w:eastAsia="宋体"/>
                <w:sz w:val="16"/>
              </w:rPr>
              <w:t>保障幸福大院运转个数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70C6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6DCC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928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B466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07A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C6CA2">
            <w:pPr>
              <w:jc w:val="center"/>
            </w:pPr>
            <w:r>
              <w:rPr>
                <w:rFonts w:ascii="宋体" w:hAnsi="宋体" w:eastAsia="宋体"/>
                <w:sz w:val="16"/>
              </w:rPr>
              <w:t>18</w:t>
            </w:r>
          </w:p>
        </w:tc>
      </w:tr>
      <w:tr w14:paraId="32F136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C20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3B6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B5A0B">
            <w:pPr>
              <w:jc w:val="center"/>
            </w:pPr>
            <w:r>
              <w:rPr>
                <w:rFonts w:ascii="宋体" w:hAnsi="宋体" w:eastAsia="宋体"/>
                <w:sz w:val="16"/>
              </w:rPr>
              <w:t>保障职工工资人数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A98FA">
            <w:pPr>
              <w:jc w:val="center"/>
            </w:pPr>
            <w:r>
              <w:rPr>
                <w:rFonts w:ascii="宋体" w:hAnsi="宋体" w:eastAsia="宋体"/>
                <w:sz w:val="16"/>
              </w:rPr>
              <w:t>&gt;=118人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AB0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311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80811">
            <w:pPr>
              <w:jc w:val="center"/>
            </w:pPr>
            <w:r>
              <w:rPr>
                <w:rFonts w:ascii="宋体" w:hAnsi="宋体" w:eastAsia="宋体"/>
                <w:sz w:val="16"/>
              </w:rPr>
              <w:t>=118人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A9A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CD977">
            <w:pPr>
              <w:jc w:val="center"/>
            </w:pPr>
            <w:r>
              <w:rPr>
                <w:rFonts w:ascii="宋体" w:hAnsi="宋体" w:eastAsia="宋体"/>
                <w:sz w:val="16"/>
              </w:rPr>
              <w:t>18</w:t>
            </w:r>
          </w:p>
        </w:tc>
      </w:tr>
      <w:tr w14:paraId="06705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34B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05F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0D6E">
            <w:pPr>
              <w:jc w:val="center"/>
            </w:pPr>
            <w:r>
              <w:rPr>
                <w:rFonts w:ascii="宋体" w:hAnsi="宋体" w:eastAsia="宋体"/>
                <w:sz w:val="16"/>
              </w:rPr>
              <w:t>建设核桃高产示范园面积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DC06">
            <w:pPr>
              <w:jc w:val="center"/>
            </w:pPr>
            <w:r>
              <w:rPr>
                <w:rFonts w:ascii="宋体" w:hAnsi="宋体" w:eastAsia="宋体"/>
                <w:sz w:val="16"/>
              </w:rPr>
              <w:t>&gt;=600亩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4F56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4554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82A76">
            <w:pPr>
              <w:jc w:val="center"/>
            </w:pPr>
            <w:r>
              <w:rPr>
                <w:rFonts w:ascii="宋体" w:hAnsi="宋体" w:eastAsia="宋体"/>
                <w:sz w:val="16"/>
              </w:rPr>
              <w:t>=600亩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C87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F2354">
            <w:pPr>
              <w:jc w:val="center"/>
            </w:pPr>
            <w:r>
              <w:rPr>
                <w:rFonts w:ascii="宋体" w:hAnsi="宋体" w:eastAsia="宋体"/>
                <w:sz w:val="16"/>
              </w:rPr>
              <w:t>18</w:t>
            </w:r>
          </w:p>
        </w:tc>
      </w:tr>
      <w:tr w14:paraId="58FE1F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02D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A6C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95647">
            <w:pPr>
              <w:jc w:val="center"/>
            </w:pPr>
            <w:r>
              <w:rPr>
                <w:rFonts w:ascii="宋体" w:hAnsi="宋体" w:eastAsia="宋体"/>
                <w:sz w:val="16"/>
              </w:rPr>
              <w:t>防渗渠建设公里数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8FA9">
            <w:pPr>
              <w:jc w:val="center"/>
            </w:pPr>
            <w:r>
              <w:rPr>
                <w:rFonts w:ascii="宋体" w:hAnsi="宋体" w:eastAsia="宋体"/>
                <w:sz w:val="16"/>
              </w:rPr>
              <w:t>=6.9公里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9A3C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A9D3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E2329">
            <w:pPr>
              <w:jc w:val="center"/>
            </w:pPr>
            <w:r>
              <w:rPr>
                <w:rFonts w:ascii="宋体" w:hAnsi="宋体" w:eastAsia="宋体"/>
                <w:sz w:val="16"/>
              </w:rPr>
              <w:t>=6.9公里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60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4D8F">
            <w:pPr>
              <w:jc w:val="center"/>
            </w:pPr>
            <w:r>
              <w:rPr>
                <w:rFonts w:ascii="宋体" w:hAnsi="宋体" w:eastAsia="宋体"/>
                <w:sz w:val="16"/>
              </w:rPr>
              <w:t>18</w:t>
            </w:r>
          </w:p>
        </w:tc>
      </w:tr>
      <w:tr w14:paraId="610CDC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46B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2E01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5164">
            <w:pPr>
              <w:jc w:val="center"/>
            </w:pPr>
            <w:r>
              <w:rPr>
                <w:rFonts w:ascii="宋体" w:hAnsi="宋体" w:eastAsia="宋体"/>
                <w:sz w:val="16"/>
              </w:rPr>
              <w:t>土地碎片化整理亩数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ECA90">
            <w:pPr>
              <w:jc w:val="center"/>
            </w:pPr>
            <w:r>
              <w:rPr>
                <w:rFonts w:ascii="宋体" w:hAnsi="宋体" w:eastAsia="宋体"/>
                <w:sz w:val="16"/>
              </w:rPr>
              <w:t>=1893.93亩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70D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EF01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246F2">
            <w:pPr>
              <w:jc w:val="center"/>
            </w:pPr>
            <w:r>
              <w:rPr>
                <w:rFonts w:ascii="宋体" w:hAnsi="宋体" w:eastAsia="宋体"/>
                <w:sz w:val="16"/>
              </w:rPr>
              <w:t>=1893.9亩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774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40CCB">
            <w:pPr>
              <w:jc w:val="center"/>
            </w:pPr>
            <w:r>
              <w:rPr>
                <w:rFonts w:ascii="宋体" w:hAnsi="宋体" w:eastAsia="宋体"/>
                <w:sz w:val="16"/>
              </w:rPr>
              <w:t>18</w:t>
            </w:r>
          </w:p>
        </w:tc>
      </w:tr>
    </w:tbl>
    <w:p w14:paraId="09899594">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1"/>
        <w:gridCol w:w="618"/>
        <w:gridCol w:w="630"/>
      </w:tblGrid>
      <w:tr w14:paraId="40B7BE3F">
        <w:tc>
          <w:tcPr>
            <w:tcW w:w="8848" w:type="dxa"/>
            <w:gridSpan w:val="14"/>
            <w:vAlign w:val="center"/>
          </w:tcPr>
          <w:p w14:paraId="286575E8">
            <w:pPr>
              <w:jc w:val="center"/>
            </w:pPr>
            <w:r>
              <w:rPr>
                <w:rFonts w:ascii="宋体" w:hAnsi="宋体" w:eastAsia="宋体"/>
                <w:sz w:val="24"/>
              </w:rPr>
              <w:t>项目支出绩效自评表</w:t>
            </w:r>
          </w:p>
        </w:tc>
      </w:tr>
      <w:tr w14:paraId="2778DC6A">
        <w:tblPrEx>
          <w:tblCellMar>
            <w:top w:w="0" w:type="dxa"/>
            <w:left w:w="108" w:type="dxa"/>
            <w:bottom w:w="0" w:type="dxa"/>
            <w:right w:w="108" w:type="dxa"/>
          </w:tblCellMar>
        </w:tblPrEx>
        <w:tc>
          <w:tcPr>
            <w:tcW w:w="8848" w:type="dxa"/>
            <w:gridSpan w:val="14"/>
            <w:vAlign w:val="center"/>
          </w:tcPr>
          <w:p w14:paraId="4C6950A2">
            <w:pPr>
              <w:jc w:val="center"/>
            </w:pPr>
            <w:r>
              <w:rPr>
                <w:rFonts w:ascii="宋体" w:hAnsi="宋体" w:eastAsia="宋体"/>
                <w:sz w:val="24"/>
              </w:rPr>
              <w:t>(2024年度)</w:t>
            </w:r>
          </w:p>
        </w:tc>
      </w:tr>
      <w:tr w14:paraId="3F59DB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15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34E91F">
            <w:pPr>
              <w:jc w:val="center"/>
            </w:pPr>
            <w:r>
              <w:rPr>
                <w:rFonts w:ascii="宋体" w:hAnsi="宋体" w:eastAsia="宋体"/>
                <w:sz w:val="16"/>
              </w:rPr>
              <w:t>2022年喀什地区叶城县综合发展与环境改善工程项目</w:t>
            </w:r>
          </w:p>
        </w:tc>
      </w:tr>
      <w:tr w14:paraId="1119B3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C3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753C3">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9F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3A7A1">
            <w:pPr>
              <w:jc w:val="center"/>
            </w:pPr>
            <w:r>
              <w:rPr>
                <w:rFonts w:ascii="宋体" w:hAnsi="宋体" w:eastAsia="宋体"/>
                <w:sz w:val="16"/>
              </w:rPr>
              <w:t>叶城县河园镇人民政府</w:t>
            </w:r>
          </w:p>
        </w:tc>
      </w:tr>
      <w:tr w14:paraId="40E836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43F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E40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E6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17A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1B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DC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442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3B21">
            <w:pPr>
              <w:jc w:val="center"/>
            </w:pPr>
            <w:r>
              <w:rPr>
                <w:rFonts w:ascii="宋体" w:hAnsi="宋体" w:eastAsia="宋体"/>
                <w:sz w:val="16"/>
              </w:rPr>
              <w:t>得分</w:t>
            </w:r>
          </w:p>
        </w:tc>
      </w:tr>
      <w:tr w14:paraId="70DC7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95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4F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F600">
            <w:pPr>
              <w:jc w:val="center"/>
            </w:pPr>
            <w:r>
              <w:rPr>
                <w:rFonts w:ascii="宋体" w:hAnsi="宋体" w:eastAsia="宋体"/>
                <w:sz w:val="16"/>
              </w:rPr>
              <w:t>37.64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3AB8">
            <w:pPr>
              <w:jc w:val="center"/>
            </w:pPr>
            <w:r>
              <w:rPr>
                <w:rFonts w:ascii="宋体" w:hAnsi="宋体" w:eastAsia="宋体"/>
                <w:sz w:val="16"/>
              </w:rPr>
              <w:t>37.64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75067">
            <w:pPr>
              <w:jc w:val="center"/>
            </w:pPr>
            <w:r>
              <w:rPr>
                <w:rFonts w:ascii="宋体" w:hAnsi="宋体" w:eastAsia="宋体"/>
                <w:sz w:val="16"/>
              </w:rPr>
              <w:t>35.16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52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9CD8">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4FD8">
            <w:pPr>
              <w:jc w:val="center"/>
            </w:pPr>
            <w:r>
              <w:rPr>
                <w:rFonts w:ascii="宋体" w:hAnsi="宋体" w:eastAsia="宋体"/>
                <w:sz w:val="16"/>
              </w:rPr>
              <w:t>8.35分</w:t>
            </w:r>
          </w:p>
        </w:tc>
      </w:tr>
      <w:tr w14:paraId="5CD46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00C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68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3C7C8">
            <w:pPr>
              <w:jc w:val="center"/>
            </w:pPr>
            <w:r>
              <w:rPr>
                <w:rFonts w:ascii="宋体" w:hAnsi="宋体" w:eastAsia="宋体"/>
                <w:sz w:val="16"/>
              </w:rPr>
              <w:t>37.64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CCCEE">
            <w:pPr>
              <w:jc w:val="center"/>
            </w:pPr>
            <w:r>
              <w:rPr>
                <w:rFonts w:ascii="宋体" w:hAnsi="宋体" w:eastAsia="宋体"/>
                <w:sz w:val="16"/>
              </w:rPr>
              <w:t>37.64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36FD">
            <w:pPr>
              <w:jc w:val="center"/>
            </w:pPr>
            <w:r>
              <w:rPr>
                <w:rFonts w:ascii="宋体" w:hAnsi="宋体" w:eastAsia="宋体"/>
                <w:sz w:val="16"/>
              </w:rPr>
              <w:t>35.16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5E8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C5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4142">
            <w:pPr>
              <w:jc w:val="center"/>
            </w:pPr>
            <w:r>
              <w:rPr>
                <w:rFonts w:ascii="宋体" w:hAnsi="宋体" w:eastAsia="宋体"/>
                <w:sz w:val="16"/>
              </w:rPr>
              <w:t>—</w:t>
            </w:r>
          </w:p>
        </w:tc>
      </w:tr>
      <w:tr w14:paraId="65449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361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61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993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296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B9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59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E7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C8F4">
            <w:pPr>
              <w:jc w:val="center"/>
            </w:pPr>
            <w:r>
              <w:rPr>
                <w:rFonts w:ascii="宋体" w:hAnsi="宋体" w:eastAsia="宋体"/>
                <w:sz w:val="16"/>
              </w:rPr>
              <w:t>—</w:t>
            </w:r>
          </w:p>
        </w:tc>
      </w:tr>
      <w:tr w14:paraId="7F13BD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AF5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BCC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A40365">
            <w:pPr>
              <w:jc w:val="center"/>
            </w:pPr>
            <w:r>
              <w:rPr>
                <w:rFonts w:ascii="宋体" w:hAnsi="宋体" w:eastAsia="宋体"/>
                <w:sz w:val="16"/>
              </w:rPr>
              <w:t>实际完成情况</w:t>
            </w:r>
          </w:p>
        </w:tc>
      </w:tr>
      <w:tr w14:paraId="60CC8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4A0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0B249">
            <w:pPr>
              <w:jc w:val="both"/>
            </w:pPr>
            <w:r>
              <w:rPr>
                <w:rFonts w:ascii="宋体" w:hAnsi="宋体" w:eastAsia="宋体"/>
                <w:sz w:val="16"/>
              </w:rPr>
              <w:t>项目预算安排总资金180万元，2024年下达资金37.64万，用于支付建设内容尾款。具有一定的工程建设基础和组织管理保障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87C90">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2024年12月31日，该项目预算安排37.64万元，实际支出35.16万元，用于支付建设内容尾款。项目实施后具有一定的工程建设基础和组织管理保障，提高效率。</w:t>
            </w:r>
          </w:p>
        </w:tc>
      </w:tr>
      <w:tr w14:paraId="6C338A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B9C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E6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C5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56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E7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4B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29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BB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90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58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CE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C9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1087">
            <w:pPr>
              <w:jc w:val="center"/>
            </w:pPr>
            <w:r>
              <w:rPr>
                <w:rFonts w:ascii="宋体" w:hAnsi="宋体" w:eastAsia="宋体"/>
                <w:sz w:val="16"/>
              </w:rPr>
              <w:t>偏差原因分析及改进措施</w:t>
            </w:r>
          </w:p>
        </w:tc>
      </w:tr>
      <w:tr w14:paraId="65D4D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031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F99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21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EA91">
            <w:pPr>
              <w:jc w:val="center"/>
            </w:pPr>
            <w:r>
              <w:rPr>
                <w:rFonts w:ascii="宋体" w:hAnsi="宋体" w:eastAsia="宋体"/>
                <w:sz w:val="16"/>
              </w:rPr>
              <w:t>支付尾款笔数（笔）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7EC4">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A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6D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E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E6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1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5094">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12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1998">
            <w:pPr>
              <w:jc w:val="center"/>
            </w:pPr>
          </w:p>
        </w:tc>
      </w:tr>
      <w:tr w14:paraId="3F578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6F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3F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9C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3627">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D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9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E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0C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0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B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E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45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F2D1">
            <w:pPr>
              <w:jc w:val="center"/>
            </w:pPr>
          </w:p>
        </w:tc>
      </w:tr>
      <w:tr w14:paraId="38E19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15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F65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988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F21D">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E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5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1A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D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1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E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6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99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744E">
            <w:pPr>
              <w:jc w:val="center"/>
            </w:pPr>
          </w:p>
        </w:tc>
      </w:tr>
      <w:tr w14:paraId="406ED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95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A2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E4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BF0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0497">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0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5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2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3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F2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55E0">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D5A2">
            <w:pPr>
              <w:jc w:val="center"/>
            </w:pPr>
            <w:r>
              <w:rPr>
                <w:rFonts w:ascii="宋体" w:hAnsi="宋体" w:eastAsia="宋体"/>
                <w:sz w:val="16"/>
              </w:rPr>
              <w:t>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57AE">
            <w:pPr>
              <w:jc w:val="center"/>
            </w:pPr>
            <w:r>
              <w:rPr>
                <w:rFonts w:ascii="宋体" w:hAnsi="宋体" w:eastAsia="宋体"/>
                <w:sz w:val="16"/>
              </w:rPr>
              <w:t>偏差原因：该项目目前已支付完成，剩余资金将退回国库；改进措施：加强资金管理</w:t>
            </w:r>
          </w:p>
        </w:tc>
      </w:tr>
      <w:tr w14:paraId="2C587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75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C6D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AF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D58B">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5CDE">
            <w:pPr>
              <w:jc w:val="center"/>
            </w:pPr>
            <w:r>
              <w:rPr>
                <w:rFonts w:ascii="宋体" w:hAnsi="宋体" w:eastAsia="宋体"/>
                <w:sz w:val="16"/>
              </w:rPr>
              <w:t>&lt;=37.64万元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9E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D9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E2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B7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8F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72D0">
            <w:pPr>
              <w:jc w:val="center"/>
            </w:pPr>
            <w:r>
              <w:rPr>
                <w:rFonts w:ascii="宋体" w:hAnsi="宋体" w:eastAsia="宋体"/>
                <w:sz w:val="16"/>
              </w:rPr>
              <w:t>=35.16万元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BD88">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E310">
            <w:pPr>
              <w:jc w:val="center"/>
            </w:pPr>
            <w:r>
              <w:rPr>
                <w:rFonts w:ascii="宋体" w:hAnsi="宋体" w:eastAsia="宋体"/>
                <w:sz w:val="16"/>
              </w:rPr>
              <w:t>偏差原因：该项目目前已支付完成，剩余资金将退回国库；改进措施：加强资金管理</w:t>
            </w:r>
          </w:p>
        </w:tc>
      </w:tr>
      <w:tr w14:paraId="251C0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B4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14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6F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6085">
            <w:pPr>
              <w:jc w:val="center"/>
            </w:pPr>
            <w:r>
              <w:rPr>
                <w:rFonts w:ascii="宋体" w:hAnsi="宋体" w:eastAsia="宋体"/>
                <w:sz w:val="16"/>
              </w:rPr>
              <w:t>促进项目区经济发展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5EE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1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0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15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38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2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1D3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0F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E808C">
            <w:pPr>
              <w:jc w:val="center"/>
            </w:pPr>
          </w:p>
        </w:tc>
      </w:tr>
      <w:tr w14:paraId="34070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19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67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BF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CCE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12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1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6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D8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F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61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F7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7CADB">
            <w:pPr>
              <w:jc w:val="center"/>
            </w:pPr>
          </w:p>
        </w:tc>
      </w:tr>
      <w:tr w14:paraId="046180C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B67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534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589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9D08">
            <w:pPr>
              <w:jc w:val="center"/>
            </w:pPr>
            <w:r>
              <w:rPr>
                <w:rFonts w:ascii="宋体" w:hAnsi="宋体" w:eastAsia="宋体"/>
                <w:sz w:val="16"/>
              </w:rPr>
              <w:t>93.4分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5D7476"/>
        </w:tc>
      </w:tr>
    </w:tbl>
    <w:p w14:paraId="446CD5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27BA77B7">
        <w:tblPrEx>
          <w:tblCellMar>
            <w:top w:w="0" w:type="dxa"/>
            <w:left w:w="108" w:type="dxa"/>
            <w:bottom w:w="0" w:type="dxa"/>
            <w:right w:w="108" w:type="dxa"/>
          </w:tblCellMar>
        </w:tblPrEx>
        <w:tc>
          <w:tcPr>
            <w:tcW w:w="8848" w:type="dxa"/>
            <w:gridSpan w:val="14"/>
            <w:vAlign w:val="center"/>
          </w:tcPr>
          <w:p w14:paraId="44244566">
            <w:pPr>
              <w:jc w:val="center"/>
            </w:pPr>
            <w:r>
              <w:rPr>
                <w:rFonts w:ascii="宋体" w:hAnsi="宋体" w:eastAsia="宋体"/>
                <w:sz w:val="24"/>
              </w:rPr>
              <w:t>项目支出绩效自评表</w:t>
            </w:r>
          </w:p>
        </w:tc>
      </w:tr>
      <w:tr w14:paraId="21CE82ED">
        <w:tblPrEx>
          <w:tblCellMar>
            <w:top w:w="0" w:type="dxa"/>
            <w:left w:w="108" w:type="dxa"/>
            <w:bottom w:w="0" w:type="dxa"/>
            <w:right w:w="108" w:type="dxa"/>
          </w:tblCellMar>
        </w:tblPrEx>
        <w:tc>
          <w:tcPr>
            <w:tcW w:w="8848" w:type="dxa"/>
            <w:gridSpan w:val="14"/>
            <w:vAlign w:val="center"/>
          </w:tcPr>
          <w:p w14:paraId="4C192465">
            <w:pPr>
              <w:jc w:val="center"/>
            </w:pPr>
            <w:r>
              <w:rPr>
                <w:rFonts w:ascii="宋体" w:hAnsi="宋体" w:eastAsia="宋体"/>
                <w:sz w:val="24"/>
              </w:rPr>
              <w:t>(2024年度)</w:t>
            </w:r>
          </w:p>
        </w:tc>
      </w:tr>
      <w:tr w14:paraId="05F53A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E0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5065B">
            <w:pPr>
              <w:jc w:val="center"/>
            </w:pPr>
            <w:r>
              <w:rPr>
                <w:rFonts w:ascii="宋体" w:hAnsi="宋体" w:eastAsia="宋体"/>
                <w:sz w:val="16"/>
              </w:rPr>
              <w:t>2024年县级专项公用经费项目</w:t>
            </w:r>
          </w:p>
        </w:tc>
      </w:tr>
      <w:tr w14:paraId="39A79C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68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F883D">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6F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3C33D">
            <w:pPr>
              <w:jc w:val="center"/>
            </w:pPr>
            <w:r>
              <w:rPr>
                <w:rFonts w:ascii="宋体" w:hAnsi="宋体" w:eastAsia="宋体"/>
                <w:sz w:val="16"/>
              </w:rPr>
              <w:t>叶城县河园镇人民政府</w:t>
            </w:r>
          </w:p>
        </w:tc>
      </w:tr>
      <w:tr w14:paraId="54335B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43B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EA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C05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04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14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22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C6E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969A">
            <w:pPr>
              <w:jc w:val="center"/>
            </w:pPr>
            <w:r>
              <w:rPr>
                <w:rFonts w:ascii="宋体" w:hAnsi="宋体" w:eastAsia="宋体"/>
                <w:sz w:val="16"/>
              </w:rPr>
              <w:t>得分</w:t>
            </w:r>
          </w:p>
        </w:tc>
      </w:tr>
      <w:tr w14:paraId="14029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5D3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CE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1836">
            <w:pPr>
              <w:jc w:val="center"/>
            </w:pPr>
            <w:r>
              <w:rPr>
                <w:rFonts w:ascii="宋体" w:hAnsi="宋体" w:eastAsia="宋体"/>
                <w:sz w:val="16"/>
              </w:rPr>
              <w:t>33.40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6053A">
            <w:pPr>
              <w:jc w:val="center"/>
            </w:pPr>
            <w:r>
              <w:rPr>
                <w:rFonts w:ascii="宋体" w:hAnsi="宋体" w:eastAsia="宋体"/>
                <w:sz w:val="16"/>
              </w:rPr>
              <w:t>33.40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1083">
            <w:pPr>
              <w:jc w:val="center"/>
            </w:pPr>
            <w:r>
              <w:rPr>
                <w:rFonts w:ascii="宋体" w:hAnsi="宋体" w:eastAsia="宋体"/>
                <w:sz w:val="16"/>
              </w:rPr>
              <w:t>33.40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12A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44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CD8B">
            <w:pPr>
              <w:jc w:val="center"/>
            </w:pPr>
            <w:r>
              <w:rPr>
                <w:rFonts w:ascii="宋体" w:hAnsi="宋体" w:eastAsia="宋体"/>
                <w:sz w:val="16"/>
              </w:rPr>
              <w:t>10.00分</w:t>
            </w:r>
          </w:p>
        </w:tc>
      </w:tr>
      <w:tr w14:paraId="2D8E2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EF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49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5CB9">
            <w:pPr>
              <w:jc w:val="center"/>
            </w:pPr>
            <w:r>
              <w:rPr>
                <w:rFonts w:ascii="宋体" w:hAnsi="宋体" w:eastAsia="宋体"/>
                <w:sz w:val="16"/>
              </w:rPr>
              <w:t>33.40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8CAB0">
            <w:pPr>
              <w:jc w:val="center"/>
            </w:pPr>
            <w:r>
              <w:rPr>
                <w:rFonts w:ascii="宋体" w:hAnsi="宋体" w:eastAsia="宋体"/>
                <w:sz w:val="16"/>
              </w:rPr>
              <w:t>33.40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BFEDF">
            <w:pPr>
              <w:jc w:val="center"/>
            </w:pPr>
            <w:r>
              <w:rPr>
                <w:rFonts w:ascii="宋体" w:hAnsi="宋体" w:eastAsia="宋体"/>
                <w:sz w:val="16"/>
              </w:rPr>
              <w:t>33.40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0A3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E15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FEEA">
            <w:pPr>
              <w:jc w:val="center"/>
            </w:pPr>
            <w:r>
              <w:rPr>
                <w:rFonts w:ascii="宋体" w:hAnsi="宋体" w:eastAsia="宋体"/>
                <w:sz w:val="16"/>
              </w:rPr>
              <w:t>—</w:t>
            </w:r>
          </w:p>
        </w:tc>
      </w:tr>
      <w:tr w14:paraId="0A102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0AC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72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300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AB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9E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E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CE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7A96">
            <w:pPr>
              <w:jc w:val="center"/>
            </w:pPr>
            <w:r>
              <w:rPr>
                <w:rFonts w:ascii="宋体" w:hAnsi="宋体" w:eastAsia="宋体"/>
                <w:sz w:val="16"/>
              </w:rPr>
              <w:t>—</w:t>
            </w:r>
          </w:p>
        </w:tc>
      </w:tr>
      <w:tr w14:paraId="4F1405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3D6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CD9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65DA4">
            <w:pPr>
              <w:jc w:val="center"/>
            </w:pPr>
            <w:r>
              <w:rPr>
                <w:rFonts w:ascii="宋体" w:hAnsi="宋体" w:eastAsia="宋体"/>
                <w:sz w:val="16"/>
              </w:rPr>
              <w:t>实际完成情况</w:t>
            </w:r>
          </w:p>
        </w:tc>
      </w:tr>
      <w:tr w14:paraId="0B378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77C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D8D8F">
            <w:pPr>
              <w:jc w:val="both"/>
            </w:pPr>
            <w:r>
              <w:rPr>
                <w:rFonts w:ascii="宋体" w:hAnsi="宋体" w:eastAsia="宋体"/>
                <w:sz w:val="16"/>
              </w:rPr>
              <w:t>该项目下达总资金33.4万元，主要用于保障河园镇人民政府各项工作正常开展，项目的实施有效保障政府办公场所节能减排工作，创建节能型机关。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9C5F1">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该项目实际支出33.4万元，执行率100%，该项目主要用于办公经费13.4万元，电费20万元，保障了50名工作人员正常开展工作。项目的实施有效保障政府办公场所节能减排工作，创建节能型机关，提高办事效率和群众幸福感。</w:t>
            </w:r>
          </w:p>
        </w:tc>
      </w:tr>
      <w:tr w14:paraId="23A7A4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AF3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DE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1F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1D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11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EC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A7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22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EB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CA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F8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AC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64B9">
            <w:pPr>
              <w:jc w:val="center"/>
            </w:pPr>
            <w:r>
              <w:rPr>
                <w:rFonts w:ascii="宋体" w:hAnsi="宋体" w:eastAsia="宋体"/>
                <w:sz w:val="16"/>
              </w:rPr>
              <w:t>偏差原因分析及改进措施</w:t>
            </w:r>
          </w:p>
        </w:tc>
      </w:tr>
      <w:tr w14:paraId="6C7580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B54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1BEF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15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C68B">
            <w:pPr>
              <w:jc w:val="center"/>
            </w:pPr>
            <w:r>
              <w:rPr>
                <w:rFonts w:ascii="宋体" w:hAnsi="宋体" w:eastAsia="宋体"/>
                <w:sz w:val="16"/>
              </w:rPr>
              <w:t>保障工作人员数（人）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5594">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6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DA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21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D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F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E0C2">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5C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F25A9">
            <w:pPr>
              <w:jc w:val="center"/>
            </w:pPr>
          </w:p>
        </w:tc>
      </w:tr>
      <w:tr w14:paraId="55B89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7A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E1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BA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D47F">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B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6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74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7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6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F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9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D7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8659">
            <w:pPr>
              <w:jc w:val="center"/>
            </w:pPr>
          </w:p>
        </w:tc>
      </w:tr>
      <w:tr w14:paraId="75E5A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B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F2F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EDD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036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45B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3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D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7D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2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0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6FBC">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EB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8CA0">
            <w:pPr>
              <w:jc w:val="center"/>
            </w:pPr>
          </w:p>
        </w:tc>
      </w:tr>
      <w:tr w14:paraId="63144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0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9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3A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F75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9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2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25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D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7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C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B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62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FE0A">
            <w:pPr>
              <w:jc w:val="center"/>
            </w:pPr>
          </w:p>
        </w:tc>
      </w:tr>
      <w:tr w14:paraId="0F06B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9B0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ED6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5BE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26B6">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4568">
            <w:pPr>
              <w:jc w:val="center"/>
            </w:pPr>
            <w:r>
              <w:rPr>
                <w:rFonts w:ascii="宋体" w:hAnsi="宋体" w:eastAsia="宋体"/>
                <w:sz w:val="16"/>
              </w:rPr>
              <w:t>&lt;=13.40万元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4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BD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E4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D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E5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E702">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C2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06CB9">
            <w:pPr>
              <w:jc w:val="center"/>
            </w:pPr>
          </w:p>
        </w:tc>
      </w:tr>
      <w:tr w14:paraId="24A31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48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30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01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BC60">
            <w:pPr>
              <w:jc w:val="center"/>
            </w:pPr>
            <w:r>
              <w:rPr>
                <w:rFonts w:ascii="宋体" w:hAnsi="宋体" w:eastAsia="宋体"/>
                <w:sz w:val="16"/>
              </w:rPr>
              <w:t>支付用电费用（万元）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C8D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2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1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AE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C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4B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3E9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DF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66C5C">
            <w:pPr>
              <w:jc w:val="center"/>
            </w:pPr>
          </w:p>
        </w:tc>
      </w:tr>
      <w:tr w14:paraId="74F71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2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A3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96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4CF4">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1462">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1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F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34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23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3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A174">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74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23C6">
            <w:pPr>
              <w:jc w:val="center"/>
            </w:pPr>
          </w:p>
        </w:tc>
      </w:tr>
      <w:tr w14:paraId="03D24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FA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6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A9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D37F">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37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3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E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3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16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F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07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0B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861CA">
            <w:pPr>
              <w:jc w:val="center"/>
            </w:pPr>
          </w:p>
        </w:tc>
      </w:tr>
      <w:tr w14:paraId="552E39C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BA7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F82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58D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026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EDC1E4"/>
        </w:tc>
      </w:tr>
    </w:tbl>
    <w:p w14:paraId="095E38C8">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22"/>
        <w:gridCol w:w="618"/>
        <w:gridCol w:w="618"/>
        <w:gridCol w:w="776"/>
        <w:gridCol w:w="632"/>
        <w:gridCol w:w="600"/>
        <w:gridCol w:w="627"/>
      </w:tblGrid>
      <w:tr w14:paraId="21F1BDCE">
        <w:tblPrEx>
          <w:tblCellMar>
            <w:top w:w="0" w:type="dxa"/>
            <w:left w:w="108" w:type="dxa"/>
            <w:bottom w:w="0" w:type="dxa"/>
            <w:right w:w="108" w:type="dxa"/>
          </w:tblCellMar>
        </w:tblPrEx>
        <w:tc>
          <w:tcPr>
            <w:tcW w:w="8848" w:type="dxa"/>
            <w:gridSpan w:val="14"/>
            <w:vAlign w:val="center"/>
          </w:tcPr>
          <w:p w14:paraId="79A7B541">
            <w:pPr>
              <w:jc w:val="center"/>
            </w:pPr>
            <w:r>
              <w:rPr>
                <w:rFonts w:ascii="宋体" w:hAnsi="宋体" w:eastAsia="宋体"/>
                <w:sz w:val="24"/>
              </w:rPr>
              <w:t>项目支出绩效自评表</w:t>
            </w:r>
          </w:p>
        </w:tc>
      </w:tr>
      <w:tr w14:paraId="04F83588">
        <w:tblPrEx>
          <w:tblCellMar>
            <w:top w:w="0" w:type="dxa"/>
            <w:left w:w="108" w:type="dxa"/>
            <w:bottom w:w="0" w:type="dxa"/>
            <w:right w:w="108" w:type="dxa"/>
          </w:tblCellMar>
        </w:tblPrEx>
        <w:tc>
          <w:tcPr>
            <w:tcW w:w="8848" w:type="dxa"/>
            <w:gridSpan w:val="14"/>
            <w:vAlign w:val="center"/>
          </w:tcPr>
          <w:p w14:paraId="7F2BBBE9">
            <w:pPr>
              <w:jc w:val="center"/>
            </w:pPr>
            <w:r>
              <w:rPr>
                <w:rFonts w:ascii="宋体" w:hAnsi="宋体" w:eastAsia="宋体"/>
                <w:sz w:val="24"/>
              </w:rPr>
              <w:t>(2024年度)</w:t>
            </w:r>
          </w:p>
        </w:tc>
      </w:tr>
      <w:tr w14:paraId="25C8B4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85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82B1D">
            <w:pPr>
              <w:jc w:val="center"/>
            </w:pPr>
            <w:r>
              <w:rPr>
                <w:rFonts w:ascii="宋体" w:hAnsi="宋体" w:eastAsia="宋体"/>
                <w:sz w:val="16"/>
              </w:rPr>
              <w:t>2024年叶城县依提木孔镇-萨依巴格乡道路建设项目-车辆购置税用于农村公路</w:t>
            </w:r>
            <w:r>
              <w:rPr>
                <w:rFonts w:hint="eastAsia" w:ascii="宋体" w:hAnsi="宋体"/>
                <w:sz w:val="16"/>
                <w:lang w:eastAsia="zh-CN"/>
              </w:rPr>
              <w:t>建设</w:t>
            </w:r>
            <w:r>
              <w:rPr>
                <w:rFonts w:ascii="宋体" w:hAnsi="宋体" w:eastAsia="宋体"/>
                <w:sz w:val="16"/>
              </w:rPr>
              <w:t>资金项目</w:t>
            </w:r>
          </w:p>
        </w:tc>
      </w:tr>
      <w:tr w14:paraId="1139CC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37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F41D9A">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74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C0769">
            <w:pPr>
              <w:jc w:val="center"/>
            </w:pPr>
            <w:r>
              <w:rPr>
                <w:rFonts w:ascii="宋体" w:hAnsi="宋体" w:eastAsia="宋体"/>
                <w:sz w:val="16"/>
              </w:rPr>
              <w:t>叶城县河园镇人民政府</w:t>
            </w:r>
          </w:p>
        </w:tc>
      </w:tr>
      <w:tr w14:paraId="392D9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751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20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E9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834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61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27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FA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7242">
            <w:pPr>
              <w:jc w:val="center"/>
            </w:pPr>
            <w:r>
              <w:rPr>
                <w:rFonts w:ascii="宋体" w:hAnsi="宋体" w:eastAsia="宋体"/>
                <w:sz w:val="16"/>
              </w:rPr>
              <w:t>得分</w:t>
            </w:r>
          </w:p>
        </w:tc>
      </w:tr>
      <w:tr w14:paraId="79083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419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9C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8F13">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6C64">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4E22B">
            <w:pPr>
              <w:jc w:val="center"/>
            </w:pPr>
            <w:r>
              <w:rPr>
                <w:rFonts w:ascii="宋体" w:hAnsi="宋体" w:eastAsia="宋体"/>
                <w:sz w:val="16"/>
              </w:rPr>
              <w:t>210.43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2E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0140">
            <w:pPr>
              <w:jc w:val="center"/>
            </w:pPr>
            <w:r>
              <w:rPr>
                <w:rFonts w:ascii="宋体" w:hAnsi="宋体" w:eastAsia="宋体"/>
                <w:sz w:val="16"/>
              </w:rPr>
              <w:t>87.68%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38B8">
            <w:pPr>
              <w:jc w:val="center"/>
            </w:pPr>
            <w:r>
              <w:rPr>
                <w:rFonts w:ascii="宋体" w:hAnsi="宋体" w:eastAsia="宋体"/>
                <w:sz w:val="16"/>
              </w:rPr>
              <w:t>6.92分</w:t>
            </w:r>
          </w:p>
        </w:tc>
      </w:tr>
      <w:tr w14:paraId="5DB25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157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C6C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1D234">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A6816">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0314">
            <w:pPr>
              <w:jc w:val="center"/>
            </w:pPr>
            <w:r>
              <w:rPr>
                <w:rFonts w:ascii="宋体" w:hAnsi="宋体" w:eastAsia="宋体"/>
                <w:sz w:val="16"/>
              </w:rPr>
              <w:t>210.43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1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896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3A01">
            <w:pPr>
              <w:jc w:val="center"/>
            </w:pPr>
            <w:r>
              <w:rPr>
                <w:rFonts w:ascii="宋体" w:hAnsi="宋体" w:eastAsia="宋体"/>
                <w:sz w:val="16"/>
              </w:rPr>
              <w:t>—</w:t>
            </w:r>
          </w:p>
        </w:tc>
      </w:tr>
      <w:tr w14:paraId="0B8CD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A9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7B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50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2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ED1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CC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66E1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624E">
            <w:pPr>
              <w:jc w:val="center"/>
            </w:pPr>
            <w:r>
              <w:rPr>
                <w:rFonts w:ascii="宋体" w:hAnsi="宋体" w:eastAsia="宋体"/>
                <w:sz w:val="16"/>
              </w:rPr>
              <w:t>—</w:t>
            </w:r>
          </w:p>
        </w:tc>
      </w:tr>
      <w:tr w14:paraId="5BF463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21A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1E7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5A4792">
            <w:pPr>
              <w:jc w:val="center"/>
            </w:pPr>
            <w:r>
              <w:rPr>
                <w:rFonts w:ascii="宋体" w:hAnsi="宋体" w:eastAsia="宋体"/>
                <w:sz w:val="16"/>
              </w:rPr>
              <w:t>实际完成情况</w:t>
            </w:r>
          </w:p>
        </w:tc>
      </w:tr>
      <w:tr w14:paraId="46C38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28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78A83">
            <w:pPr>
              <w:jc w:val="both"/>
            </w:pPr>
            <w:r>
              <w:rPr>
                <w:rFonts w:ascii="宋体" w:hAnsi="宋体" w:eastAsia="宋体"/>
                <w:sz w:val="16"/>
              </w:rPr>
              <w:t>该项目计划资金240万元，在河园镇2村、4村、7村、8村、9村、10村、12村、17村和18村新建路基防护栏，新建路基防护栏总长12km，路基防护栏标准为C级护栏，护栏位于道路单侧或双侧。通过项目的实施能够有效改善本辖区自然生态环境，减少因不慎导致的意外伤害，促进本辖区经济发展、增加种植业收入、稳定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BDB5FA">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实际支出210.43万元，执行率为87.7%，完成了在河园镇2村、4村、7村、8村、9村、10村、12村、17村和18村新建路基防护栏，新建路基防护栏总长12km，路基防护栏标准为C级护栏，护栏位于道路单侧或双侧，目前已验收项目，通过项目的实施能够有效改善本辖区自然生态环境，减少因不慎导致的意外伤害，促进本辖区经济发展、增加种植业收入、稳定社会。</w:t>
            </w:r>
          </w:p>
        </w:tc>
      </w:tr>
      <w:tr w14:paraId="4A7772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39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4F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CF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C4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34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72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4A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7D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08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57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A6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5D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BD763">
            <w:pPr>
              <w:jc w:val="center"/>
            </w:pPr>
            <w:r>
              <w:rPr>
                <w:rFonts w:ascii="宋体" w:hAnsi="宋体" w:eastAsia="宋体"/>
                <w:sz w:val="16"/>
              </w:rPr>
              <w:t>偏差原因分析及改进措施</w:t>
            </w:r>
          </w:p>
        </w:tc>
      </w:tr>
      <w:tr w14:paraId="57C6CD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B8A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702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F3F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51D9">
            <w:pPr>
              <w:jc w:val="center"/>
            </w:pPr>
            <w:r>
              <w:rPr>
                <w:rFonts w:ascii="宋体" w:hAnsi="宋体" w:eastAsia="宋体"/>
                <w:sz w:val="16"/>
              </w:rPr>
              <w:t>项目涉及村个数（个）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4D4">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7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D3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A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D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E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4C6B">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DF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EF98">
            <w:pPr>
              <w:jc w:val="center"/>
            </w:pPr>
          </w:p>
        </w:tc>
      </w:tr>
      <w:tr w14:paraId="07013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2D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19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E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EAFC">
            <w:pPr>
              <w:jc w:val="center"/>
            </w:pPr>
            <w:r>
              <w:rPr>
                <w:rFonts w:ascii="宋体" w:hAnsi="宋体" w:eastAsia="宋体"/>
                <w:sz w:val="16"/>
              </w:rPr>
              <w:t>新建路基防护栏总长（公里）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4D77">
            <w:pPr>
              <w:jc w:val="center"/>
            </w:pPr>
            <w:r>
              <w:rPr>
                <w:rFonts w:ascii="宋体" w:hAnsi="宋体" w:eastAsia="宋体"/>
                <w:sz w:val="16"/>
              </w:rPr>
              <w:t>&gt;=12公里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0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0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0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E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4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57F7">
            <w:pPr>
              <w:jc w:val="center"/>
            </w:pPr>
            <w:r>
              <w:rPr>
                <w:rFonts w:ascii="宋体" w:hAnsi="宋体" w:eastAsia="宋体"/>
                <w:sz w:val="16"/>
              </w:rPr>
              <w:t>=12公里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F8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BF70">
            <w:pPr>
              <w:jc w:val="center"/>
            </w:pPr>
          </w:p>
        </w:tc>
      </w:tr>
      <w:tr w14:paraId="01FF7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76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48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8E0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D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6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5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4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2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2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B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E4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170BF">
            <w:pPr>
              <w:jc w:val="center"/>
            </w:pPr>
          </w:p>
        </w:tc>
      </w:tr>
      <w:tr w14:paraId="553C9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D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C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87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602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82A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1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C2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C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6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5F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A3FD">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D643">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CA68">
            <w:pPr>
              <w:jc w:val="center"/>
            </w:pPr>
            <w:r>
              <w:rPr>
                <w:rFonts w:ascii="宋体" w:hAnsi="宋体" w:eastAsia="宋体"/>
                <w:sz w:val="16"/>
              </w:rPr>
              <w:t>偏差原因：该项目目前已验收，剩余资金将支付审计和决算费用，因年底审计工作繁忙，未能及时完成审计；改进措施：加快支付进度</w:t>
            </w:r>
          </w:p>
        </w:tc>
      </w:tr>
      <w:tr w14:paraId="472EC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C63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B8B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A9D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DBE6">
            <w:pPr>
              <w:jc w:val="center"/>
            </w:pPr>
            <w:r>
              <w:rPr>
                <w:rFonts w:ascii="宋体" w:hAnsi="宋体" w:eastAsia="宋体"/>
                <w:sz w:val="16"/>
              </w:rPr>
              <w:t>护栏费用（万元）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26C2">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3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B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B8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6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DA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E0D0">
            <w:pPr>
              <w:jc w:val="center"/>
            </w:pPr>
            <w:r>
              <w:rPr>
                <w:rFonts w:ascii="宋体" w:hAnsi="宋体" w:eastAsia="宋体"/>
                <w:sz w:val="16"/>
              </w:rPr>
              <w:t>=186.43万元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F9A3">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3D68D">
            <w:pPr>
              <w:jc w:val="center"/>
            </w:pPr>
            <w:r>
              <w:rPr>
                <w:rFonts w:ascii="宋体" w:hAnsi="宋体" w:eastAsia="宋体"/>
                <w:sz w:val="16"/>
              </w:rPr>
              <w:t>偏差原因：该项目目前已验收，剩余资金将支付审计和决算费用，因年底审计工作繁忙，未能及时完成审计；改进措施：加快支付进度</w:t>
            </w:r>
          </w:p>
        </w:tc>
      </w:tr>
      <w:tr w14:paraId="4B848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8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B6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41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DB36">
            <w:pPr>
              <w:jc w:val="center"/>
            </w:pPr>
            <w:r>
              <w:rPr>
                <w:rFonts w:hint="eastAsia" w:ascii="宋体" w:hAnsi="宋体"/>
                <w:sz w:val="16"/>
                <w:lang w:eastAsia="zh-CN"/>
              </w:rPr>
              <w:t>混凝土</w:t>
            </w:r>
            <w:r>
              <w:rPr>
                <w:rFonts w:ascii="宋体" w:hAnsi="宋体" w:eastAsia="宋体"/>
                <w:sz w:val="16"/>
              </w:rPr>
              <w:t>拆除成本（万元）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720C">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B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45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A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2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76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38CA">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A0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44F28">
            <w:pPr>
              <w:jc w:val="center"/>
            </w:pPr>
          </w:p>
        </w:tc>
      </w:tr>
      <w:tr w14:paraId="04123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77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DA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3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724B">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7D6C">
            <w:pPr>
              <w:jc w:val="center"/>
            </w:pPr>
            <w:r>
              <w:rPr>
                <w:rFonts w:ascii="宋体" w:hAnsi="宋体" w:eastAsia="宋体"/>
                <w:sz w:val="16"/>
              </w:rPr>
              <w:t>&lt;=13.20万元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D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2D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4B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A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7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F293">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BC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29F6">
            <w:pPr>
              <w:jc w:val="center"/>
            </w:pPr>
          </w:p>
        </w:tc>
      </w:tr>
      <w:tr w14:paraId="08090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5E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3F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CB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DFA1">
            <w:pPr>
              <w:jc w:val="center"/>
            </w:pPr>
            <w:r>
              <w:rPr>
                <w:rFonts w:ascii="宋体" w:hAnsi="宋体" w:eastAsia="宋体"/>
                <w:sz w:val="16"/>
              </w:rPr>
              <w:t>基本预备费（万元）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10AA">
            <w:pPr>
              <w:jc w:val="center"/>
            </w:pPr>
            <w:r>
              <w:rPr>
                <w:rFonts w:ascii="宋体" w:hAnsi="宋体" w:eastAsia="宋体"/>
                <w:sz w:val="16"/>
              </w:rPr>
              <w:t>&lt;=7.20万元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2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65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6F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2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1B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A027">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09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A70F">
            <w:pPr>
              <w:jc w:val="center"/>
            </w:pPr>
          </w:p>
        </w:tc>
      </w:tr>
      <w:tr w14:paraId="3C529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5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C4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74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FABA">
            <w:pPr>
              <w:jc w:val="center"/>
            </w:pPr>
            <w:r>
              <w:rPr>
                <w:rFonts w:ascii="宋体" w:hAnsi="宋体" w:eastAsia="宋体"/>
                <w:sz w:val="16"/>
              </w:rPr>
              <w:t>减少因不慎导致的意外伤害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F3B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E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60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11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6A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0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FFB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0F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596AD">
            <w:pPr>
              <w:jc w:val="center"/>
            </w:pPr>
          </w:p>
        </w:tc>
      </w:tr>
      <w:tr w14:paraId="370C2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19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56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2A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BCE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08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3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D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1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D1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C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30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7D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6689">
            <w:pPr>
              <w:jc w:val="center"/>
            </w:pPr>
          </w:p>
        </w:tc>
      </w:tr>
      <w:tr w14:paraId="00199E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F38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61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83A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EB9C">
            <w:pPr>
              <w:jc w:val="center"/>
            </w:pPr>
            <w:r>
              <w:rPr>
                <w:rFonts w:ascii="宋体" w:hAnsi="宋体" w:eastAsia="宋体"/>
                <w:sz w:val="16"/>
              </w:rPr>
              <w:t>94.92分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1FDCC1"/>
        </w:tc>
      </w:tr>
    </w:tbl>
    <w:p w14:paraId="4312FF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9DB8EAE">
        <w:tblPrEx>
          <w:tblCellMar>
            <w:top w:w="0" w:type="dxa"/>
            <w:left w:w="108" w:type="dxa"/>
            <w:bottom w:w="0" w:type="dxa"/>
            <w:right w:w="108" w:type="dxa"/>
          </w:tblCellMar>
        </w:tblPrEx>
        <w:tc>
          <w:tcPr>
            <w:tcW w:w="8848" w:type="dxa"/>
            <w:gridSpan w:val="14"/>
            <w:vAlign w:val="center"/>
          </w:tcPr>
          <w:p w14:paraId="33138460">
            <w:pPr>
              <w:jc w:val="center"/>
            </w:pPr>
            <w:r>
              <w:rPr>
                <w:rFonts w:ascii="宋体" w:hAnsi="宋体" w:eastAsia="宋体"/>
                <w:sz w:val="24"/>
              </w:rPr>
              <w:t>项目支出绩效自评表</w:t>
            </w:r>
          </w:p>
        </w:tc>
      </w:tr>
      <w:tr w14:paraId="2E59C9B8">
        <w:tblPrEx>
          <w:tblCellMar>
            <w:top w:w="0" w:type="dxa"/>
            <w:left w:w="108" w:type="dxa"/>
            <w:bottom w:w="0" w:type="dxa"/>
            <w:right w:w="108" w:type="dxa"/>
          </w:tblCellMar>
        </w:tblPrEx>
        <w:tc>
          <w:tcPr>
            <w:tcW w:w="8848" w:type="dxa"/>
            <w:gridSpan w:val="14"/>
            <w:vAlign w:val="center"/>
          </w:tcPr>
          <w:p w14:paraId="0AFA291B">
            <w:pPr>
              <w:jc w:val="center"/>
            </w:pPr>
            <w:r>
              <w:rPr>
                <w:rFonts w:ascii="宋体" w:hAnsi="宋体" w:eastAsia="宋体"/>
                <w:sz w:val="24"/>
              </w:rPr>
              <w:t>(2024年度)</w:t>
            </w:r>
          </w:p>
        </w:tc>
      </w:tr>
      <w:tr w14:paraId="2598F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4F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225B1E">
            <w:pPr>
              <w:jc w:val="center"/>
            </w:pPr>
            <w:r>
              <w:rPr>
                <w:rFonts w:ascii="宋体" w:hAnsi="宋体" w:eastAsia="宋体"/>
                <w:sz w:val="16"/>
              </w:rPr>
              <w:t>2024年综合发展与环境改善工程项目</w:t>
            </w:r>
          </w:p>
        </w:tc>
      </w:tr>
      <w:tr w14:paraId="22533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C2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CC1EA">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ED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E5104">
            <w:pPr>
              <w:jc w:val="center"/>
            </w:pPr>
            <w:r>
              <w:rPr>
                <w:rFonts w:ascii="宋体" w:hAnsi="宋体" w:eastAsia="宋体"/>
                <w:sz w:val="16"/>
              </w:rPr>
              <w:t>叶城县河园镇人民政府</w:t>
            </w:r>
          </w:p>
        </w:tc>
      </w:tr>
      <w:tr w14:paraId="178EB5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AA5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7F1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DE6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080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563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792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B0A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87A4">
            <w:pPr>
              <w:jc w:val="center"/>
            </w:pPr>
            <w:r>
              <w:rPr>
                <w:rFonts w:ascii="宋体" w:hAnsi="宋体" w:eastAsia="宋体"/>
                <w:sz w:val="16"/>
              </w:rPr>
              <w:t>得分</w:t>
            </w:r>
          </w:p>
        </w:tc>
      </w:tr>
      <w:tr w14:paraId="1F26A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69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C5C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FFA0">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4EF3">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9EBC">
            <w:pPr>
              <w:jc w:val="center"/>
            </w:pPr>
            <w:r>
              <w:rPr>
                <w:rFonts w:ascii="宋体" w:hAnsi="宋体" w:eastAsia="宋体"/>
                <w:sz w:val="16"/>
              </w:rPr>
              <w:t>192.63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88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26EE3">
            <w:pPr>
              <w:jc w:val="center"/>
            </w:pPr>
            <w:r>
              <w:rPr>
                <w:rFonts w:ascii="宋体" w:hAnsi="宋体" w:eastAsia="宋体"/>
                <w:sz w:val="16"/>
              </w:rPr>
              <w:t>83.8%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BACB">
            <w:pPr>
              <w:jc w:val="center"/>
            </w:pPr>
            <w:r>
              <w:rPr>
                <w:rFonts w:ascii="宋体" w:hAnsi="宋体" w:eastAsia="宋体"/>
                <w:sz w:val="16"/>
              </w:rPr>
              <w:t>5.94分</w:t>
            </w:r>
          </w:p>
        </w:tc>
      </w:tr>
      <w:tr w14:paraId="55C2B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1A9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A88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101C">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4F622">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AC4C">
            <w:pPr>
              <w:jc w:val="center"/>
            </w:pPr>
            <w:r>
              <w:rPr>
                <w:rFonts w:ascii="宋体" w:hAnsi="宋体" w:eastAsia="宋体"/>
                <w:sz w:val="16"/>
              </w:rPr>
              <w:t>192.63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90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5A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29E3">
            <w:pPr>
              <w:jc w:val="center"/>
            </w:pPr>
            <w:r>
              <w:rPr>
                <w:rFonts w:ascii="宋体" w:hAnsi="宋体" w:eastAsia="宋体"/>
                <w:sz w:val="16"/>
              </w:rPr>
              <w:t>—</w:t>
            </w:r>
          </w:p>
        </w:tc>
      </w:tr>
      <w:tr w14:paraId="7455E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B5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FE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5B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C1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403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0C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A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09C1">
            <w:pPr>
              <w:jc w:val="center"/>
            </w:pPr>
            <w:r>
              <w:rPr>
                <w:rFonts w:ascii="宋体" w:hAnsi="宋体" w:eastAsia="宋体"/>
                <w:sz w:val="16"/>
              </w:rPr>
              <w:t>—</w:t>
            </w:r>
          </w:p>
        </w:tc>
      </w:tr>
      <w:tr w14:paraId="409A28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7E5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1E1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8168C">
            <w:pPr>
              <w:jc w:val="center"/>
            </w:pPr>
            <w:r>
              <w:rPr>
                <w:rFonts w:ascii="宋体" w:hAnsi="宋体" w:eastAsia="宋体"/>
                <w:sz w:val="16"/>
              </w:rPr>
              <w:t>实际完成情况</w:t>
            </w:r>
          </w:p>
        </w:tc>
      </w:tr>
      <w:tr w14:paraId="11EC9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03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8E97A">
            <w:pPr>
              <w:jc w:val="both"/>
            </w:pPr>
            <w:r>
              <w:rPr>
                <w:rFonts w:ascii="宋体" w:hAnsi="宋体" w:eastAsia="宋体"/>
                <w:sz w:val="16"/>
              </w:rPr>
              <w:t>根据喀什地区关于叶城县2024年综合发展与环境改善工程可行性研究报告（代项目建议书）的批复。本项目总资金230万元，主要用于村民活动中心附属配套提升改造建设、村级公共服务基础设施提升建设、新建人大代表议事亭。通过相关项目建成和投入使用，促进河园镇 6 个乡村的经济发展，带动当地群众就业，增加群众收入。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BE8588">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年12月31日，该项目实际支出192.63万元，目前项目已完工，主要用于村民活动中心附属配套提升改造建设、村级公共服务基础设施提升建设、新建人大代表议事亭。通过相关项目建成和投入使用，促进河园镇 6 个乡村的经济发展，带动当地群众就业，增加群众收入，提高群众幸福度。</w:t>
            </w:r>
          </w:p>
        </w:tc>
      </w:tr>
      <w:tr w14:paraId="0F246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5BE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BC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92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D0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4C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CC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EB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D7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02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5E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58C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1A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CEAB">
            <w:pPr>
              <w:jc w:val="center"/>
            </w:pPr>
            <w:r>
              <w:rPr>
                <w:rFonts w:ascii="宋体" w:hAnsi="宋体" w:eastAsia="宋体"/>
                <w:sz w:val="16"/>
              </w:rPr>
              <w:t>偏差原因分析及改进措施</w:t>
            </w:r>
          </w:p>
        </w:tc>
      </w:tr>
      <w:tr w14:paraId="1DACFE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D83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E087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EB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C667">
            <w:pPr>
              <w:jc w:val="center"/>
            </w:pPr>
            <w:r>
              <w:rPr>
                <w:rFonts w:ascii="宋体" w:hAnsi="宋体" w:eastAsia="宋体"/>
                <w:sz w:val="16"/>
              </w:rPr>
              <w:t>项目涉及村个数（个）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E336">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1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9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9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4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4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8516">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52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CC5E5">
            <w:pPr>
              <w:jc w:val="center"/>
            </w:pPr>
          </w:p>
        </w:tc>
      </w:tr>
      <w:tr w14:paraId="45ED2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E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32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FE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E4A6">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8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F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7C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0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3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E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F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D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B4739">
            <w:pPr>
              <w:jc w:val="center"/>
            </w:pPr>
          </w:p>
        </w:tc>
      </w:tr>
      <w:tr w14:paraId="6F544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8E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729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DA7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AF99">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F8C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2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1E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E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8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6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3728">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13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A5AA">
            <w:pPr>
              <w:jc w:val="center"/>
            </w:pPr>
          </w:p>
        </w:tc>
      </w:tr>
      <w:tr w14:paraId="5AE97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72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04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9F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1BD9">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B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8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9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B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3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9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7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D8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EAEE">
            <w:pPr>
              <w:jc w:val="center"/>
            </w:pPr>
          </w:p>
        </w:tc>
      </w:tr>
      <w:tr w14:paraId="7328F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27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F6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AA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9622">
            <w:pPr>
              <w:jc w:val="center"/>
            </w:pPr>
            <w:r>
              <w:rPr>
                <w:rFonts w:ascii="宋体" w:hAnsi="宋体" w:eastAsia="宋体"/>
                <w:sz w:val="16"/>
              </w:rPr>
              <w:t>每个村平均投资金额（万元）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F0A9">
            <w:pPr>
              <w:jc w:val="center"/>
            </w:pPr>
            <w:r>
              <w:rPr>
                <w:rFonts w:ascii="宋体" w:hAnsi="宋体" w:eastAsia="宋体"/>
                <w:sz w:val="16"/>
              </w:rPr>
              <w:t>&lt;=38.33万元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B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3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31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1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5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0029">
            <w:pPr>
              <w:jc w:val="center"/>
            </w:pPr>
            <w:r>
              <w:rPr>
                <w:rFonts w:ascii="宋体" w:hAnsi="宋体" w:eastAsia="宋体"/>
                <w:sz w:val="16"/>
              </w:rPr>
              <w:t>=32.1万元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4FB8">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98239">
            <w:pPr>
              <w:jc w:val="center"/>
            </w:pPr>
            <w:r>
              <w:rPr>
                <w:rFonts w:ascii="宋体" w:hAnsi="宋体" w:eastAsia="宋体"/>
                <w:sz w:val="16"/>
              </w:rPr>
              <w:t>偏差原因：该项目目前已完工并验收，剩余资金将退回国库；改进措施：加强资金管理</w:t>
            </w:r>
          </w:p>
        </w:tc>
      </w:tr>
      <w:tr w14:paraId="51EB5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C4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7E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1E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93E3">
            <w:pPr>
              <w:jc w:val="center"/>
            </w:pPr>
            <w:r>
              <w:rPr>
                <w:rFonts w:ascii="宋体" w:hAnsi="宋体" w:eastAsia="宋体"/>
                <w:sz w:val="16"/>
              </w:rPr>
              <w:t>基层民生改善、提升基础设施条件、推动经济健康发展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3D64">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A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D1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80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23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6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5FF3">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91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2238">
            <w:pPr>
              <w:jc w:val="center"/>
            </w:pPr>
          </w:p>
        </w:tc>
      </w:tr>
      <w:tr w14:paraId="0AC2E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A7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7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48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D24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99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E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2E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7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5B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4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DC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D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A194">
            <w:pPr>
              <w:jc w:val="center"/>
            </w:pPr>
          </w:p>
        </w:tc>
      </w:tr>
      <w:tr w14:paraId="442028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89C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6A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BB7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6FF8">
            <w:pPr>
              <w:jc w:val="center"/>
            </w:pPr>
            <w:r>
              <w:rPr>
                <w:rFonts w:ascii="宋体" w:hAnsi="宋体" w:eastAsia="宋体"/>
                <w:sz w:val="16"/>
              </w:rPr>
              <w:t>87.79分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E54AAF"/>
        </w:tc>
      </w:tr>
    </w:tbl>
    <w:p w14:paraId="3A7F5927">
      <w:r>
        <w:br w:type="page"/>
      </w:r>
    </w:p>
    <w:p w14:paraId="65C32EFD">
      <w:pPr>
        <w:spacing w:line="640" w:lineRule="exact"/>
        <w:ind w:firstLine="640"/>
        <w:jc w:val="both"/>
        <w:outlineLvl w:val="2"/>
      </w:pPr>
      <w:r>
        <w:rPr>
          <w:rFonts w:ascii="黑体" w:hAnsi="黑体" w:eastAsia="黑体"/>
          <w:sz w:val="32"/>
        </w:rPr>
        <w:t>十二、其他需说明的事项</w:t>
      </w:r>
    </w:p>
    <w:p w14:paraId="3CCF3321">
      <w:pPr>
        <w:spacing w:line="580" w:lineRule="exact"/>
        <w:ind w:firstLine="640"/>
        <w:jc w:val="both"/>
      </w:pPr>
      <w:r>
        <w:rPr>
          <w:rFonts w:ascii="仿宋_GB2312" w:hAnsi="仿宋_GB2312" w:eastAsia="仿宋_GB2312"/>
          <w:b w:val="0"/>
          <w:sz w:val="32"/>
        </w:rPr>
        <w:t>本单位无其他需说明的事项。</w:t>
      </w:r>
    </w:p>
    <w:p w14:paraId="5A90FAAD">
      <w:r>
        <w:br w:type="page"/>
      </w:r>
    </w:p>
    <w:p w14:paraId="385C302E">
      <w:pPr>
        <w:spacing w:line="240" w:lineRule="auto"/>
        <w:jc w:val="center"/>
        <w:outlineLvl w:val="1"/>
      </w:pPr>
      <w:r>
        <w:rPr>
          <w:rFonts w:ascii="黑体" w:hAnsi="黑体" w:eastAsia="黑体"/>
          <w:sz w:val="32"/>
        </w:rPr>
        <w:t>第三部分 专业名词解释</w:t>
      </w:r>
    </w:p>
    <w:p w14:paraId="3487A58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3AAC08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C500A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8C15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F9337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9DE5BA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AD56AD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5AF4F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21F63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100DC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DF84B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E5E31A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7CE58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E680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18505C">
      <w:r>
        <w:br w:type="page"/>
      </w:r>
    </w:p>
    <w:p w14:paraId="5107B359">
      <w:pPr>
        <w:spacing w:line="240" w:lineRule="auto"/>
        <w:jc w:val="center"/>
        <w:outlineLvl w:val="1"/>
      </w:pPr>
      <w:r>
        <w:rPr>
          <w:rFonts w:ascii="黑体" w:hAnsi="黑体" w:eastAsia="黑体"/>
          <w:sz w:val="32"/>
        </w:rPr>
        <w:t>第四部分 部门决算报表（见附表）</w:t>
      </w:r>
    </w:p>
    <w:p w14:paraId="7C9675FC">
      <w:pPr>
        <w:spacing w:line="240" w:lineRule="auto"/>
        <w:ind w:firstLine="640"/>
        <w:jc w:val="both"/>
      </w:pPr>
      <w:r>
        <w:rPr>
          <w:rFonts w:ascii="仿宋_GB2312" w:hAnsi="仿宋_GB2312" w:eastAsia="仿宋_GB2312"/>
          <w:b w:val="0"/>
          <w:sz w:val="32"/>
        </w:rPr>
        <w:t>一、《收入支出决算总表》</w:t>
      </w:r>
    </w:p>
    <w:p w14:paraId="41448FC2">
      <w:pPr>
        <w:spacing w:line="240" w:lineRule="auto"/>
        <w:ind w:firstLine="640"/>
        <w:jc w:val="both"/>
      </w:pPr>
      <w:r>
        <w:rPr>
          <w:rFonts w:ascii="仿宋_GB2312" w:hAnsi="仿宋_GB2312" w:eastAsia="仿宋_GB2312"/>
          <w:b w:val="0"/>
          <w:sz w:val="32"/>
        </w:rPr>
        <w:t>二、《收入决算表》</w:t>
      </w:r>
    </w:p>
    <w:p w14:paraId="7ECD17B9">
      <w:pPr>
        <w:spacing w:line="240" w:lineRule="auto"/>
        <w:ind w:firstLine="640"/>
        <w:jc w:val="both"/>
      </w:pPr>
      <w:r>
        <w:rPr>
          <w:rFonts w:ascii="仿宋_GB2312" w:hAnsi="仿宋_GB2312" w:eastAsia="仿宋_GB2312"/>
          <w:b w:val="0"/>
          <w:sz w:val="32"/>
        </w:rPr>
        <w:t>三、《支出决算表》</w:t>
      </w:r>
    </w:p>
    <w:p w14:paraId="14DD9F21">
      <w:pPr>
        <w:spacing w:line="240" w:lineRule="auto"/>
        <w:ind w:firstLine="640"/>
        <w:jc w:val="both"/>
      </w:pPr>
      <w:r>
        <w:rPr>
          <w:rFonts w:ascii="仿宋_GB2312" w:hAnsi="仿宋_GB2312" w:eastAsia="仿宋_GB2312"/>
          <w:b w:val="0"/>
          <w:sz w:val="32"/>
        </w:rPr>
        <w:t>四、《财政拨款收入支出决算总表》</w:t>
      </w:r>
    </w:p>
    <w:p w14:paraId="7DBB6775">
      <w:pPr>
        <w:spacing w:line="240" w:lineRule="auto"/>
        <w:ind w:firstLine="640"/>
        <w:jc w:val="both"/>
      </w:pPr>
      <w:r>
        <w:rPr>
          <w:rFonts w:ascii="仿宋_GB2312" w:hAnsi="仿宋_GB2312" w:eastAsia="仿宋_GB2312"/>
          <w:b w:val="0"/>
          <w:sz w:val="32"/>
        </w:rPr>
        <w:t>五、《一般公共预算财政拨款支出决算表》</w:t>
      </w:r>
    </w:p>
    <w:p w14:paraId="6C29C2F4">
      <w:pPr>
        <w:spacing w:line="240" w:lineRule="auto"/>
        <w:ind w:firstLine="640"/>
        <w:jc w:val="both"/>
      </w:pPr>
      <w:r>
        <w:rPr>
          <w:rFonts w:ascii="仿宋_GB2312" w:hAnsi="仿宋_GB2312" w:eastAsia="仿宋_GB2312"/>
          <w:b w:val="0"/>
          <w:sz w:val="32"/>
        </w:rPr>
        <w:t>六、《一般公共预算财政拨款基本支出决算表》</w:t>
      </w:r>
    </w:p>
    <w:p w14:paraId="6CFFE2CB">
      <w:pPr>
        <w:spacing w:line="240" w:lineRule="auto"/>
        <w:ind w:firstLine="640"/>
        <w:jc w:val="both"/>
      </w:pPr>
      <w:r>
        <w:rPr>
          <w:rFonts w:ascii="仿宋_GB2312" w:hAnsi="仿宋_GB2312" w:eastAsia="仿宋_GB2312"/>
          <w:b w:val="0"/>
          <w:sz w:val="32"/>
        </w:rPr>
        <w:t>七、《政府性基金预算财政拨款收入支出决算表》</w:t>
      </w:r>
    </w:p>
    <w:p w14:paraId="17AC9FCC">
      <w:pPr>
        <w:spacing w:line="240" w:lineRule="auto"/>
        <w:ind w:firstLine="640"/>
        <w:jc w:val="both"/>
      </w:pPr>
      <w:r>
        <w:rPr>
          <w:rFonts w:ascii="仿宋_GB2312" w:hAnsi="仿宋_GB2312" w:eastAsia="仿宋_GB2312"/>
          <w:b w:val="0"/>
          <w:sz w:val="32"/>
        </w:rPr>
        <w:t>八、《国有资本经营预算财政拨款收入支出决算表》</w:t>
      </w:r>
    </w:p>
    <w:p w14:paraId="16D0EC08">
      <w:pPr>
        <w:spacing w:line="240" w:lineRule="auto"/>
        <w:ind w:firstLine="640"/>
        <w:jc w:val="both"/>
      </w:pPr>
      <w:r>
        <w:rPr>
          <w:rFonts w:ascii="仿宋_GB2312" w:hAnsi="仿宋_GB2312" w:eastAsia="仿宋_GB2312"/>
          <w:b w:val="0"/>
          <w:sz w:val="32"/>
        </w:rPr>
        <w:t>九、《财政拨款“三公”经费支出决算表》</w:t>
      </w:r>
    </w:p>
    <w:p w14:paraId="7093BE9F">
      <w:pPr>
        <w:spacing w:line="240" w:lineRule="auto"/>
        <w:ind w:firstLine="640"/>
        <w:jc w:val="both"/>
      </w:pPr>
    </w:p>
    <w:p w14:paraId="3DF11C97">
      <w:pPr>
        <w:spacing w:line="240" w:lineRule="auto"/>
        <w:ind w:firstLine="640"/>
        <w:jc w:val="both"/>
      </w:pPr>
    </w:p>
    <w:p w14:paraId="146EC3F1">
      <w:pPr>
        <w:spacing w:line="240" w:lineRule="auto"/>
        <w:ind w:firstLine="640"/>
        <w:jc w:val="both"/>
      </w:pPr>
    </w:p>
    <w:p w14:paraId="4236F23E">
      <w:pPr>
        <w:spacing w:line="240" w:lineRule="auto"/>
        <w:ind w:firstLine="640"/>
        <w:jc w:val="both"/>
      </w:pPr>
    </w:p>
    <w:p w14:paraId="0D9F60D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B28685-52ED-4DA8-A2A1-07B34771C6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7C77257-8D7A-4303-87C6-467CF6447C28}"/>
  </w:font>
  <w:font w:name="仿宋_GB2312">
    <w:panose1 w:val="02010609030101010101"/>
    <w:charset w:val="86"/>
    <w:family w:val="modern"/>
    <w:pitch w:val="default"/>
    <w:sig w:usb0="00000001" w:usb1="080E0000" w:usb2="00000000" w:usb3="00000000" w:csb0="00040000" w:csb1="00000000"/>
    <w:embedRegular r:id="rId3" w:fontKey="{33454E0C-A6F2-4A34-9F72-3D75FF628BD1}"/>
  </w:font>
  <w:font w:name="楷体_GB2312">
    <w:panose1 w:val="02010609030101010101"/>
    <w:charset w:val="86"/>
    <w:family w:val="auto"/>
    <w:pitch w:val="default"/>
    <w:sig w:usb0="00000001" w:usb1="080E0000" w:usb2="00000000" w:usb3="00000000" w:csb0="00040000" w:csb1="00000000"/>
    <w:embedRegular r:id="rId4" w:fontKey="{E3E4078A-11AD-4D9B-89F7-3E56DE836E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FF735E"/>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9674C5"/>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6794</Words>
  <Characters>7905</Characters>
  <Lines>0</Lines>
  <Paragraphs>0</Paragraphs>
  <TotalTime>8</TotalTime>
  <ScaleCrop>false</ScaleCrop>
  <LinksUpToDate>false</LinksUpToDate>
  <CharactersWithSpaces>7913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2025-09-29T11:38:59Z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