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932F1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叶城县洛克乡人民政府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178B99">
      <w:r>
        <w:br w:type="page"/>
      </w:r>
    </w:p>
    <w:p w14:paraId="61B87625">
      <w:pPr>
        <w:spacing w:line="640" w:lineRule="exact"/>
        <w:jc w:val="center"/>
        <w:outlineLvl w:val="1"/>
      </w:pPr>
      <w:r>
        <w:rPr>
          <w:rFonts w:ascii="黑体" w:hAnsi="黑体" w:eastAsia="黑体"/>
          <w:sz w:val="32"/>
        </w:rPr>
        <w:t>第一部分 单位概况</w:t>
      </w:r>
    </w:p>
    <w:p w14:paraId="0BF1EF03">
      <w:pPr>
        <w:spacing w:line="640" w:lineRule="exact"/>
        <w:ind w:firstLine="640"/>
        <w:jc w:val="both"/>
        <w:outlineLvl w:val="2"/>
      </w:pPr>
      <w:r>
        <w:rPr>
          <w:rFonts w:ascii="黑体" w:hAnsi="黑体" w:eastAsia="黑体"/>
          <w:sz w:val="32"/>
        </w:rPr>
        <w:t>一、主要职能</w:t>
      </w:r>
    </w:p>
    <w:p w14:paraId="7BF9BA6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新疆维吾尔自治区喀什地区叶城县洛克乡人民政府负责全片区党政行政管理事务。以贯彻落实党的二十大精神，以习近平新时代中国特色社会主义思想为指导，坚决贯彻执行党中央、国务院、自治区、地区及县委、县人民政府的有关方面政策指示，把党的各项优惠政策落实到实处，负责全区经济社会发展、社会事务管理、社会安全、基层组织建设等全面工作。以全面建设社会主义新农村为根本出发点，不断深化美丽乡村建设为总目标，不断铸牢全区经济社会发展基础，为全区各族群众提供社会服务。</w:t>
      </w:r>
    </w:p>
    <w:p w14:paraId="0D725FA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以时不我待的精神，按照“总目标”要求，以全面推进</w:t>
      </w:r>
      <w:r>
        <w:rPr>
          <w:rFonts w:hint="eastAsia" w:ascii="仿宋_GB2312" w:hAnsi="仿宋_GB2312" w:eastAsia="仿宋_GB2312"/>
          <w:sz w:val="32"/>
          <w:lang w:eastAsia="zh-CN"/>
        </w:rPr>
        <w:t>乡村振兴</w:t>
      </w:r>
      <w:r>
        <w:rPr>
          <w:rFonts w:ascii="仿宋_GB2312" w:hAnsi="仿宋_GB2312" w:eastAsia="仿宋_GB2312"/>
          <w:sz w:val="32"/>
        </w:rPr>
        <w:t>为总抓手，按照</w:t>
      </w:r>
      <w:r>
        <w:rPr>
          <w:rFonts w:hint="eastAsia" w:ascii="仿宋_GB2312" w:hAnsi="仿宋_GB2312" w:eastAsia="仿宋_GB2312"/>
          <w:sz w:val="32"/>
          <w:lang w:eastAsia="zh-CN"/>
        </w:rPr>
        <w:t>习近平总书记重要讲话精神</w:t>
      </w:r>
      <w:r>
        <w:rPr>
          <w:rFonts w:ascii="仿宋_GB2312" w:hAnsi="仿宋_GB2312" w:eastAsia="仿宋_GB2312"/>
          <w:sz w:val="32"/>
        </w:rPr>
        <w:t>为指引，以学习党史为契机，大力改进干部工作作风，以全心全意为中国人民谋幸福，为中华谋复兴的中国梦为总思路，带领全片区各族人民大力发展特色产业，不断优化产业结构，发展以“小商品市场经济、跳蚤市场”为首的各项经济。</w:t>
      </w:r>
    </w:p>
    <w:p w14:paraId="6BB7C512">
      <w:pPr>
        <w:spacing w:line="640" w:lineRule="exact"/>
        <w:ind w:firstLine="640"/>
        <w:jc w:val="both"/>
        <w:outlineLvl w:val="2"/>
      </w:pPr>
      <w:r>
        <w:rPr>
          <w:rFonts w:ascii="黑体" w:hAnsi="黑体" w:eastAsia="黑体"/>
          <w:sz w:val="32"/>
        </w:rPr>
        <w:t>二、机构设置及人员情况</w:t>
      </w:r>
    </w:p>
    <w:p w14:paraId="304B704D">
      <w:pPr>
        <w:spacing w:line="580" w:lineRule="exact"/>
        <w:ind w:firstLine="640"/>
        <w:jc w:val="both"/>
      </w:pPr>
      <w:r>
        <w:rPr>
          <w:rFonts w:ascii="仿宋_GB2312" w:hAnsi="仿宋_GB2312" w:eastAsia="仿宋_GB2312"/>
          <w:sz w:val="32"/>
        </w:rPr>
        <w:t>叶城县洛克乡人民政府2024年度，实有人数108人，其中：在职人员97人，减少8人；离休人员0人，增加0人；退休人员11人,减少2人。</w:t>
      </w:r>
    </w:p>
    <w:p w14:paraId="60F6DFE2">
      <w:pPr>
        <w:spacing w:line="580" w:lineRule="exact"/>
        <w:ind w:firstLine="640"/>
        <w:jc w:val="both"/>
      </w:pPr>
      <w:r>
        <w:rPr>
          <w:rFonts w:ascii="仿宋_GB2312" w:hAnsi="仿宋_GB2312" w:eastAsia="仿宋_GB2312"/>
          <w:sz w:val="32"/>
        </w:rPr>
        <w:t>叶城县洛克乡人民政府无下属预算单位，下设5个科室，分别是：党政办、党建办、综治办、社会事务办、农业发展中心。</w:t>
      </w:r>
    </w:p>
    <w:p w14:paraId="70782FBC">
      <w:r>
        <w:br w:type="page"/>
      </w:r>
    </w:p>
    <w:p w14:paraId="22C0F775">
      <w:pPr>
        <w:spacing w:line="240" w:lineRule="auto"/>
        <w:jc w:val="center"/>
        <w:outlineLvl w:val="1"/>
      </w:pPr>
      <w:r>
        <w:rPr>
          <w:rFonts w:ascii="黑体" w:hAnsi="黑体" w:eastAsia="黑体"/>
          <w:sz w:val="32"/>
        </w:rPr>
        <w:t>第二部分 部门决算情况说明</w:t>
      </w:r>
    </w:p>
    <w:p w14:paraId="271BD891">
      <w:pPr>
        <w:spacing w:line="640" w:lineRule="exact"/>
        <w:ind w:firstLine="640"/>
        <w:jc w:val="both"/>
        <w:outlineLvl w:val="2"/>
      </w:pPr>
      <w:r>
        <w:rPr>
          <w:rFonts w:ascii="黑体" w:hAnsi="黑体" w:eastAsia="黑体"/>
          <w:sz w:val="32"/>
        </w:rPr>
        <w:t>一、收入支出决算总体情况说明</w:t>
      </w:r>
    </w:p>
    <w:p w14:paraId="3AEB6890">
      <w:pPr>
        <w:spacing w:line="580" w:lineRule="exact"/>
        <w:ind w:firstLine="640"/>
        <w:jc w:val="both"/>
      </w:pPr>
      <w:r>
        <w:rPr>
          <w:rFonts w:ascii="仿宋_GB2312" w:hAnsi="仿宋_GB2312" w:eastAsia="仿宋_GB2312"/>
          <w:b/>
          <w:sz w:val="32"/>
        </w:rPr>
        <w:t>2024年度收入总计8,152.74万元，</w:t>
      </w:r>
      <w:r>
        <w:rPr>
          <w:rFonts w:ascii="仿宋_GB2312" w:hAnsi="仿宋_GB2312" w:eastAsia="仿宋_GB2312"/>
          <w:b w:val="0"/>
          <w:sz w:val="32"/>
        </w:rPr>
        <w:t>其中：本年收入合计8,152.74万元，使用非财政拨款结余（含专用结余）0.00万元，年初结转和结余0.00万元。</w:t>
      </w:r>
    </w:p>
    <w:p w14:paraId="4349C253">
      <w:pPr>
        <w:spacing w:line="580" w:lineRule="exact"/>
        <w:ind w:firstLine="640"/>
        <w:jc w:val="both"/>
      </w:pPr>
      <w:r>
        <w:rPr>
          <w:rFonts w:ascii="仿宋_GB2312" w:hAnsi="仿宋_GB2312" w:eastAsia="仿宋_GB2312"/>
          <w:b/>
          <w:sz w:val="32"/>
        </w:rPr>
        <w:t>2024年度支出总计8,152.74万元，</w:t>
      </w:r>
      <w:r>
        <w:rPr>
          <w:rFonts w:ascii="仿宋_GB2312" w:hAnsi="仿宋_GB2312" w:eastAsia="仿宋_GB2312"/>
          <w:b w:val="0"/>
          <w:sz w:val="32"/>
        </w:rPr>
        <w:t>其中：本年支出合计8,152.74万元，结余分配0.00万元，年末结转和结余0.00万元。</w:t>
      </w:r>
    </w:p>
    <w:p w14:paraId="63F30F85">
      <w:pPr>
        <w:spacing w:line="580" w:lineRule="exact"/>
        <w:ind w:firstLine="640"/>
        <w:jc w:val="both"/>
      </w:pPr>
      <w:r>
        <w:rPr>
          <w:rFonts w:ascii="仿宋_GB2312" w:hAnsi="仿宋_GB2312" w:eastAsia="仿宋_GB2312"/>
          <w:b w:val="0"/>
          <w:sz w:val="32"/>
        </w:rPr>
        <w:t>收入支出总体与上年相比，减少5,344.56万元，下降39.60%，主要原因是：本年减少叶城县洛克乡2022年中央补助地方公共文化服务体系建设、2023年第一批自治区预算内投资（前期费）、叶城县洛克乡污水处理建设、叶城县洛克乡阿热买里(5)村基础设施建设项目经费，导致相关经费减少。</w:t>
      </w:r>
    </w:p>
    <w:p w14:paraId="0043E5A4">
      <w:pPr>
        <w:spacing w:line="640" w:lineRule="exact"/>
        <w:ind w:firstLine="640"/>
        <w:jc w:val="both"/>
        <w:outlineLvl w:val="2"/>
      </w:pPr>
      <w:r>
        <w:rPr>
          <w:rFonts w:ascii="黑体" w:hAnsi="黑体" w:eastAsia="黑体"/>
          <w:sz w:val="32"/>
        </w:rPr>
        <w:t>二、收入决算情况说明</w:t>
      </w:r>
    </w:p>
    <w:p w14:paraId="34750DB3">
      <w:pPr>
        <w:spacing w:line="580" w:lineRule="exact"/>
        <w:ind w:firstLine="640"/>
        <w:jc w:val="both"/>
      </w:pPr>
      <w:r>
        <w:rPr>
          <w:rFonts w:ascii="仿宋_GB2312" w:hAnsi="仿宋_GB2312" w:eastAsia="仿宋_GB2312"/>
          <w:b/>
          <w:sz w:val="32"/>
        </w:rPr>
        <w:t>本年收入8,152.74万元，</w:t>
      </w:r>
      <w:r>
        <w:rPr>
          <w:rFonts w:ascii="仿宋_GB2312" w:hAnsi="仿宋_GB2312" w:eastAsia="仿宋_GB2312"/>
          <w:b w:val="0"/>
          <w:sz w:val="32"/>
        </w:rPr>
        <w:t>其中：财政拨款收入8,152.74万元，占100.00%；上级补助收入0.00万元，占0.00%；事业收入0.00万元，占0.00%；经营收入0.00万元，占0.00%；附属单位上缴收入0.00万元，占0.00%；其他收入0.00万元，占0.00%。</w:t>
      </w:r>
    </w:p>
    <w:p w14:paraId="33CD4416">
      <w:pPr>
        <w:spacing w:line="640" w:lineRule="exact"/>
        <w:ind w:firstLine="640"/>
        <w:jc w:val="both"/>
        <w:outlineLvl w:val="2"/>
      </w:pPr>
      <w:r>
        <w:rPr>
          <w:rFonts w:ascii="黑体" w:hAnsi="黑体" w:eastAsia="黑体"/>
          <w:sz w:val="32"/>
        </w:rPr>
        <w:t>三、支出决算情况说明</w:t>
      </w:r>
    </w:p>
    <w:p w14:paraId="724907E0">
      <w:pPr>
        <w:spacing w:line="580" w:lineRule="exact"/>
        <w:ind w:firstLine="640"/>
        <w:jc w:val="both"/>
      </w:pPr>
      <w:r>
        <w:rPr>
          <w:rFonts w:ascii="仿宋_GB2312" w:hAnsi="仿宋_GB2312" w:eastAsia="仿宋_GB2312"/>
          <w:b/>
          <w:sz w:val="32"/>
        </w:rPr>
        <w:t>本年支出8,152.74万元，</w:t>
      </w:r>
      <w:r>
        <w:rPr>
          <w:rFonts w:ascii="仿宋_GB2312" w:hAnsi="仿宋_GB2312" w:eastAsia="仿宋_GB2312"/>
          <w:b w:val="0"/>
          <w:sz w:val="32"/>
        </w:rPr>
        <w:t>其中：基本支出2,065.69万元，占25.34%；项目支出6,087.05万元，占74.66%；上缴上级支出0.00万元，占0.00%；经营支出0.00万元，占0.00%；对附属单位补助支出0.00万元，占0.00%。</w:t>
      </w:r>
    </w:p>
    <w:p w14:paraId="0F4E145A">
      <w:pPr>
        <w:spacing w:line="640" w:lineRule="exact"/>
        <w:ind w:firstLine="640"/>
        <w:jc w:val="both"/>
        <w:outlineLvl w:val="2"/>
      </w:pPr>
      <w:r>
        <w:rPr>
          <w:rFonts w:ascii="黑体" w:hAnsi="黑体" w:eastAsia="黑体"/>
          <w:sz w:val="32"/>
        </w:rPr>
        <w:t>四、财政拨款收入支出决算总体情况说明</w:t>
      </w:r>
    </w:p>
    <w:p w14:paraId="2CD35056">
      <w:pPr>
        <w:spacing w:line="580" w:lineRule="exact"/>
        <w:ind w:firstLine="640"/>
        <w:jc w:val="both"/>
      </w:pPr>
      <w:r>
        <w:rPr>
          <w:rFonts w:ascii="仿宋_GB2312" w:hAnsi="仿宋_GB2312" w:eastAsia="仿宋_GB2312"/>
          <w:b/>
          <w:sz w:val="32"/>
        </w:rPr>
        <w:t>2024年度财政拨款收入总计8,152.74万元，</w:t>
      </w:r>
      <w:r>
        <w:rPr>
          <w:rFonts w:ascii="仿宋_GB2312" w:hAnsi="仿宋_GB2312" w:eastAsia="仿宋_GB2312"/>
          <w:b w:val="0"/>
          <w:sz w:val="32"/>
        </w:rPr>
        <w:t>其中：年初财政拨款结转和结余0.00万元，本年财政拨款收入8,152.74万元。</w:t>
      </w:r>
      <w:r>
        <w:rPr>
          <w:rFonts w:ascii="仿宋_GB2312" w:hAnsi="仿宋_GB2312" w:eastAsia="仿宋_GB2312"/>
          <w:b/>
          <w:sz w:val="32"/>
        </w:rPr>
        <w:t>财政拨款支出总计8,152.74万元，</w:t>
      </w:r>
      <w:r>
        <w:rPr>
          <w:rFonts w:ascii="仿宋_GB2312" w:hAnsi="仿宋_GB2312" w:eastAsia="仿宋_GB2312"/>
          <w:b w:val="0"/>
          <w:sz w:val="32"/>
        </w:rPr>
        <w:t>其中：年末财政拨款结转和结余0.00万元，本年财政拨款支出8,152.74万元。</w:t>
      </w:r>
    </w:p>
    <w:p w14:paraId="3E50F4E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5,344.56万元，下降39.60%，主要原因是：本年减少叶城县洛克乡2022年中央补助地方公共文化服务体系建设、2023年第一批自治区预算内投资（前期费）、叶城县洛克乡污水处理建设、叶城县洛克乡阿热买里(5)村基础设施建设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年初预算数2,299.33万元，决算数8,152.74万元，预决算差异率254.57%，主要原因是：年中追加2024年自治区农村幸福大院运转补助资金项目、叶城县洛克乡农村</w:t>
      </w:r>
      <w:r>
        <w:rPr>
          <w:rFonts w:hint="eastAsia" w:ascii="仿宋_GB2312" w:hAnsi="仿宋_GB2312" w:eastAsia="仿宋_GB2312"/>
          <w:b w:val="0"/>
          <w:sz w:val="32"/>
          <w:lang w:eastAsia="zh-CN"/>
        </w:rPr>
        <w:t>水利</w:t>
      </w:r>
      <w:r>
        <w:rPr>
          <w:rFonts w:ascii="仿宋_GB2312" w:hAnsi="仿宋_GB2312" w:eastAsia="仿宋_GB2312"/>
          <w:b w:val="0"/>
          <w:sz w:val="32"/>
        </w:rPr>
        <w:t>基础设施建设2024年中央财政以工代赈项目、叶城县2024年洛克乡8村示范村乡村建设项目、叶城县2024年洛克乡种植业基地配套建设项目。叶城县洛克乡土地碎片化整理项目、叶城县2024年洛克乡2村示范村林果提质增效建设项目、2024年为民办实事项目、2024年乡镇信息奖励经费项目、叶城县2024年洛克乡林粮间作节水设施配套项目、2024年林果业整形修剪补助项目，导致预决算差异。</w:t>
      </w:r>
    </w:p>
    <w:p w14:paraId="1C6EEE2C">
      <w:pPr>
        <w:spacing w:line="640" w:lineRule="exact"/>
        <w:ind w:firstLine="640"/>
        <w:jc w:val="both"/>
        <w:outlineLvl w:val="2"/>
      </w:pPr>
      <w:r>
        <w:rPr>
          <w:rFonts w:ascii="黑体" w:hAnsi="黑体" w:eastAsia="黑体"/>
          <w:sz w:val="32"/>
        </w:rPr>
        <w:t>五、一般公共预算财政拨款支出决算情况说明</w:t>
      </w:r>
    </w:p>
    <w:p w14:paraId="0C248D1C">
      <w:pPr>
        <w:spacing w:line="640" w:lineRule="exact"/>
        <w:ind w:firstLine="640"/>
        <w:jc w:val="both"/>
        <w:outlineLvl w:val="3"/>
      </w:pPr>
      <w:r>
        <w:rPr>
          <w:rFonts w:ascii="楷体_GB2312" w:hAnsi="楷体_GB2312" w:eastAsia="楷体_GB2312"/>
          <w:b/>
          <w:sz w:val="32"/>
        </w:rPr>
        <w:t>（一）一般公共预算财政拨款支出决算总体情况</w:t>
      </w:r>
    </w:p>
    <w:p w14:paraId="1502EF05">
      <w:pPr>
        <w:spacing w:line="580" w:lineRule="exact"/>
        <w:ind w:firstLine="640"/>
        <w:jc w:val="both"/>
      </w:pPr>
      <w:r>
        <w:rPr>
          <w:rFonts w:ascii="仿宋_GB2312" w:hAnsi="仿宋_GB2312" w:eastAsia="仿宋_GB2312"/>
          <w:b/>
          <w:sz w:val="32"/>
        </w:rPr>
        <w:t>2024年度一般公共预算财政拨款支出8,152.74万元，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5,344.56万元，下降39.60%，主要原因是：本年减少叶城县洛克乡2022年中央补助地方公共文化服务体系建设、2023年第一批自治区预算内投资（前期费）、叶城县洛克乡污水处理建设、叶城县洛克乡阿热买里(5)村基础设施建设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年初预算数2,299.33万元，决算数8,152.74万元，预决算差异率254.57%，主要原因是：年中追加2024年自治区农村幸福大院运转补助资金项目、叶城县洛克乡农村</w:t>
      </w:r>
      <w:r>
        <w:rPr>
          <w:rFonts w:hint="eastAsia" w:ascii="仿宋_GB2312" w:hAnsi="仿宋_GB2312" w:eastAsia="仿宋_GB2312"/>
          <w:b w:val="0"/>
          <w:sz w:val="32"/>
          <w:lang w:eastAsia="zh-CN"/>
        </w:rPr>
        <w:t>水利</w:t>
      </w:r>
      <w:r>
        <w:rPr>
          <w:rFonts w:ascii="仿宋_GB2312" w:hAnsi="仿宋_GB2312" w:eastAsia="仿宋_GB2312"/>
          <w:b w:val="0"/>
          <w:sz w:val="32"/>
        </w:rPr>
        <w:t>基础设施建设2024年中央财政以工代赈项目、叶城县2024年洛克乡8村示范村乡村建设项目、叶城县2024年洛克乡种植业基地配套建设项目。叶城县洛克乡土地碎片化整理项目、叶城县2024年洛克乡2村示范村林果提质增效建设项目、2024年为民办实事项目、2024年乡镇信息奖励经费项目、叶城县2024年洛克乡林粮间作节水设施配套项目、2024年林果业整形修剪补助项目，导致预决算差异。</w:t>
      </w:r>
    </w:p>
    <w:p w14:paraId="33E2F358">
      <w:pPr>
        <w:spacing w:line="640" w:lineRule="exact"/>
        <w:ind w:firstLine="640"/>
        <w:jc w:val="both"/>
        <w:outlineLvl w:val="3"/>
      </w:pPr>
      <w:r>
        <w:rPr>
          <w:rFonts w:ascii="楷体_GB2312" w:hAnsi="楷体_GB2312" w:eastAsia="楷体_GB2312"/>
          <w:b/>
          <w:sz w:val="32"/>
        </w:rPr>
        <w:t>（二）一般公共预算财政拨款支出决算结构情况</w:t>
      </w:r>
    </w:p>
    <w:p w14:paraId="30C554D7">
      <w:pPr>
        <w:spacing w:line="580" w:lineRule="exact"/>
        <w:ind w:firstLine="640"/>
        <w:jc w:val="both"/>
      </w:pPr>
      <w:r>
        <w:rPr>
          <w:rFonts w:ascii="仿宋_GB2312" w:hAnsi="仿宋_GB2312" w:eastAsia="仿宋_GB2312"/>
          <w:b w:val="0"/>
          <w:sz w:val="32"/>
        </w:rPr>
        <w:t>1.一般公共服务支出(类)1,738.41万元,占21.32%。</w:t>
      </w:r>
    </w:p>
    <w:p w14:paraId="20C8077C">
      <w:pPr>
        <w:spacing w:line="580" w:lineRule="exact"/>
        <w:ind w:firstLine="640"/>
        <w:jc w:val="both"/>
      </w:pPr>
      <w:r>
        <w:rPr>
          <w:rFonts w:ascii="仿宋_GB2312" w:hAnsi="仿宋_GB2312" w:eastAsia="仿宋_GB2312"/>
          <w:b w:val="0"/>
          <w:sz w:val="32"/>
        </w:rPr>
        <w:t>2.公共安全支出(类)6.00万元,占0.07%。</w:t>
      </w:r>
    </w:p>
    <w:p w14:paraId="0D504F9A">
      <w:pPr>
        <w:spacing w:line="580" w:lineRule="exact"/>
        <w:ind w:firstLine="640"/>
        <w:jc w:val="both"/>
      </w:pPr>
      <w:r>
        <w:rPr>
          <w:rFonts w:ascii="仿宋_GB2312" w:hAnsi="仿宋_GB2312" w:eastAsia="仿宋_GB2312"/>
          <w:b w:val="0"/>
          <w:sz w:val="32"/>
        </w:rPr>
        <w:t>3.文化旅游体育与传媒支出(类)15.00万元,占0.18%。</w:t>
      </w:r>
    </w:p>
    <w:p w14:paraId="488B8C93">
      <w:pPr>
        <w:spacing w:line="580" w:lineRule="exact"/>
        <w:ind w:firstLine="640"/>
        <w:jc w:val="both"/>
      </w:pPr>
      <w:r>
        <w:rPr>
          <w:rFonts w:ascii="仿宋_GB2312" w:hAnsi="仿宋_GB2312" w:eastAsia="仿宋_GB2312"/>
          <w:b w:val="0"/>
          <w:sz w:val="32"/>
        </w:rPr>
        <w:t>4.社会保障和就业支出(类)244.81万元,占3.00%。</w:t>
      </w:r>
    </w:p>
    <w:p w14:paraId="29256875">
      <w:pPr>
        <w:spacing w:line="580" w:lineRule="exact"/>
        <w:ind w:firstLine="640"/>
        <w:jc w:val="both"/>
      </w:pPr>
      <w:r>
        <w:rPr>
          <w:rFonts w:ascii="仿宋_GB2312" w:hAnsi="仿宋_GB2312" w:eastAsia="仿宋_GB2312"/>
          <w:b w:val="0"/>
          <w:sz w:val="32"/>
        </w:rPr>
        <w:t>5.卫生健康支出(类)108.49万元,占1.33%。</w:t>
      </w:r>
    </w:p>
    <w:p w14:paraId="59D7E564">
      <w:pPr>
        <w:spacing w:line="580" w:lineRule="exact"/>
        <w:ind w:firstLine="640"/>
        <w:jc w:val="both"/>
      </w:pPr>
      <w:r>
        <w:rPr>
          <w:rFonts w:ascii="仿宋_GB2312" w:hAnsi="仿宋_GB2312" w:eastAsia="仿宋_GB2312"/>
          <w:b w:val="0"/>
          <w:sz w:val="32"/>
        </w:rPr>
        <w:t>6.节能环保支出(类)821.94万元,占10.08%。</w:t>
      </w:r>
    </w:p>
    <w:p w14:paraId="4EEDCA64">
      <w:pPr>
        <w:spacing w:line="580" w:lineRule="exact"/>
        <w:ind w:firstLine="640"/>
        <w:jc w:val="both"/>
      </w:pPr>
      <w:r>
        <w:rPr>
          <w:rFonts w:ascii="仿宋_GB2312" w:hAnsi="仿宋_GB2312" w:eastAsia="仿宋_GB2312"/>
          <w:b w:val="0"/>
          <w:sz w:val="32"/>
        </w:rPr>
        <w:t>7.城乡社区支出(类)17.54万元,占0.22%。</w:t>
      </w:r>
    </w:p>
    <w:p w14:paraId="43508FE2">
      <w:pPr>
        <w:spacing w:line="580" w:lineRule="exact"/>
        <w:ind w:firstLine="640"/>
        <w:jc w:val="both"/>
      </w:pPr>
      <w:r>
        <w:rPr>
          <w:rFonts w:ascii="仿宋_GB2312" w:hAnsi="仿宋_GB2312" w:eastAsia="仿宋_GB2312"/>
          <w:b w:val="0"/>
          <w:sz w:val="32"/>
        </w:rPr>
        <w:t>8.农林水支出(类)5,036.03万元,占61.77%。</w:t>
      </w:r>
    </w:p>
    <w:p w14:paraId="3F1159BF">
      <w:pPr>
        <w:spacing w:line="580" w:lineRule="exact"/>
        <w:ind w:firstLine="640"/>
        <w:jc w:val="both"/>
      </w:pPr>
      <w:r>
        <w:rPr>
          <w:rFonts w:ascii="仿宋_GB2312" w:hAnsi="仿宋_GB2312" w:eastAsia="仿宋_GB2312"/>
          <w:b w:val="0"/>
          <w:sz w:val="32"/>
        </w:rPr>
        <w:t>9.交通运输支出(类)0.24万元,占0.003%。</w:t>
      </w:r>
    </w:p>
    <w:p w14:paraId="24FB2AD0">
      <w:pPr>
        <w:spacing w:line="580" w:lineRule="exact"/>
        <w:ind w:firstLine="640"/>
        <w:jc w:val="both"/>
      </w:pPr>
      <w:r>
        <w:rPr>
          <w:rFonts w:ascii="仿宋_GB2312" w:hAnsi="仿宋_GB2312" w:eastAsia="仿宋_GB2312"/>
          <w:b w:val="0"/>
          <w:sz w:val="32"/>
        </w:rPr>
        <w:t>10.住房保障支出(类)164.28万元,占2.02%。</w:t>
      </w:r>
    </w:p>
    <w:p w14:paraId="01C89A3C">
      <w:pPr>
        <w:spacing w:line="640" w:lineRule="exact"/>
        <w:ind w:firstLine="640"/>
        <w:jc w:val="both"/>
        <w:outlineLvl w:val="3"/>
      </w:pPr>
      <w:r>
        <w:rPr>
          <w:rFonts w:ascii="楷体_GB2312" w:hAnsi="楷体_GB2312" w:eastAsia="楷体_GB2312"/>
          <w:b/>
          <w:sz w:val="32"/>
        </w:rPr>
        <w:t>（三）一般公共预算财政拨款支出决算具体情况</w:t>
      </w:r>
    </w:p>
    <w:p w14:paraId="03BDCBEB">
      <w:pPr>
        <w:spacing w:line="580" w:lineRule="exact"/>
        <w:ind w:firstLine="640"/>
        <w:jc w:val="both"/>
      </w:pPr>
      <w:r>
        <w:rPr>
          <w:rFonts w:ascii="仿宋_GB2312" w:hAnsi="仿宋_GB2312" w:eastAsia="仿宋_GB2312"/>
          <w:b w:val="0"/>
          <w:sz w:val="32"/>
        </w:rPr>
        <w:t>1.一般公共服务支出(类)人大事务(款)代表工作(项):支出决算数为2.50万元，比上年决算减少1.49万元，下降37.34%,主要原因是：本年减少自治区人大代表活动经费，导致相关经费减少。</w:t>
      </w:r>
    </w:p>
    <w:p w14:paraId="7F1632C2">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2.一般公共服务支出(类)政府办公厅（室）及相关机构事务(款)行政运行(项):支出决算数为1,553.12万元，比上年决算减少85.45万元，下降5.21%,主要原因是：本年在职人员减少，相应人员经费较上年减少。</w:t>
      </w:r>
    </w:p>
    <w:p w14:paraId="7FAC65D2">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25.43万元，比上年决算减少25.07万元，下降49.64%,主要原因是：本年减少2023年县级专项公用经费，导致相关经费减少。</w:t>
      </w:r>
    </w:p>
    <w:p w14:paraId="708561DC">
      <w:pPr>
        <w:spacing w:line="580" w:lineRule="exact"/>
        <w:ind w:firstLine="640"/>
        <w:jc w:val="both"/>
      </w:pPr>
      <w:r>
        <w:rPr>
          <w:rFonts w:ascii="仿宋_GB2312" w:hAnsi="仿宋_GB2312" w:eastAsia="仿宋_GB2312"/>
          <w:b w:val="0"/>
          <w:sz w:val="32"/>
        </w:rPr>
        <w:t>4.一般公共服务支出(类)纪检监察事务(款)其他纪检监察事务支出(项):支出决算数为2.00万元，比上年决算增加1.00万元，增长100.00%,主要原因是：本年增加专项项目经费，导致相关经费增加。</w:t>
      </w:r>
    </w:p>
    <w:p w14:paraId="6B6284C5">
      <w:pPr>
        <w:spacing w:line="580" w:lineRule="exact"/>
        <w:ind w:firstLine="640"/>
        <w:jc w:val="both"/>
      </w:pPr>
      <w:r>
        <w:rPr>
          <w:rFonts w:ascii="仿宋_GB2312" w:hAnsi="仿宋_GB2312" w:eastAsia="仿宋_GB2312"/>
          <w:b w:val="0"/>
          <w:sz w:val="32"/>
        </w:rPr>
        <w:t>5.一般公共服务支出(类)组织事务(款)其他组织事务支出(项):支出决算数为151.67万元，比上年决算增加0.25万元，增长0.17%,主要原因是：本年增加为民办实事项目经费，导致相关经费增加。</w:t>
      </w:r>
    </w:p>
    <w:p w14:paraId="076E76F1">
      <w:pPr>
        <w:spacing w:line="580" w:lineRule="exact"/>
        <w:ind w:firstLine="640"/>
        <w:jc w:val="both"/>
      </w:pPr>
      <w:r>
        <w:rPr>
          <w:rFonts w:ascii="仿宋_GB2312" w:hAnsi="仿宋_GB2312" w:eastAsia="仿宋_GB2312"/>
          <w:b w:val="0"/>
          <w:sz w:val="32"/>
        </w:rPr>
        <w:t>6.一般公共服务支出(类)统战事务(款)宗教事务(项):支出决算数为0.34万元，比上年决算减少7.66万元，下降95.75%,主要原因是：本年减少2023年ZJ活动场所修缮资金，导致相关经费减少。</w:t>
      </w:r>
    </w:p>
    <w:p w14:paraId="741F6DB4">
      <w:pPr>
        <w:spacing w:line="580" w:lineRule="exact"/>
        <w:ind w:firstLine="640"/>
        <w:jc w:val="both"/>
      </w:pPr>
      <w:r>
        <w:rPr>
          <w:rFonts w:ascii="仿宋_GB2312" w:hAnsi="仿宋_GB2312" w:eastAsia="仿宋_GB2312"/>
          <w:b w:val="0"/>
          <w:sz w:val="32"/>
        </w:rPr>
        <w:t>7.一般公共服务支出(类)统战事务(款)其他统战事务支出(项):支出决算数为3.37万元，比上年决算减少3.45万元，下降50.59%,主要原因是：本年减少专项项目经费，导致相关经费减少。</w:t>
      </w:r>
    </w:p>
    <w:p w14:paraId="50880F20">
      <w:pPr>
        <w:spacing w:line="580" w:lineRule="exact"/>
        <w:ind w:firstLine="640"/>
        <w:jc w:val="both"/>
      </w:pPr>
      <w:r>
        <w:rPr>
          <w:rFonts w:ascii="仿宋_GB2312" w:hAnsi="仿宋_GB2312" w:eastAsia="仿宋_GB2312"/>
          <w:b w:val="0"/>
          <w:sz w:val="32"/>
        </w:rPr>
        <w:t>8.公共安全支出(类)其他公共安全支出(款)其他公共安全支出(项):支出决算数为6.00万元，比上年决算减少7.04万元，下降53.99%,主要原因是：本年减少专项项目经费，导致相关经费减少。</w:t>
      </w:r>
    </w:p>
    <w:p w14:paraId="6141ED10">
      <w:pPr>
        <w:spacing w:line="580" w:lineRule="exact"/>
        <w:ind w:firstLine="640"/>
        <w:jc w:val="both"/>
      </w:pPr>
      <w:r>
        <w:rPr>
          <w:rFonts w:ascii="仿宋_GB2312" w:hAnsi="仿宋_GB2312" w:eastAsia="仿宋_GB2312"/>
          <w:b w:val="0"/>
          <w:sz w:val="32"/>
        </w:rPr>
        <w:t>9.文化旅游体育与传媒支出(类)文化和旅游(款)其他文化和旅游支出(项):支出决算数为0.00万元，比上年决算减少5.00万元，下降100.00%,主要原因是：本年减少2023年文化站免费开放补助资金，导致相关经费减少。</w:t>
      </w:r>
    </w:p>
    <w:p w14:paraId="3DDA1961">
      <w:pPr>
        <w:spacing w:line="580" w:lineRule="exact"/>
        <w:ind w:firstLine="640"/>
        <w:jc w:val="both"/>
      </w:pPr>
      <w:r>
        <w:rPr>
          <w:rFonts w:ascii="仿宋_GB2312" w:hAnsi="仿宋_GB2312" w:eastAsia="仿宋_GB2312"/>
          <w:b w:val="0"/>
          <w:sz w:val="32"/>
        </w:rPr>
        <w:t>10.文化旅游体育与传媒支出(类)其他文化旅游体育与传媒支出(款)其他文化旅游体育与传媒支出(项):支出决算数为15.00万元，比上年决算减少6.72万元，下降30.94%,主要原因是：本年减少叶城县洛克乡2022年中央补助地方公共文化服务体系建设项目经费，导致相关经费减少。</w:t>
      </w:r>
    </w:p>
    <w:p w14:paraId="3A0BF502">
      <w:pPr>
        <w:spacing w:line="580" w:lineRule="exact"/>
        <w:ind w:firstLine="640"/>
        <w:jc w:val="both"/>
      </w:pPr>
      <w:r>
        <w:rPr>
          <w:rFonts w:ascii="仿宋_GB2312" w:hAnsi="仿宋_GB2312" w:eastAsia="仿宋_GB2312"/>
          <w:b w:val="0"/>
          <w:sz w:val="32"/>
        </w:rPr>
        <w:t>11.社会保障和就业支出(类)民政管理事务(款)其他民政管理事务支出(项):支出决算数为5.00万元，比上年决算增加0.00万元，增长0.00%,主要原因是：</w:t>
      </w:r>
      <w:r>
        <w:rPr>
          <w:rFonts w:hint="eastAsia" w:ascii="仿宋_GB2312" w:hAnsi="仿宋_GB2312" w:eastAsia="仿宋_GB2312"/>
          <w:b w:val="0"/>
          <w:sz w:val="32"/>
        </w:rPr>
        <w:t>2024年自治区农村幸福大院运转补助资金</w:t>
      </w:r>
      <w:r>
        <w:rPr>
          <w:rFonts w:ascii="仿宋_GB2312" w:hAnsi="仿宋_GB2312" w:eastAsia="仿宋_GB2312"/>
          <w:b w:val="0"/>
          <w:sz w:val="32"/>
        </w:rPr>
        <w:t>与上年一致，无差异。</w:t>
      </w:r>
    </w:p>
    <w:p w14:paraId="57AF65AA">
      <w:pPr>
        <w:spacing w:line="580" w:lineRule="exact"/>
        <w:ind w:firstLine="640"/>
        <w:jc w:val="both"/>
      </w:pPr>
      <w:r>
        <w:rPr>
          <w:rFonts w:ascii="仿宋_GB2312" w:hAnsi="仿宋_GB2312" w:eastAsia="仿宋_GB2312"/>
          <w:b w:val="0"/>
          <w:sz w:val="32"/>
        </w:rPr>
        <w:t>12.社会保障和就业支出(类)行政事业单位养老支出(款)行政单位离退休(项):支出决算数为15.80万元，比上年决算减少3.84万元，下降19.55%,主要原因是：本年退休人员自然减员，行政单位离退休经费较上年减少。</w:t>
      </w:r>
    </w:p>
    <w:p w14:paraId="798BB27A">
      <w:pPr>
        <w:spacing w:line="580" w:lineRule="exact"/>
        <w:ind w:firstLine="640"/>
        <w:jc w:val="both"/>
      </w:pPr>
      <w:r>
        <w:rPr>
          <w:rFonts w:ascii="仿宋_GB2312" w:hAnsi="仿宋_GB2312" w:eastAsia="仿宋_GB2312"/>
          <w:b w:val="0"/>
          <w:sz w:val="32"/>
        </w:rPr>
        <w:t>13.社会保障和就业支出(类)行政事业单位养老支出(款)机关事业单位基本养老保险缴费支出(项):支出决算数为207.89万元，比上年决算增加57.39万元，增长38.13%,主要原因是：本年在职人员工资基数调增，养老缴费基数上涨，相应支出增加。</w:t>
      </w:r>
    </w:p>
    <w:p w14:paraId="233DB216">
      <w:pPr>
        <w:spacing w:line="580" w:lineRule="exact"/>
        <w:ind w:firstLine="640"/>
        <w:jc w:val="both"/>
      </w:pPr>
      <w:r>
        <w:rPr>
          <w:rFonts w:ascii="仿宋_GB2312" w:hAnsi="仿宋_GB2312" w:eastAsia="仿宋_GB2312"/>
          <w:b w:val="0"/>
          <w:sz w:val="32"/>
        </w:rPr>
        <w:t>14.社会保障和就业支出(类)行政事业单位养老支出(款)机关事业单位职业年金缴费支出(项):支出决算数为16.12万元，比上年决算增加7.55万元，增长88.10%,主要原因是：本年新增辞职调出人员较上年增加，职业年金缴费支出增加。</w:t>
      </w:r>
    </w:p>
    <w:p w14:paraId="753E3323">
      <w:pPr>
        <w:spacing w:line="580" w:lineRule="exact"/>
        <w:ind w:firstLine="640"/>
        <w:jc w:val="both"/>
      </w:pPr>
      <w:r>
        <w:rPr>
          <w:rFonts w:ascii="仿宋_GB2312" w:hAnsi="仿宋_GB2312" w:eastAsia="仿宋_GB2312"/>
          <w:b w:val="0"/>
          <w:sz w:val="32"/>
        </w:rPr>
        <w:t>15.卫生健康支出(类)行政事业单位医疗(款)行政单位医疗(项):支出决算数为88.35万元，比上年决算增加24.11万元，增长37.53%,主要原因是：本年在职人员工资基数调增，医疗缴费基数上涨，相应支出增加。</w:t>
      </w:r>
    </w:p>
    <w:p w14:paraId="14952213">
      <w:pPr>
        <w:spacing w:line="580" w:lineRule="exact"/>
        <w:ind w:firstLine="640"/>
        <w:jc w:val="both"/>
      </w:pPr>
      <w:r>
        <w:rPr>
          <w:rFonts w:ascii="仿宋_GB2312" w:hAnsi="仿宋_GB2312" w:eastAsia="仿宋_GB2312"/>
          <w:b w:val="0"/>
          <w:sz w:val="32"/>
        </w:rPr>
        <w:t>16.卫生健康支出(类)行政事业单位医疗(款)公务员医疗补助(项):支出决算数为20.13万元，比上年决算增加4.85万元，增长31.74%,主要原因是：本年在职人员工资基数调增，医疗缴费基数上涨，相应支出增加。</w:t>
      </w:r>
    </w:p>
    <w:p w14:paraId="0753AB03">
      <w:pPr>
        <w:spacing w:line="580" w:lineRule="exact"/>
        <w:ind w:firstLine="640"/>
        <w:jc w:val="both"/>
      </w:pPr>
      <w:r>
        <w:rPr>
          <w:rFonts w:ascii="仿宋_GB2312" w:hAnsi="仿宋_GB2312" w:eastAsia="仿宋_GB2312"/>
          <w:b w:val="0"/>
          <w:sz w:val="32"/>
        </w:rPr>
        <w:t>17.节能环保支出(类)能源节约利用(款)能源节约利用(项):支出决算数为821.94万元，比上年决算增加718.08万元，增长691.39%,主要原因是：本年增加2024年新疆煤改电二期工程补助（中央补助资金）、2024年新疆煤改电二期工程补助（自治区补助资金）项目经费，导致相关经费增加。</w:t>
      </w:r>
    </w:p>
    <w:p w14:paraId="70951B34">
      <w:pPr>
        <w:spacing w:line="580" w:lineRule="exact"/>
        <w:ind w:firstLine="640"/>
        <w:jc w:val="both"/>
      </w:pPr>
      <w:r>
        <w:rPr>
          <w:rFonts w:ascii="仿宋_GB2312" w:hAnsi="仿宋_GB2312" w:eastAsia="仿宋_GB2312"/>
          <w:b w:val="0"/>
          <w:sz w:val="32"/>
        </w:rPr>
        <w:t>18.城乡社区支出(类)城乡社区公共设施(款)其他城乡社区公共设施支出(项):支出决算数为17.54万元，比上年决算减少84.92万元，下降82.88%,主要原因是：本年减少2023年第一批自治区预算内投资（前期费）项目经费，导致相关经费减少。</w:t>
      </w:r>
    </w:p>
    <w:p w14:paraId="2F438D58">
      <w:pPr>
        <w:spacing w:line="580" w:lineRule="exact"/>
        <w:ind w:firstLine="640"/>
        <w:jc w:val="both"/>
      </w:pPr>
      <w:r>
        <w:rPr>
          <w:rFonts w:ascii="仿宋_GB2312" w:hAnsi="仿宋_GB2312" w:eastAsia="仿宋_GB2312"/>
          <w:b w:val="0"/>
          <w:sz w:val="32"/>
        </w:rPr>
        <w:t>19.农林水支出(类)农业农村(款)行政运行(项):支出决算数为0.00万元，比上年决算减少53.54万元，下降100.00%,主要原因是：本年度减少2021年、2022年下半年乡镇工作补贴项目、2023年乡镇工作补贴项目，相应支出减少。</w:t>
      </w:r>
    </w:p>
    <w:p w14:paraId="22628D44">
      <w:pPr>
        <w:spacing w:line="580" w:lineRule="exact"/>
        <w:ind w:firstLine="640"/>
        <w:jc w:val="both"/>
      </w:pPr>
      <w:r>
        <w:rPr>
          <w:rFonts w:ascii="仿宋_GB2312" w:hAnsi="仿宋_GB2312" w:eastAsia="仿宋_GB2312"/>
          <w:b w:val="0"/>
          <w:sz w:val="32"/>
        </w:rPr>
        <w:t>20.农林水支出(类)农业农村(款)农业生产发展(项):支出决算数为3.52万元，比上年决算增加3.52万元，增长100.00%,主要原因是：本年增加洛克乡高素质农民培训项目-玉吉米力克（7）村、康开其克（8）村项目经费，导致相关经费增加。</w:t>
      </w:r>
    </w:p>
    <w:p w14:paraId="15D9A10F">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0.00万元，比上年决算减少6,000.00万元，下降100.00%,主要原因是：本年减少叶城县洛克乡污水处理建设、叶城县洛克乡阿热买里(5)村基础设施建设等项目经费，导致相关经费减少。</w:t>
      </w:r>
    </w:p>
    <w:p w14:paraId="42866D91">
      <w:pPr>
        <w:spacing w:line="580" w:lineRule="exact"/>
        <w:ind w:firstLine="640"/>
        <w:jc w:val="both"/>
      </w:pPr>
      <w:r>
        <w:rPr>
          <w:rFonts w:ascii="仿宋_GB2312" w:hAnsi="仿宋_GB2312" w:eastAsia="仿宋_GB2312"/>
          <w:b w:val="0"/>
          <w:sz w:val="32"/>
        </w:rPr>
        <w:t>22.农林水支出(类)</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成果衔接乡村振兴(款)生产发展(项):支出决算数为5,032.51万元，比上年决算增加71.51万元，增长1.44%,主要原因是：本年增加叶城县洛克乡农村</w:t>
      </w:r>
      <w:r>
        <w:rPr>
          <w:rFonts w:hint="eastAsia" w:ascii="仿宋_GB2312" w:hAnsi="仿宋_GB2312" w:eastAsia="仿宋_GB2312"/>
          <w:b w:val="0"/>
          <w:sz w:val="32"/>
          <w:lang w:eastAsia="zh-CN"/>
        </w:rPr>
        <w:t>水利</w:t>
      </w:r>
      <w:r>
        <w:rPr>
          <w:rFonts w:ascii="仿宋_GB2312" w:hAnsi="仿宋_GB2312" w:eastAsia="仿宋_GB2312"/>
          <w:b w:val="0"/>
          <w:sz w:val="32"/>
        </w:rPr>
        <w:t>基础设施建</w:t>
      </w:r>
      <w:r>
        <w:rPr>
          <w:rFonts w:hint="eastAsia" w:ascii="仿宋_GB2312" w:hAnsi="仿宋_GB2312" w:eastAsia="仿宋_GB2312"/>
          <w:b w:val="0"/>
          <w:sz w:val="32"/>
          <w:lang w:eastAsia="zh-CN"/>
        </w:rPr>
        <w:t>设和</w:t>
      </w:r>
      <w:r>
        <w:rPr>
          <w:rFonts w:ascii="仿宋_GB2312" w:hAnsi="仿宋_GB2312" w:eastAsia="仿宋_GB2312"/>
          <w:b w:val="0"/>
          <w:sz w:val="32"/>
        </w:rPr>
        <w:t>2024年中央财政以工代赈、叶城县2024年洛克乡8村示范村乡村建设、叶城县2024年洛克乡种植业基地配套建设、叶城县洛克乡土地碎片化整理、叶城县2024年洛克乡2村示范村林果提质增效建设、叶城县2024年洛克乡林粮间作节水设施配套、2024年林果业整形修剪补助等项目经费，导致相关经费增加。</w:t>
      </w:r>
    </w:p>
    <w:p w14:paraId="2F102FA1">
      <w:pPr>
        <w:spacing w:line="580" w:lineRule="exact"/>
        <w:ind w:firstLine="640"/>
        <w:jc w:val="both"/>
      </w:pPr>
      <w:r>
        <w:rPr>
          <w:rFonts w:ascii="仿宋_GB2312" w:hAnsi="仿宋_GB2312" w:eastAsia="仿宋_GB2312"/>
          <w:b w:val="0"/>
          <w:sz w:val="32"/>
        </w:rPr>
        <w:t>23.交通运输支出(类)邮政业支出(款)邮政普遍服务与特殊服务(项):支出决算数为0.24万元，比上年决算增加0.00万元，增长0.00%,主要原因是：2024年农牧区投递员专项补贴资金与上年一致，无变化。</w:t>
      </w:r>
    </w:p>
    <w:p w14:paraId="129CD1BB">
      <w:pPr>
        <w:spacing w:line="580" w:lineRule="exact"/>
        <w:ind w:firstLine="640"/>
        <w:jc w:val="both"/>
      </w:pPr>
      <w:r>
        <w:rPr>
          <w:rFonts w:ascii="仿宋_GB2312" w:hAnsi="仿宋_GB2312" w:eastAsia="仿宋_GB2312"/>
          <w:b w:val="0"/>
          <w:sz w:val="32"/>
        </w:rPr>
        <w:t>24.住房保障支出(类)住房改革支出(款)住房公积金(项):支出决算数为164.28万元，比上年决算增加51.38万元，增长45.51%,主要原因是：本年在职人员工资基数调增，公积金缴费基数上涨，相应支出增加。</w:t>
      </w:r>
    </w:p>
    <w:p w14:paraId="5516FF46">
      <w:pPr>
        <w:spacing w:line="640" w:lineRule="exact"/>
        <w:ind w:firstLine="640"/>
        <w:jc w:val="both"/>
        <w:outlineLvl w:val="2"/>
      </w:pPr>
      <w:r>
        <w:rPr>
          <w:rFonts w:ascii="黑体" w:hAnsi="黑体" w:eastAsia="黑体"/>
          <w:sz w:val="32"/>
        </w:rPr>
        <w:t>六、一般公共预算财政拨款基本支出决算情况说明</w:t>
      </w:r>
    </w:p>
    <w:p w14:paraId="76A9479B">
      <w:pPr>
        <w:spacing w:line="580" w:lineRule="exact"/>
        <w:ind w:firstLine="640"/>
        <w:jc w:val="both"/>
      </w:pPr>
      <w:r>
        <w:rPr>
          <w:rFonts w:ascii="仿宋_GB2312" w:hAnsi="仿宋_GB2312" w:eastAsia="仿宋_GB2312"/>
          <w:b w:val="0"/>
          <w:sz w:val="32"/>
        </w:rPr>
        <w:t>2024年度一般公共预算财政拨款基本支出2,065.69万元，其中：</w:t>
      </w:r>
      <w:r>
        <w:rPr>
          <w:rFonts w:ascii="仿宋_GB2312" w:hAnsi="仿宋_GB2312" w:eastAsia="仿宋_GB2312"/>
          <w:b/>
          <w:sz w:val="32"/>
        </w:rPr>
        <w:t>人员经费2,020.38万元，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078F2D35">
      <w:pPr>
        <w:spacing w:line="580" w:lineRule="exact"/>
        <w:ind w:firstLine="640"/>
        <w:jc w:val="both"/>
      </w:pPr>
      <w:r>
        <w:rPr>
          <w:rFonts w:ascii="仿宋_GB2312" w:hAnsi="仿宋_GB2312" w:eastAsia="仿宋_GB2312"/>
          <w:b/>
          <w:sz w:val="32"/>
        </w:rPr>
        <w:t>公用经费45.31万元，</w:t>
      </w:r>
      <w:r>
        <w:rPr>
          <w:rFonts w:ascii="仿宋_GB2312" w:hAnsi="仿宋_GB2312" w:eastAsia="仿宋_GB2312"/>
          <w:b w:val="0"/>
          <w:sz w:val="32"/>
        </w:rPr>
        <w:t>包括：办公费、电费、邮电费、差旅费、维修（护）费、劳务费、公务用车运行维护费。</w:t>
      </w:r>
    </w:p>
    <w:p w14:paraId="4AC489A2">
      <w:pPr>
        <w:spacing w:line="640" w:lineRule="exact"/>
        <w:ind w:firstLine="640"/>
        <w:jc w:val="both"/>
        <w:outlineLvl w:val="2"/>
      </w:pPr>
      <w:r>
        <w:rPr>
          <w:rFonts w:ascii="黑体" w:hAnsi="黑体" w:eastAsia="黑体"/>
          <w:sz w:val="32"/>
        </w:rPr>
        <w:t>七、政府性基金预算财政拨款收入支出决算情况说明</w:t>
      </w:r>
    </w:p>
    <w:p w14:paraId="029AD63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DB42F4">
      <w:pPr>
        <w:spacing w:line="640" w:lineRule="exact"/>
        <w:ind w:firstLine="640"/>
        <w:jc w:val="both"/>
        <w:outlineLvl w:val="2"/>
      </w:pPr>
      <w:r>
        <w:rPr>
          <w:rFonts w:ascii="黑体" w:hAnsi="黑体" w:eastAsia="黑体"/>
          <w:sz w:val="32"/>
        </w:rPr>
        <w:t>八、国有资本经营预算财政拨款收入支出决算情况说明</w:t>
      </w:r>
    </w:p>
    <w:p w14:paraId="7F96739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117FD71">
      <w:pPr>
        <w:spacing w:line="640" w:lineRule="exact"/>
        <w:ind w:firstLine="640"/>
        <w:jc w:val="both"/>
        <w:outlineLvl w:val="2"/>
      </w:pPr>
      <w:r>
        <w:rPr>
          <w:rFonts w:ascii="黑体" w:hAnsi="黑体" w:eastAsia="黑体"/>
          <w:sz w:val="32"/>
        </w:rPr>
        <w:t>九、财政拨款“三公”经费支出决算情况说明</w:t>
      </w:r>
    </w:p>
    <w:p w14:paraId="3BCD4427">
      <w:pPr>
        <w:spacing w:line="580" w:lineRule="exact"/>
        <w:ind w:firstLine="640"/>
        <w:jc w:val="both"/>
      </w:pPr>
      <w:r>
        <w:rPr>
          <w:rFonts w:ascii="仿宋_GB2312" w:hAnsi="仿宋_GB2312" w:eastAsia="仿宋_GB2312"/>
          <w:b/>
          <w:sz w:val="32"/>
        </w:rPr>
        <w:t>2024年度财政拨款“三公”经费支出0.15万元，</w:t>
      </w:r>
      <w:r>
        <w:rPr>
          <w:rFonts w:ascii="仿宋_GB2312" w:hAnsi="仿宋_GB2312" w:eastAsia="仿宋_GB2312"/>
          <w:b w:val="0"/>
          <w:sz w:val="32"/>
        </w:rPr>
        <w:t>比上年减少4.10万元，下降96.47%，主要原因是：严格执行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0.15万元，占100.00%，比上年减少4.10万元，下降96.47%，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1EFE12EE">
      <w:pPr>
        <w:spacing w:line="580" w:lineRule="exact"/>
        <w:ind w:firstLine="640"/>
        <w:jc w:val="both"/>
      </w:pPr>
      <w:r>
        <w:rPr>
          <w:rFonts w:ascii="仿宋_GB2312" w:hAnsi="仿宋_GB2312" w:eastAsia="仿宋_GB2312"/>
          <w:b/>
          <w:sz w:val="32"/>
        </w:rPr>
        <w:t>具体情况如下：</w:t>
      </w:r>
    </w:p>
    <w:p w14:paraId="6AE7054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F808FB">
      <w:pPr>
        <w:spacing w:line="580" w:lineRule="exact"/>
        <w:ind w:firstLine="640"/>
        <w:jc w:val="both"/>
      </w:pPr>
      <w:r>
        <w:rPr>
          <w:rFonts w:ascii="仿宋_GB2312" w:hAnsi="仿宋_GB2312" w:eastAsia="仿宋_GB2312"/>
          <w:b w:val="0"/>
          <w:sz w:val="32"/>
        </w:rPr>
        <w:t>公务用车购置及运行维护费0.15万元，其中：公务用车购置费0.00万元，公务用车运行维护费0.15万元。公务用车运行维护费开支内容包括公务用车运行维护费、车辆保险费。公务用车购置数0辆，公务用车保有量1辆。国有资产占用情况中固定资产车辆3辆，与公务用车保有量差异原因是：差异车辆为一般业务用车，预算未安排公务用车运行维护费。</w:t>
      </w:r>
    </w:p>
    <w:p w14:paraId="606E13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AC231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财政拨款“三公”经费支出全年预算数4.25万元，决算数0.15万元，预决算差异率-96.47%，主要原因是：严格执行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4.25万元，决算数0.15万元，预决算差异率-96.47%，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，厉行节约，减少公务用车使用频次，燃油费减少。公务接待费全年预算数0.00万元，决算数0.00万元，预决算差异率0.00%，主要原因是：本单位无公务接待费。</w:t>
      </w:r>
    </w:p>
    <w:p w14:paraId="12269082">
      <w:pPr>
        <w:spacing w:line="640" w:lineRule="exact"/>
        <w:ind w:firstLine="640"/>
        <w:jc w:val="both"/>
        <w:outlineLvl w:val="2"/>
      </w:pPr>
      <w:r>
        <w:rPr>
          <w:rFonts w:ascii="黑体" w:hAnsi="黑体" w:eastAsia="黑体"/>
          <w:sz w:val="32"/>
        </w:rPr>
        <w:t>十、其他重要事项的情况说明</w:t>
      </w:r>
    </w:p>
    <w:p w14:paraId="2AA0E4FF">
      <w:pPr>
        <w:spacing w:line="640" w:lineRule="exact"/>
        <w:ind w:firstLine="640"/>
        <w:jc w:val="both"/>
        <w:outlineLvl w:val="3"/>
      </w:pPr>
      <w:r>
        <w:rPr>
          <w:rFonts w:ascii="楷体_GB2312" w:hAnsi="楷体_GB2312" w:eastAsia="楷体_GB2312"/>
          <w:b/>
          <w:sz w:val="32"/>
        </w:rPr>
        <w:t>（一）机关运行经费及公用经费支出情况</w:t>
      </w:r>
    </w:p>
    <w:p w14:paraId="53729E5E">
      <w:pPr>
        <w:spacing w:line="580" w:lineRule="exact"/>
        <w:ind w:firstLine="640"/>
        <w:jc w:val="both"/>
      </w:pPr>
      <w:r>
        <w:rPr>
          <w:rFonts w:ascii="仿宋_GB2312" w:hAnsi="仿宋_GB2312" w:eastAsia="仿宋_GB2312"/>
          <w:b w:val="0"/>
          <w:sz w:val="32"/>
        </w:rPr>
        <w:t>2024年度叶城县洛克乡人民政府（行政单位和参照公务员法管理事业单位）机关运行经费支出45.31万元，比上年增加17.30万元，增长61.76%，主要原因是：本年增加办公费、劳务费等经费，导致机关运行经费增加。</w:t>
      </w:r>
    </w:p>
    <w:p w14:paraId="7F3B3B8F">
      <w:pPr>
        <w:spacing w:line="640" w:lineRule="exact"/>
        <w:ind w:firstLine="640"/>
        <w:jc w:val="both"/>
        <w:outlineLvl w:val="3"/>
      </w:pPr>
      <w:r>
        <w:rPr>
          <w:rFonts w:ascii="楷体_GB2312" w:hAnsi="楷体_GB2312" w:eastAsia="楷体_GB2312"/>
          <w:b/>
          <w:sz w:val="32"/>
        </w:rPr>
        <w:t>（二）政府采购情况</w:t>
      </w:r>
    </w:p>
    <w:p w14:paraId="25AF26DB">
      <w:pPr>
        <w:spacing w:line="580" w:lineRule="exact"/>
        <w:ind w:firstLine="640"/>
        <w:jc w:val="both"/>
      </w:pPr>
      <w:r>
        <w:rPr>
          <w:rFonts w:ascii="仿宋_GB2312" w:hAnsi="仿宋_GB2312" w:eastAsia="仿宋_GB2312"/>
          <w:b w:val="0"/>
          <w:sz w:val="32"/>
        </w:rPr>
        <w:t>2024年度政府采购支出总额79.99万元，其中：政府采购货物支出19.17万元、政府采购工程支出34.21万元、政府采购服务支出26.61万元。</w:t>
      </w:r>
    </w:p>
    <w:p w14:paraId="777C77DA">
      <w:pPr>
        <w:spacing w:line="580" w:lineRule="exact"/>
        <w:ind w:firstLine="640"/>
        <w:jc w:val="both"/>
      </w:pPr>
      <w:r>
        <w:rPr>
          <w:rFonts w:ascii="仿宋_GB2312" w:hAnsi="仿宋_GB2312" w:eastAsia="仿宋_GB2312"/>
          <w:b w:val="0"/>
          <w:sz w:val="32"/>
        </w:rPr>
        <w:t>授予中小企业合同金额79.99万元，占政府采购支出总额的100.00%，其中：授予小微企业合同金额79.99万元，占政府采购支出总额的100.00%。</w:t>
      </w:r>
    </w:p>
    <w:p w14:paraId="245C2E0A">
      <w:pPr>
        <w:spacing w:line="640" w:lineRule="exact"/>
        <w:ind w:firstLine="640"/>
        <w:jc w:val="both"/>
        <w:outlineLvl w:val="3"/>
      </w:pPr>
      <w:r>
        <w:rPr>
          <w:rFonts w:ascii="楷体_GB2312" w:hAnsi="楷体_GB2312" w:eastAsia="楷体_GB2312"/>
          <w:b/>
          <w:sz w:val="32"/>
        </w:rPr>
        <w:t>（三）国有资产占用情况说明</w:t>
      </w:r>
    </w:p>
    <w:p w14:paraId="6C7B51FC">
      <w:pPr>
        <w:spacing w:line="580" w:lineRule="exact"/>
        <w:ind w:firstLine="640"/>
        <w:jc w:val="both"/>
      </w:pPr>
      <w:r>
        <w:rPr>
          <w:rFonts w:ascii="仿宋_GB2312" w:hAnsi="仿宋_GB2312" w:eastAsia="仿宋_GB2312"/>
          <w:b w:val="0"/>
          <w:sz w:val="32"/>
        </w:rPr>
        <w:t>截至2024年12月31日，房屋5,626.96平方米，价值349.25万元。车辆3辆，价值50.91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hAnsi="仿宋_GB2312" w:eastAsia="仿宋_GB2312"/>
          <w:b w:val="0"/>
          <w:sz w:val="32"/>
          <w:lang w:val="en-US" w:eastAsia="zh-CN"/>
        </w:rPr>
        <w:t>一般公务用车及业务用车</w:t>
      </w:r>
      <w:r>
        <w:rPr>
          <w:rFonts w:ascii="仿宋_GB2312" w:hAnsi="仿宋_GB2312" w:eastAsia="仿宋_GB2312"/>
          <w:b w:val="0"/>
          <w:sz w:val="32"/>
        </w:rPr>
        <w:t>。单价100万元（含）以上设备（不含车辆）0台（套）。</w:t>
      </w:r>
    </w:p>
    <w:p w14:paraId="3B2BCC8A">
      <w:pPr>
        <w:spacing w:line="640" w:lineRule="exact"/>
        <w:ind w:firstLine="640"/>
        <w:jc w:val="both"/>
        <w:outlineLvl w:val="2"/>
      </w:pPr>
      <w:r>
        <w:rPr>
          <w:rFonts w:ascii="黑体" w:hAnsi="黑体" w:eastAsia="黑体"/>
          <w:sz w:val="32"/>
        </w:rPr>
        <w:t>十一、预算绩效的情况说明</w:t>
      </w:r>
    </w:p>
    <w:p w14:paraId="2119A3E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8,152.74万元，实际执行总额8,152.74万元；预算绩效评价项目4个，全年预算数1,151.82万元，全年执行数954.74万元。预算绩效管理取得的成效：一是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w:t>
      </w:r>
      <w:r>
        <w:rPr>
          <w:rFonts w:hint="eastAsia" w:ascii="仿宋_GB2312" w:hAnsi="仿宋_GB2312" w:eastAsia="仿宋_GB2312"/>
          <w:b w:val="0"/>
          <w:sz w:val="32"/>
          <w:lang w:eastAsia="zh-CN"/>
        </w:rPr>
        <w:t>有效</w:t>
      </w:r>
      <w:r>
        <w:rPr>
          <w:rFonts w:ascii="仿宋_GB2312" w:hAnsi="仿宋_GB2312" w:eastAsia="仿宋_GB2312"/>
          <w:b w:val="0"/>
          <w:sz w:val="32"/>
        </w:rPr>
        <w:t>降低资金偏离政策目标的风险，提高了资金使用效益。发现的问题及原因：一是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绩效档案归档工作有待提高，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下一步改进措施：一是加强培训，提高相关人员工作水平，采取多种培训形式对单位财务人员、业务科室人员进行集中培训，进一步树牢绩效观念，提高本单位工作人员的绩效管理能力和工作水平，为预算绩效管理相关工作的顺利开展提供保障；二是扎实推进档案规范化建设，提升档案管理水平，进一步完善项目评价资料。项目启动时同步做好档案的归纳与整理，及时整理、收集、汇总，健全档案资料。具体附整体支出绩效自评表，项目支出绩效自评表和评价报告。</w:t>
      </w:r>
    </w:p>
    <w:p w14:paraId="7A9830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24C22A">
        <w:tblPrEx>
          <w:tblCellMar>
            <w:top w:w="0" w:type="dxa"/>
            <w:left w:w="108" w:type="dxa"/>
            <w:bottom w:w="0" w:type="dxa"/>
            <w:right w:w="108" w:type="dxa"/>
          </w:tblCellMar>
        </w:tblPrEx>
        <w:tc>
          <w:tcPr>
            <w:tcW w:w="8847" w:type="dxa"/>
            <w:gridSpan w:val="9"/>
            <w:vAlign w:val="center"/>
          </w:tcPr>
          <w:p w14:paraId="793EAF41">
            <w:pPr>
              <w:jc w:val="center"/>
            </w:pPr>
            <w:r>
              <w:rPr>
                <w:rFonts w:ascii="宋体" w:hAnsi="宋体" w:eastAsia="宋体"/>
                <w:sz w:val="24"/>
              </w:rPr>
              <w:t>单位整体支出绩效自评表</w:t>
            </w:r>
          </w:p>
        </w:tc>
      </w:tr>
      <w:tr w14:paraId="7EB68C49">
        <w:tblPrEx>
          <w:tblCellMar>
            <w:top w:w="0" w:type="dxa"/>
            <w:left w:w="108" w:type="dxa"/>
            <w:bottom w:w="0" w:type="dxa"/>
            <w:right w:w="108" w:type="dxa"/>
          </w:tblCellMar>
        </w:tblPrEx>
        <w:tc>
          <w:tcPr>
            <w:tcW w:w="8847" w:type="dxa"/>
            <w:gridSpan w:val="9"/>
            <w:vAlign w:val="center"/>
          </w:tcPr>
          <w:p w14:paraId="66AE1330">
            <w:pPr>
              <w:jc w:val="center"/>
            </w:pPr>
            <w:r>
              <w:rPr>
                <w:rFonts w:ascii="宋体" w:hAnsi="宋体" w:eastAsia="宋体"/>
                <w:sz w:val="24"/>
              </w:rPr>
              <w:t>（2024年度）</w:t>
            </w:r>
          </w:p>
        </w:tc>
      </w:tr>
      <w:tr w14:paraId="1DA908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B1A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5AF1CB">
            <w:pPr>
              <w:jc w:val="center"/>
            </w:pPr>
            <w:r>
              <w:rPr>
                <w:rFonts w:ascii="宋体" w:hAnsi="宋体" w:eastAsia="宋体"/>
                <w:sz w:val="16"/>
              </w:rPr>
              <w:t>叶城县洛克乡人民政府</w:t>
            </w:r>
          </w:p>
        </w:tc>
      </w:tr>
      <w:tr w14:paraId="1EB61B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E75E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F09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F0CE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1E8E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1EFE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9F9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4F35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E40A">
            <w:pPr>
              <w:jc w:val="center"/>
            </w:pPr>
            <w:r>
              <w:rPr>
                <w:rFonts w:ascii="宋体" w:hAnsi="宋体" w:eastAsia="宋体"/>
                <w:sz w:val="16"/>
              </w:rPr>
              <w:t>得分</w:t>
            </w:r>
          </w:p>
        </w:tc>
      </w:tr>
      <w:tr w14:paraId="23644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4A3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2FD0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EAD75">
            <w:pPr>
              <w:jc w:val="center"/>
            </w:pPr>
            <w:r>
              <w:rPr>
                <w:rFonts w:ascii="宋体" w:hAnsi="宋体" w:eastAsia="宋体"/>
                <w:sz w:val="16"/>
              </w:rPr>
              <w:t>2,299.34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737A">
            <w:pPr>
              <w:jc w:val="center"/>
            </w:pPr>
            <w:r>
              <w:rPr>
                <w:rFonts w:ascii="宋体" w:hAnsi="宋体" w:eastAsia="宋体"/>
                <w:sz w:val="16"/>
              </w:rPr>
              <w:t>8,152.74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B0F9">
            <w:pPr>
              <w:jc w:val="center"/>
            </w:pPr>
            <w:r>
              <w:rPr>
                <w:rFonts w:ascii="宋体" w:hAnsi="宋体" w:eastAsia="宋体"/>
                <w:sz w:val="16"/>
              </w:rPr>
              <w:t>8,152.74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2F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290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C6E04">
            <w:pPr>
              <w:jc w:val="center"/>
            </w:pPr>
            <w:r>
              <w:rPr>
                <w:rFonts w:ascii="宋体" w:hAnsi="宋体" w:eastAsia="宋体"/>
                <w:sz w:val="16"/>
              </w:rPr>
              <w:t>10</w:t>
            </w:r>
          </w:p>
        </w:tc>
      </w:tr>
      <w:tr w14:paraId="4ED80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116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4F6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5620D">
            <w:pPr>
              <w:jc w:val="center"/>
            </w:pPr>
            <w:r>
              <w:rPr>
                <w:rFonts w:ascii="宋体" w:hAnsi="宋体" w:eastAsia="宋体"/>
                <w:sz w:val="16"/>
              </w:rPr>
              <w:t>125.71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353A">
            <w:pPr>
              <w:jc w:val="center"/>
            </w:pPr>
            <w:r>
              <w:rPr>
                <w:rFonts w:ascii="宋体" w:hAnsi="宋体" w:eastAsia="宋体"/>
                <w:sz w:val="16"/>
              </w:rPr>
              <w:t>6,087.05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5911">
            <w:pPr>
              <w:jc w:val="center"/>
            </w:pPr>
            <w:r>
              <w:rPr>
                <w:rFonts w:ascii="宋体" w:hAnsi="宋体" w:eastAsia="宋体"/>
                <w:sz w:val="16"/>
              </w:rPr>
              <w:t>6,087.05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D4B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1EF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ABAD2">
            <w:pPr>
              <w:jc w:val="center"/>
            </w:pPr>
            <w:r>
              <w:rPr>
                <w:rFonts w:ascii="宋体" w:hAnsi="宋体" w:eastAsia="宋体"/>
                <w:sz w:val="16"/>
              </w:rPr>
              <w:t>—</w:t>
            </w:r>
          </w:p>
        </w:tc>
      </w:tr>
      <w:tr w14:paraId="5A5D4E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CD4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102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A293">
            <w:pPr>
              <w:jc w:val="center"/>
            </w:pPr>
            <w:r>
              <w:rPr>
                <w:rFonts w:ascii="宋体" w:hAnsi="宋体" w:eastAsia="宋体"/>
                <w:sz w:val="16"/>
              </w:rPr>
              <w:t>2,173.63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45BF1">
            <w:pPr>
              <w:jc w:val="center"/>
            </w:pPr>
            <w:r>
              <w:rPr>
                <w:rFonts w:ascii="宋体" w:hAnsi="宋体" w:eastAsia="宋体"/>
                <w:sz w:val="16"/>
              </w:rPr>
              <w:t>2,065.69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7E94">
            <w:pPr>
              <w:jc w:val="center"/>
            </w:pPr>
            <w:r>
              <w:rPr>
                <w:rFonts w:ascii="宋体" w:hAnsi="宋体" w:eastAsia="宋体"/>
                <w:sz w:val="16"/>
              </w:rPr>
              <w:t>2,065.69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290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6D4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D06C">
            <w:pPr>
              <w:jc w:val="center"/>
            </w:pPr>
            <w:r>
              <w:rPr>
                <w:rFonts w:ascii="宋体" w:hAnsi="宋体" w:eastAsia="宋体"/>
                <w:sz w:val="16"/>
              </w:rPr>
              <w:t>—</w:t>
            </w:r>
          </w:p>
        </w:tc>
      </w:tr>
      <w:tr w14:paraId="4A856F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A2D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F1FF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2F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A4F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21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DC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EB0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CA42B">
            <w:pPr>
              <w:jc w:val="center"/>
            </w:pPr>
            <w:r>
              <w:rPr>
                <w:rFonts w:ascii="宋体" w:hAnsi="宋体" w:eastAsia="宋体"/>
                <w:sz w:val="16"/>
              </w:rPr>
              <w:t>—</w:t>
            </w:r>
          </w:p>
        </w:tc>
      </w:tr>
      <w:tr w14:paraId="28AD78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9E9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0FA20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61217">
            <w:pPr>
              <w:jc w:val="center"/>
            </w:pPr>
            <w:r>
              <w:rPr>
                <w:rFonts w:ascii="宋体" w:hAnsi="宋体" w:eastAsia="宋体"/>
                <w:sz w:val="16"/>
              </w:rPr>
              <w:t>实际完成情况</w:t>
            </w:r>
          </w:p>
        </w:tc>
      </w:tr>
      <w:tr w14:paraId="7F4539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B4F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7F735">
            <w:pPr>
              <w:jc w:val="both"/>
            </w:pPr>
            <w:r>
              <w:rPr>
                <w:rFonts w:ascii="宋体" w:hAnsi="宋体" w:eastAsia="宋体"/>
                <w:sz w:val="16"/>
              </w:rPr>
              <w:t>认真贯彻新时代党的路线、方针、政策，促进职能转变，巩固加强基层政权建设，建设健全适应新农村经济发展和社会稳定的体制机制。是加快农村经济发展，解放思想，转变观念，不断增加农民收入，为壮大乡村经济发展创造有利条件。是不断强化公共服务，着力保障改善民生。完善农村公共服务体系，努力建设产业兴旺、生态宜居、乡风文明、治理有效、生活富裕的新农村。是加强社会管理，维护农村稳定。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5B5D6E">
            <w:pPr>
              <w:jc w:val="both"/>
            </w:pPr>
            <w:r>
              <w:rPr>
                <w:rFonts w:hint="eastAsia" w:ascii="宋体" w:hAnsi="宋体"/>
                <w:sz w:val="16"/>
                <w:lang w:eastAsia="zh-CN"/>
              </w:rPr>
              <w:t>截至</w:t>
            </w:r>
            <w:r>
              <w:rPr>
                <w:rFonts w:ascii="宋体" w:hAnsi="宋体" w:eastAsia="宋体"/>
                <w:sz w:val="16"/>
              </w:rPr>
              <w:t>2024年12月31日，已完成认真贯彻新时代党的路线、方针、政策，促进职能转变，巩固加强基层政权建设，建设健全适应新农村经济发展和社会稳定的体制机制。是加快农村经济发展，解放思想，转变观念，不断增加农民收入，全乡2024年完成生产总值8.55亿元，同比增长8.1%，农牧民人均纯收入达20038元，同比增长17.3%，实现粮食总产4.1万吨，同比增产8%，始终坚持发展成果惠及民生、凝聚人心，积极回应群众所盼，完成了800户“煤改电”，推进农村人居环境整治，新建和改建户厕1250户，严格落实“2112”机制，选派25名国家干部到村任职，加强国语水平，提高国语合格率90%，为壮大乡村经济发展创造有利条件。是不断强化公共服务，着力保障改善民生。完善农村公共服务体系，努力建设产业兴旺、生态宜居、乡风文明、治理有效、生活富裕的新农村。是加强社会管理，维护农村稳定。加大民主法治宣传教育，加强社会治安综合治理，完善农村治安防控体系，保障人民生命财产安全。做好农村信访工作，畅通诉求渠道，及时掌握社情民意，排查化解矛盾纠纷，妥善处理人民内部矛盾。建立健全农村应急管理体制，提高应急处理能力。</w:t>
            </w:r>
          </w:p>
        </w:tc>
      </w:tr>
      <w:tr w14:paraId="76F58D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768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6EA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DB3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BA6A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235B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D90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B85E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2CD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C9D5">
            <w:pPr>
              <w:jc w:val="center"/>
            </w:pPr>
            <w:r>
              <w:rPr>
                <w:rFonts w:ascii="宋体" w:hAnsi="宋体" w:eastAsia="宋体"/>
                <w:sz w:val="16"/>
              </w:rPr>
              <w:t>得分</w:t>
            </w:r>
          </w:p>
        </w:tc>
      </w:tr>
      <w:tr w14:paraId="32A814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EB14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99E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537A">
            <w:pPr>
              <w:jc w:val="center"/>
            </w:pPr>
            <w:r>
              <w:rPr>
                <w:rFonts w:ascii="宋体" w:hAnsi="宋体" w:eastAsia="宋体"/>
                <w:sz w:val="16"/>
              </w:rPr>
              <w:t>农牧民人均纯收入增长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FEB0">
            <w:pPr>
              <w:jc w:val="center"/>
            </w:pPr>
            <w:r>
              <w:rPr>
                <w:rFonts w:ascii="宋体" w:hAnsi="宋体" w:eastAsia="宋体"/>
                <w:sz w:val="16"/>
              </w:rPr>
              <w:t>&gt;=16%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1A3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A763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C965">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A7C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6086">
            <w:pPr>
              <w:jc w:val="center"/>
            </w:pPr>
            <w:r>
              <w:rPr>
                <w:rFonts w:ascii="宋体" w:hAnsi="宋体" w:eastAsia="宋体"/>
                <w:sz w:val="16"/>
              </w:rPr>
              <w:t>18</w:t>
            </w:r>
          </w:p>
        </w:tc>
      </w:tr>
      <w:tr w14:paraId="5E4206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567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CD4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02D5">
            <w:pPr>
              <w:jc w:val="center"/>
            </w:pPr>
            <w:r>
              <w:rPr>
                <w:rFonts w:ascii="宋体" w:hAnsi="宋体" w:eastAsia="宋体"/>
                <w:sz w:val="16"/>
              </w:rPr>
              <w:t>粮食产量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A9E5">
            <w:pPr>
              <w:jc w:val="center"/>
            </w:pPr>
            <w:r>
              <w:rPr>
                <w:rFonts w:ascii="宋体" w:hAnsi="宋体" w:eastAsia="宋体"/>
                <w:sz w:val="16"/>
              </w:rPr>
              <w:t>&gt;=4.10万吨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AF26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FA7C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61D7">
            <w:pPr>
              <w:jc w:val="center"/>
            </w:pPr>
            <w:r>
              <w:rPr>
                <w:rFonts w:ascii="宋体" w:hAnsi="宋体" w:eastAsia="宋体"/>
                <w:sz w:val="16"/>
              </w:rPr>
              <w:t>=4.1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8D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1195">
            <w:pPr>
              <w:jc w:val="center"/>
            </w:pPr>
            <w:r>
              <w:rPr>
                <w:rFonts w:ascii="宋体" w:hAnsi="宋体" w:eastAsia="宋体"/>
                <w:sz w:val="16"/>
              </w:rPr>
              <w:t>18</w:t>
            </w:r>
          </w:p>
        </w:tc>
      </w:tr>
      <w:tr w14:paraId="04ED1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793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3F8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8CBC8">
            <w:pPr>
              <w:jc w:val="center"/>
            </w:pPr>
            <w:r>
              <w:rPr>
                <w:rFonts w:ascii="宋体" w:hAnsi="宋体" w:eastAsia="宋体"/>
                <w:sz w:val="16"/>
              </w:rPr>
              <w:t>改建农村户厕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6941">
            <w:pPr>
              <w:jc w:val="center"/>
            </w:pPr>
            <w:r>
              <w:rPr>
                <w:rFonts w:ascii="宋体" w:hAnsi="宋体" w:eastAsia="宋体"/>
                <w:sz w:val="16"/>
              </w:rPr>
              <w:t>&gt;=1250户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E0B1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FF4C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E943C">
            <w:pPr>
              <w:jc w:val="center"/>
            </w:pPr>
            <w:r>
              <w:rPr>
                <w:rFonts w:ascii="宋体" w:hAnsi="宋体" w:eastAsia="宋体"/>
                <w:sz w:val="16"/>
              </w:rPr>
              <w:t>=1250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27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A952">
            <w:pPr>
              <w:jc w:val="center"/>
            </w:pPr>
            <w:r>
              <w:rPr>
                <w:rFonts w:ascii="宋体" w:hAnsi="宋体" w:eastAsia="宋体"/>
                <w:sz w:val="16"/>
              </w:rPr>
              <w:t>18</w:t>
            </w:r>
          </w:p>
        </w:tc>
      </w:tr>
      <w:tr w14:paraId="1E4C30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633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C19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C6508">
            <w:pPr>
              <w:jc w:val="center"/>
            </w:pPr>
            <w:r>
              <w:rPr>
                <w:rFonts w:ascii="宋体" w:hAnsi="宋体" w:eastAsia="宋体"/>
                <w:sz w:val="16"/>
              </w:rPr>
              <w:t>煤改电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FC0AF">
            <w:pPr>
              <w:jc w:val="center"/>
            </w:pPr>
            <w:r>
              <w:rPr>
                <w:rFonts w:ascii="宋体" w:hAnsi="宋体" w:eastAsia="宋体"/>
                <w:sz w:val="16"/>
              </w:rPr>
              <w:t>&gt;=800户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DE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B343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F1E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52C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358E6">
            <w:pPr>
              <w:jc w:val="center"/>
            </w:pPr>
            <w:r>
              <w:rPr>
                <w:rFonts w:ascii="宋体" w:hAnsi="宋体" w:eastAsia="宋体"/>
                <w:sz w:val="16"/>
              </w:rPr>
              <w:t>18</w:t>
            </w:r>
          </w:p>
        </w:tc>
      </w:tr>
      <w:tr w14:paraId="0F880B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3B7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425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591F">
            <w:pPr>
              <w:jc w:val="center"/>
            </w:pPr>
            <w:r>
              <w:rPr>
                <w:rFonts w:ascii="宋体" w:hAnsi="宋体" w:eastAsia="宋体"/>
                <w:sz w:val="16"/>
              </w:rPr>
              <w:t>村干部国语合格率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58C5">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8AD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45BC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4EBA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B7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68129">
            <w:pPr>
              <w:jc w:val="center"/>
            </w:pPr>
            <w:r>
              <w:rPr>
                <w:rFonts w:ascii="宋体" w:hAnsi="宋体" w:eastAsia="宋体"/>
                <w:sz w:val="16"/>
              </w:rPr>
              <w:t>18</w:t>
            </w:r>
          </w:p>
        </w:tc>
      </w:tr>
    </w:tbl>
    <w:p w14:paraId="342B865C">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0"/>
        <w:gridCol w:w="619"/>
        <w:gridCol w:w="630"/>
      </w:tblGrid>
      <w:tr w14:paraId="3F3C5EE6">
        <w:tblPrEx>
          <w:tblCellMar>
            <w:top w:w="0" w:type="dxa"/>
            <w:left w:w="108" w:type="dxa"/>
            <w:bottom w:w="0" w:type="dxa"/>
            <w:right w:w="108" w:type="dxa"/>
          </w:tblCellMar>
        </w:tblPrEx>
        <w:tc>
          <w:tcPr>
            <w:tcW w:w="8848" w:type="dxa"/>
            <w:gridSpan w:val="14"/>
            <w:vAlign w:val="center"/>
          </w:tcPr>
          <w:p w14:paraId="666F6688">
            <w:pPr>
              <w:jc w:val="center"/>
            </w:pPr>
            <w:r>
              <w:rPr>
                <w:rFonts w:ascii="宋体" w:hAnsi="宋体" w:eastAsia="宋体"/>
                <w:sz w:val="24"/>
              </w:rPr>
              <w:t>项目支出绩效自评表</w:t>
            </w:r>
          </w:p>
        </w:tc>
      </w:tr>
      <w:tr w14:paraId="28E07521">
        <w:tblPrEx>
          <w:tblCellMar>
            <w:top w:w="0" w:type="dxa"/>
            <w:left w:w="108" w:type="dxa"/>
            <w:bottom w:w="0" w:type="dxa"/>
            <w:right w:w="108" w:type="dxa"/>
          </w:tblCellMar>
        </w:tblPrEx>
        <w:tc>
          <w:tcPr>
            <w:tcW w:w="8848" w:type="dxa"/>
            <w:gridSpan w:val="14"/>
            <w:vAlign w:val="center"/>
          </w:tcPr>
          <w:p w14:paraId="16952424">
            <w:pPr>
              <w:jc w:val="center"/>
            </w:pPr>
            <w:r>
              <w:rPr>
                <w:rFonts w:ascii="宋体" w:hAnsi="宋体" w:eastAsia="宋体"/>
                <w:sz w:val="24"/>
              </w:rPr>
              <w:t>(2024年度)</w:t>
            </w:r>
          </w:p>
        </w:tc>
      </w:tr>
      <w:tr w14:paraId="69D02A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64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C1AAB6">
            <w:pPr>
              <w:jc w:val="center"/>
            </w:pPr>
            <w:r>
              <w:rPr>
                <w:rFonts w:ascii="宋体" w:hAnsi="宋体" w:eastAsia="宋体"/>
                <w:sz w:val="16"/>
              </w:rPr>
              <w:t>叶城县洛克乡2024年县级专项公用经费项目</w:t>
            </w:r>
          </w:p>
        </w:tc>
      </w:tr>
      <w:tr w14:paraId="6FFF4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A1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27BA6">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8C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CA446">
            <w:pPr>
              <w:jc w:val="center"/>
            </w:pPr>
            <w:r>
              <w:rPr>
                <w:rFonts w:ascii="宋体" w:hAnsi="宋体" w:eastAsia="宋体"/>
                <w:sz w:val="16"/>
              </w:rPr>
              <w:t>叶城县洛克乡人民政府</w:t>
            </w:r>
          </w:p>
        </w:tc>
      </w:tr>
      <w:tr w14:paraId="3557F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E2A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9CB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45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4F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F9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3CB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1E9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523">
            <w:pPr>
              <w:jc w:val="center"/>
            </w:pPr>
            <w:r>
              <w:rPr>
                <w:rFonts w:ascii="宋体" w:hAnsi="宋体" w:eastAsia="宋体"/>
                <w:sz w:val="16"/>
              </w:rPr>
              <w:t>得分</w:t>
            </w:r>
          </w:p>
        </w:tc>
      </w:tr>
      <w:tr w14:paraId="214A8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0A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A84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642A">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16310">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1D759">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C4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7299">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27B1">
            <w:pPr>
              <w:jc w:val="center"/>
            </w:pPr>
            <w:r>
              <w:rPr>
                <w:rFonts w:ascii="宋体" w:hAnsi="宋体" w:eastAsia="宋体"/>
                <w:sz w:val="16"/>
              </w:rPr>
              <w:t>0.00分</w:t>
            </w:r>
          </w:p>
        </w:tc>
      </w:tr>
      <w:tr w14:paraId="4BD15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849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8BA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0131">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C710">
            <w:pPr>
              <w:jc w:val="center"/>
            </w:pPr>
            <w:r>
              <w:rPr>
                <w:rFonts w:ascii="宋体" w:hAnsi="宋体" w:eastAsia="宋体"/>
                <w:sz w:val="16"/>
              </w:rPr>
              <w:t>18.60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0001A">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E6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A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495A">
            <w:pPr>
              <w:jc w:val="center"/>
            </w:pPr>
            <w:r>
              <w:rPr>
                <w:rFonts w:ascii="宋体" w:hAnsi="宋体" w:eastAsia="宋体"/>
                <w:sz w:val="16"/>
              </w:rPr>
              <w:t>—</w:t>
            </w:r>
          </w:p>
        </w:tc>
      </w:tr>
      <w:tr w14:paraId="0AC18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62C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571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94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44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49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36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4F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12EF">
            <w:pPr>
              <w:jc w:val="center"/>
            </w:pPr>
            <w:r>
              <w:rPr>
                <w:rFonts w:ascii="宋体" w:hAnsi="宋体" w:eastAsia="宋体"/>
                <w:sz w:val="16"/>
              </w:rPr>
              <w:t>—</w:t>
            </w:r>
          </w:p>
        </w:tc>
      </w:tr>
      <w:tr w14:paraId="4825DF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5F9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728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97663">
            <w:pPr>
              <w:jc w:val="center"/>
            </w:pPr>
            <w:r>
              <w:rPr>
                <w:rFonts w:ascii="宋体" w:hAnsi="宋体" w:eastAsia="宋体"/>
                <w:sz w:val="16"/>
              </w:rPr>
              <w:t>实际完成情况</w:t>
            </w:r>
          </w:p>
        </w:tc>
      </w:tr>
      <w:tr w14:paraId="099C1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F60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A91FE">
            <w:pPr>
              <w:jc w:val="both"/>
            </w:pPr>
            <w:r>
              <w:rPr>
                <w:rFonts w:ascii="宋体" w:hAnsi="宋体" w:eastAsia="宋体"/>
                <w:sz w:val="16"/>
              </w:rPr>
              <w:t>该项目预算资金18.6万元，主要用于乡机关日常办公用品采购工作和根据实际情况支付乡本级往期各类费用，项目的实施有效保障乡镇机关日常为民服务能力，进一步提升辖区居民幸福感、满意度。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1F96E">
            <w:pPr>
              <w:jc w:val="both"/>
            </w:pPr>
            <w:r>
              <w:rPr>
                <w:rFonts w:hint="eastAsia" w:ascii="宋体" w:hAnsi="宋体"/>
                <w:sz w:val="16"/>
                <w:lang w:eastAsia="zh-CN"/>
              </w:rPr>
              <w:t>截至</w:t>
            </w:r>
            <w:r>
              <w:rPr>
                <w:rFonts w:ascii="宋体" w:hAnsi="宋体" w:eastAsia="宋体"/>
                <w:sz w:val="16"/>
              </w:rPr>
              <w:t>2024年12月31日，项目预算安排18.6万元，到位资金18.6万元，实际支付6.2万元，主要用于乡机关购买办公用电，项目的实施有效保障乡镇机关日常为民服务能力，进一步提升辖区居民幸福感、满意度。</w:t>
            </w:r>
          </w:p>
        </w:tc>
      </w:tr>
      <w:tr w14:paraId="6840D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080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7D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9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61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41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AD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46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1F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08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5E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B5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67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63AE0">
            <w:pPr>
              <w:jc w:val="center"/>
            </w:pPr>
            <w:r>
              <w:rPr>
                <w:rFonts w:ascii="宋体" w:hAnsi="宋体" w:eastAsia="宋体"/>
                <w:sz w:val="16"/>
              </w:rPr>
              <w:t>偏差原因分析及改进措施</w:t>
            </w:r>
          </w:p>
        </w:tc>
      </w:tr>
      <w:tr w14:paraId="79FA94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07D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DA2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E0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0788">
            <w:pPr>
              <w:jc w:val="center"/>
            </w:pPr>
            <w:r>
              <w:rPr>
                <w:rFonts w:ascii="宋体" w:hAnsi="宋体" w:eastAsia="宋体"/>
                <w:sz w:val="16"/>
              </w:rPr>
              <w:t>保障单位数量（个）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60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0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C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4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4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E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0DE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52B1">
            <w:pPr>
              <w:jc w:val="center"/>
            </w:pPr>
          </w:p>
        </w:tc>
      </w:tr>
      <w:tr w14:paraId="32E82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A0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A2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03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E6FF">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7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6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30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E8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A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2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5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1C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C0E2E">
            <w:pPr>
              <w:jc w:val="center"/>
            </w:pPr>
          </w:p>
        </w:tc>
      </w:tr>
      <w:tr w14:paraId="18BCC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1A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990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B36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A7A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0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E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F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1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6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B3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4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80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F267">
            <w:pPr>
              <w:jc w:val="center"/>
            </w:pPr>
            <w:r>
              <w:rPr>
                <w:rFonts w:ascii="宋体" w:hAnsi="宋体" w:eastAsia="宋体"/>
                <w:sz w:val="16"/>
              </w:rPr>
              <w:t>偏差原因：由于相关单位提供资金拨付资料不全，致使资金未按计划及时拨付，整改措施：加强督促确保资金按计划及时拨付</w:t>
            </w:r>
          </w:p>
        </w:tc>
      </w:tr>
      <w:tr w14:paraId="406EB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D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5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EE6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B0B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F94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6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46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6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9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87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72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7F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39AF">
            <w:pPr>
              <w:jc w:val="center"/>
            </w:pPr>
          </w:p>
        </w:tc>
      </w:tr>
      <w:tr w14:paraId="01A9D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9C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FA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53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BCC6">
            <w:pPr>
              <w:jc w:val="center"/>
            </w:pPr>
            <w:r>
              <w:rPr>
                <w:rFonts w:ascii="宋体" w:hAnsi="宋体" w:eastAsia="宋体"/>
                <w:sz w:val="16"/>
              </w:rPr>
              <w:t>单位使用经费总成本（万元）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4F1B">
            <w:pPr>
              <w:jc w:val="center"/>
            </w:pPr>
            <w:r>
              <w:rPr>
                <w:rFonts w:ascii="宋体" w:hAnsi="宋体" w:eastAsia="宋体"/>
                <w:sz w:val="16"/>
              </w:rPr>
              <w:t>&lt;=18.60万元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C1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3F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61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8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0F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2427">
            <w:pPr>
              <w:jc w:val="center"/>
            </w:pPr>
            <w:r>
              <w:rPr>
                <w:rFonts w:ascii="宋体" w:hAnsi="宋体" w:eastAsia="宋体"/>
                <w:sz w:val="16"/>
              </w:rPr>
              <w:t>&lt;=18.6万元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FB1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441E9">
            <w:pPr>
              <w:jc w:val="center"/>
            </w:pPr>
            <w:r>
              <w:rPr>
                <w:rFonts w:ascii="宋体" w:hAnsi="宋体" w:eastAsia="宋体"/>
                <w:sz w:val="16"/>
              </w:rPr>
              <w:t>偏差原因：该项目资金拨付手续没能及时提供，导致资金支付不够及时。</w:t>
            </w:r>
          </w:p>
        </w:tc>
      </w:tr>
      <w:tr w14:paraId="41625B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37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BD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D4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0DAD">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E0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0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03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25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5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8C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47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F20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7019C">
            <w:pPr>
              <w:jc w:val="center"/>
            </w:pPr>
            <w:r>
              <w:rPr>
                <w:rFonts w:ascii="宋体" w:hAnsi="宋体" w:eastAsia="宋体"/>
                <w:sz w:val="16"/>
              </w:rPr>
              <w:t>偏差原因：项目实施较晚，导致没能按时拨付。整改措施：加快资金支付。</w:t>
            </w:r>
          </w:p>
        </w:tc>
      </w:tr>
      <w:tr w14:paraId="62910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14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A6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01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60A0">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79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6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7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E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4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AB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2D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81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6AD0">
            <w:pPr>
              <w:jc w:val="center"/>
            </w:pPr>
          </w:p>
        </w:tc>
      </w:tr>
      <w:tr w14:paraId="30A317F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3AD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ABE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E6D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8B61">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F1B8C1"/>
        </w:tc>
      </w:tr>
    </w:tbl>
    <w:p w14:paraId="7376EE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1D2B7B3">
        <w:tblPrEx>
          <w:tblCellMar>
            <w:top w:w="0" w:type="dxa"/>
            <w:left w:w="108" w:type="dxa"/>
            <w:bottom w:w="0" w:type="dxa"/>
            <w:right w:w="108" w:type="dxa"/>
          </w:tblCellMar>
        </w:tblPrEx>
        <w:tc>
          <w:tcPr>
            <w:tcW w:w="8848" w:type="dxa"/>
            <w:gridSpan w:val="14"/>
            <w:vAlign w:val="center"/>
          </w:tcPr>
          <w:p w14:paraId="20356C2A">
            <w:pPr>
              <w:jc w:val="center"/>
            </w:pPr>
            <w:r>
              <w:rPr>
                <w:rFonts w:ascii="宋体" w:hAnsi="宋体" w:eastAsia="宋体"/>
                <w:sz w:val="24"/>
              </w:rPr>
              <w:t>项目支出绩效自评表</w:t>
            </w:r>
          </w:p>
        </w:tc>
      </w:tr>
      <w:tr w14:paraId="30C481A4">
        <w:tblPrEx>
          <w:tblCellMar>
            <w:top w:w="0" w:type="dxa"/>
            <w:left w:w="108" w:type="dxa"/>
            <w:bottom w:w="0" w:type="dxa"/>
            <w:right w:w="108" w:type="dxa"/>
          </w:tblCellMar>
        </w:tblPrEx>
        <w:tc>
          <w:tcPr>
            <w:tcW w:w="8848" w:type="dxa"/>
            <w:gridSpan w:val="14"/>
            <w:vAlign w:val="center"/>
          </w:tcPr>
          <w:p w14:paraId="2514C7B3">
            <w:pPr>
              <w:jc w:val="center"/>
            </w:pPr>
            <w:r>
              <w:rPr>
                <w:rFonts w:ascii="宋体" w:hAnsi="宋体" w:eastAsia="宋体"/>
                <w:sz w:val="24"/>
              </w:rPr>
              <w:t>(2024年度)</w:t>
            </w:r>
          </w:p>
        </w:tc>
      </w:tr>
      <w:tr w14:paraId="46399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5E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51723D">
            <w:pPr>
              <w:jc w:val="center"/>
            </w:pPr>
            <w:r>
              <w:rPr>
                <w:rFonts w:ascii="宋体" w:hAnsi="宋体" w:eastAsia="宋体"/>
                <w:sz w:val="16"/>
              </w:rPr>
              <w:t>2024年工作经费</w:t>
            </w:r>
          </w:p>
        </w:tc>
      </w:tr>
      <w:tr w14:paraId="51766C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BE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2A9A4">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90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863D9">
            <w:pPr>
              <w:jc w:val="center"/>
            </w:pPr>
            <w:r>
              <w:rPr>
                <w:rFonts w:ascii="宋体" w:hAnsi="宋体" w:eastAsia="宋体"/>
                <w:sz w:val="16"/>
              </w:rPr>
              <w:t>叶城县洛克乡人民政府</w:t>
            </w:r>
          </w:p>
        </w:tc>
      </w:tr>
      <w:tr w14:paraId="207163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FE0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9B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FD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39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151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2A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1C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5AF8">
            <w:pPr>
              <w:jc w:val="center"/>
            </w:pPr>
            <w:r>
              <w:rPr>
                <w:rFonts w:ascii="宋体" w:hAnsi="宋体" w:eastAsia="宋体"/>
                <w:sz w:val="16"/>
              </w:rPr>
              <w:t>得分</w:t>
            </w:r>
          </w:p>
        </w:tc>
      </w:tr>
      <w:tr w14:paraId="7D009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1C1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34E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D848">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098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148B">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C0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270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268A">
            <w:pPr>
              <w:jc w:val="center"/>
            </w:pPr>
            <w:r>
              <w:rPr>
                <w:rFonts w:ascii="宋体" w:hAnsi="宋体" w:eastAsia="宋体"/>
                <w:sz w:val="16"/>
              </w:rPr>
              <w:t>10.00分</w:t>
            </w:r>
          </w:p>
        </w:tc>
      </w:tr>
      <w:tr w14:paraId="246DB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353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E98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684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FB2B">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C78F">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F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1E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46EE">
            <w:pPr>
              <w:jc w:val="center"/>
            </w:pPr>
            <w:r>
              <w:rPr>
                <w:rFonts w:ascii="宋体" w:hAnsi="宋体" w:eastAsia="宋体"/>
                <w:sz w:val="16"/>
              </w:rPr>
              <w:t>—</w:t>
            </w:r>
          </w:p>
        </w:tc>
      </w:tr>
      <w:tr w14:paraId="51BB6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27F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1D6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7AC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0D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06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57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9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2E14">
            <w:pPr>
              <w:jc w:val="center"/>
            </w:pPr>
            <w:r>
              <w:rPr>
                <w:rFonts w:ascii="宋体" w:hAnsi="宋体" w:eastAsia="宋体"/>
                <w:sz w:val="16"/>
              </w:rPr>
              <w:t>—</w:t>
            </w:r>
          </w:p>
        </w:tc>
      </w:tr>
      <w:tr w14:paraId="0841D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D45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B90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CE3DCA">
            <w:pPr>
              <w:jc w:val="center"/>
            </w:pPr>
            <w:r>
              <w:rPr>
                <w:rFonts w:ascii="宋体" w:hAnsi="宋体" w:eastAsia="宋体"/>
                <w:sz w:val="16"/>
              </w:rPr>
              <w:t>实际完成情况</w:t>
            </w:r>
          </w:p>
        </w:tc>
      </w:tr>
      <w:tr w14:paraId="3AA9A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F10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47E362">
            <w:pPr>
              <w:jc w:val="both"/>
            </w:pPr>
            <w:r>
              <w:rPr>
                <w:rFonts w:ascii="宋体" w:hAnsi="宋体" w:eastAsia="宋体"/>
                <w:sz w:val="16"/>
              </w:rPr>
              <w:t>项目预算安排资金31万元，有序推进2024年县级专项公用经费项目，主要是有力保障基层组织顺利运转，不断强化经费保障,夯实基层基础，不断加强基层党组织建设，治理，提高干部队伍建设，提高基层党组织服务群众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9C1CB">
            <w:pPr>
              <w:jc w:val="both"/>
            </w:pPr>
            <w:r>
              <w:rPr>
                <w:rFonts w:ascii="宋体" w:hAnsi="宋体" w:eastAsia="宋体"/>
                <w:sz w:val="16"/>
              </w:rPr>
              <w:t>项目预算安排资金31万元，</w:t>
            </w:r>
            <w:r>
              <w:rPr>
                <w:rFonts w:hint="eastAsia" w:ascii="宋体" w:hAnsi="宋体"/>
                <w:sz w:val="16"/>
                <w:lang w:eastAsia="zh-CN"/>
              </w:rPr>
              <w:t>截至</w:t>
            </w:r>
            <w:r>
              <w:rPr>
                <w:rFonts w:ascii="宋体" w:hAnsi="宋体" w:eastAsia="宋体"/>
                <w:sz w:val="16"/>
              </w:rPr>
              <w:t>2024年12月31日，到位资金31万，实际支出31万元，有序推进2024年工作经费项目，主要是有力保障基层组织顺利运转，不断强化经费保障,夯实基层基础，不断加强基层党组织建设，治理，提高干部队伍建设，提高基层党组织服务群众能力。</w:t>
            </w:r>
          </w:p>
        </w:tc>
      </w:tr>
      <w:tr w14:paraId="639896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6B1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C2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E3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8D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1B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79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32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C4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E3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A4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37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F7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0CA3">
            <w:pPr>
              <w:jc w:val="center"/>
            </w:pPr>
            <w:r>
              <w:rPr>
                <w:rFonts w:ascii="宋体" w:hAnsi="宋体" w:eastAsia="宋体"/>
                <w:sz w:val="16"/>
              </w:rPr>
              <w:t>偏差原因分析及改进措施</w:t>
            </w:r>
          </w:p>
        </w:tc>
      </w:tr>
      <w:tr w14:paraId="15FF10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8F0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4544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08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E753">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D0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C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19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69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3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7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E2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2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FBFB2">
            <w:pPr>
              <w:jc w:val="center"/>
            </w:pPr>
          </w:p>
        </w:tc>
      </w:tr>
      <w:tr w14:paraId="353B9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EA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B3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86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21C5">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2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2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D2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8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1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F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1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A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035F">
            <w:pPr>
              <w:jc w:val="center"/>
            </w:pPr>
          </w:p>
        </w:tc>
      </w:tr>
      <w:tr w14:paraId="4ECDB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5A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806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52B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E0B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78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F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3D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E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5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1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A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DA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859B">
            <w:pPr>
              <w:jc w:val="center"/>
            </w:pPr>
          </w:p>
        </w:tc>
      </w:tr>
      <w:tr w14:paraId="58DB1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73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C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3A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3DD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DD81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E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E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B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5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3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1D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B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6E31B">
            <w:pPr>
              <w:jc w:val="center"/>
            </w:pPr>
          </w:p>
        </w:tc>
      </w:tr>
      <w:tr w14:paraId="273E6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50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18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5A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6CCE">
            <w:pPr>
              <w:jc w:val="center"/>
            </w:pPr>
            <w:r>
              <w:rPr>
                <w:rFonts w:ascii="宋体" w:hAnsi="宋体" w:eastAsia="宋体"/>
                <w:sz w:val="16"/>
              </w:rPr>
              <w:t>项目经费总额（元）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F874">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E3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3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7F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6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CF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8CBE">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41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E1E8">
            <w:pPr>
              <w:jc w:val="center"/>
            </w:pPr>
          </w:p>
        </w:tc>
      </w:tr>
      <w:tr w14:paraId="67F12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7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42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72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E7CE">
            <w:pPr>
              <w:jc w:val="center"/>
            </w:pPr>
            <w:r>
              <w:rPr>
                <w:rFonts w:ascii="宋体" w:hAnsi="宋体" w:eastAsia="宋体"/>
                <w:sz w:val="16"/>
              </w:rPr>
              <w:t>提升乡镇干部工作积极性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74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36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8A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0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BB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5D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56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AB963">
            <w:pPr>
              <w:jc w:val="center"/>
            </w:pPr>
          </w:p>
        </w:tc>
      </w:tr>
      <w:tr w14:paraId="4B778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DA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6C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84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9F5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8E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4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D8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E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4E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5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AD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2D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023B">
            <w:pPr>
              <w:jc w:val="center"/>
            </w:pPr>
            <w:r>
              <w:rPr>
                <w:rFonts w:ascii="宋体" w:hAnsi="宋体" w:eastAsia="宋体"/>
                <w:sz w:val="16"/>
              </w:rPr>
              <w:t>该项目实施较好，受益人员对此项目实施比较满意。整改措施：做好年初预算。</w:t>
            </w:r>
          </w:p>
        </w:tc>
      </w:tr>
      <w:tr w14:paraId="54D3349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9B8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17F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FB3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0F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BBE3440"/>
        </w:tc>
      </w:tr>
    </w:tbl>
    <w:p w14:paraId="158013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E3C6403">
        <w:tc>
          <w:tcPr>
            <w:tcW w:w="8848" w:type="dxa"/>
            <w:gridSpan w:val="14"/>
            <w:vAlign w:val="center"/>
          </w:tcPr>
          <w:p w14:paraId="7D161255">
            <w:pPr>
              <w:jc w:val="center"/>
            </w:pPr>
            <w:r>
              <w:rPr>
                <w:rFonts w:ascii="宋体" w:hAnsi="宋体" w:eastAsia="宋体"/>
                <w:sz w:val="24"/>
              </w:rPr>
              <w:t>项目支出绩效自评表</w:t>
            </w:r>
          </w:p>
        </w:tc>
      </w:tr>
      <w:tr w14:paraId="3538AE68">
        <w:tblPrEx>
          <w:tblCellMar>
            <w:top w:w="0" w:type="dxa"/>
            <w:left w:w="108" w:type="dxa"/>
            <w:bottom w:w="0" w:type="dxa"/>
            <w:right w:w="108" w:type="dxa"/>
          </w:tblCellMar>
        </w:tblPrEx>
        <w:tc>
          <w:tcPr>
            <w:tcW w:w="8848" w:type="dxa"/>
            <w:gridSpan w:val="14"/>
            <w:vAlign w:val="center"/>
          </w:tcPr>
          <w:p w14:paraId="7BA9E803">
            <w:pPr>
              <w:jc w:val="center"/>
            </w:pPr>
            <w:r>
              <w:rPr>
                <w:rFonts w:ascii="宋体" w:hAnsi="宋体" w:eastAsia="宋体"/>
                <w:sz w:val="24"/>
              </w:rPr>
              <w:t>(2024年度)</w:t>
            </w:r>
          </w:p>
        </w:tc>
      </w:tr>
      <w:tr w14:paraId="4F8EDC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EE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6B086D">
            <w:pPr>
              <w:jc w:val="center"/>
            </w:pPr>
            <w:r>
              <w:rPr>
                <w:rFonts w:ascii="宋体" w:hAnsi="宋体" w:eastAsia="宋体"/>
                <w:sz w:val="16"/>
              </w:rPr>
              <w:t>洛克乡2024年煤改电工程项目</w:t>
            </w:r>
          </w:p>
        </w:tc>
      </w:tr>
      <w:tr w14:paraId="556C42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86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765CD">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74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69E13">
            <w:pPr>
              <w:jc w:val="center"/>
            </w:pPr>
            <w:r>
              <w:rPr>
                <w:rFonts w:ascii="宋体" w:hAnsi="宋体" w:eastAsia="宋体"/>
                <w:sz w:val="16"/>
              </w:rPr>
              <w:t>叶城县洛克乡人民政府</w:t>
            </w:r>
          </w:p>
        </w:tc>
      </w:tr>
      <w:tr w14:paraId="317E6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E0E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57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B18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15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16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A67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1E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1B1B">
            <w:pPr>
              <w:jc w:val="center"/>
            </w:pPr>
            <w:r>
              <w:rPr>
                <w:rFonts w:ascii="宋体" w:hAnsi="宋体" w:eastAsia="宋体"/>
                <w:sz w:val="16"/>
              </w:rPr>
              <w:t>得分</w:t>
            </w:r>
          </w:p>
        </w:tc>
      </w:tr>
      <w:tr w14:paraId="30A8C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A0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689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7D348">
            <w:pPr>
              <w:jc w:val="center"/>
            </w:pPr>
            <w:r>
              <w:rPr>
                <w:rFonts w:ascii="宋体" w:hAnsi="宋体" w:eastAsia="宋体"/>
                <w:sz w:val="16"/>
              </w:rPr>
              <w:t>1,095.12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C445">
            <w:pPr>
              <w:jc w:val="center"/>
            </w:pPr>
            <w:r>
              <w:rPr>
                <w:rFonts w:ascii="宋体" w:hAnsi="宋体" w:eastAsia="宋体"/>
                <w:sz w:val="16"/>
              </w:rPr>
              <w:t>1,095.12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608B4">
            <w:pPr>
              <w:jc w:val="center"/>
            </w:pPr>
            <w:r>
              <w:rPr>
                <w:rFonts w:ascii="宋体" w:hAnsi="宋体" w:eastAsia="宋体"/>
                <w:sz w:val="16"/>
              </w:rPr>
              <w:t>910.44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C0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55E4">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04A2">
            <w:pPr>
              <w:jc w:val="center"/>
            </w:pPr>
            <w:r>
              <w:rPr>
                <w:rFonts w:ascii="宋体" w:hAnsi="宋体" w:eastAsia="宋体"/>
                <w:sz w:val="16"/>
              </w:rPr>
              <w:t>5.79分</w:t>
            </w:r>
          </w:p>
        </w:tc>
      </w:tr>
      <w:tr w14:paraId="084D6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107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C7B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A55F8">
            <w:pPr>
              <w:jc w:val="center"/>
            </w:pPr>
            <w:r>
              <w:rPr>
                <w:rFonts w:ascii="宋体" w:hAnsi="宋体" w:eastAsia="宋体"/>
                <w:sz w:val="16"/>
              </w:rPr>
              <w:t>821.34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331C">
            <w:pPr>
              <w:jc w:val="center"/>
            </w:pPr>
            <w:r>
              <w:rPr>
                <w:rFonts w:ascii="宋体" w:hAnsi="宋体" w:eastAsia="宋体"/>
                <w:sz w:val="16"/>
              </w:rPr>
              <w:t>821.34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FF1BC">
            <w:pPr>
              <w:jc w:val="center"/>
            </w:pPr>
            <w:r>
              <w:rPr>
                <w:rFonts w:ascii="宋体" w:hAnsi="宋体" w:eastAsia="宋体"/>
                <w:sz w:val="16"/>
              </w:rPr>
              <w:t>821.34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4CB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B2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A549">
            <w:pPr>
              <w:jc w:val="center"/>
            </w:pPr>
            <w:r>
              <w:rPr>
                <w:rFonts w:ascii="宋体" w:hAnsi="宋体" w:eastAsia="宋体"/>
                <w:sz w:val="16"/>
              </w:rPr>
              <w:t>—</w:t>
            </w:r>
          </w:p>
        </w:tc>
      </w:tr>
      <w:tr w14:paraId="2E752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265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B3D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5FFAA">
            <w:pPr>
              <w:jc w:val="center"/>
            </w:pPr>
            <w:r>
              <w:rPr>
                <w:rFonts w:ascii="宋体" w:hAnsi="宋体" w:eastAsia="宋体"/>
                <w:sz w:val="16"/>
              </w:rPr>
              <w:t>273.78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ADD48">
            <w:pPr>
              <w:jc w:val="center"/>
            </w:pPr>
            <w:r>
              <w:rPr>
                <w:rFonts w:ascii="宋体" w:hAnsi="宋体" w:eastAsia="宋体"/>
                <w:sz w:val="16"/>
              </w:rPr>
              <w:t>273.78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2BFB">
            <w:pPr>
              <w:jc w:val="center"/>
            </w:pPr>
            <w:r>
              <w:rPr>
                <w:rFonts w:ascii="宋体" w:hAnsi="宋体" w:eastAsia="宋体"/>
                <w:sz w:val="16"/>
              </w:rPr>
              <w:t>89.10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D5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844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9027">
            <w:pPr>
              <w:jc w:val="center"/>
            </w:pPr>
            <w:r>
              <w:rPr>
                <w:rFonts w:ascii="宋体" w:hAnsi="宋体" w:eastAsia="宋体"/>
                <w:sz w:val="16"/>
              </w:rPr>
              <w:t>—</w:t>
            </w:r>
          </w:p>
        </w:tc>
      </w:tr>
      <w:tr w14:paraId="4BE45B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D5E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903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277CA">
            <w:pPr>
              <w:jc w:val="center"/>
            </w:pPr>
            <w:r>
              <w:rPr>
                <w:rFonts w:ascii="宋体" w:hAnsi="宋体" w:eastAsia="宋体"/>
                <w:sz w:val="16"/>
              </w:rPr>
              <w:t>实际完成情况</w:t>
            </w:r>
          </w:p>
        </w:tc>
      </w:tr>
      <w:tr w14:paraId="27397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DD9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F7EE6">
            <w:pPr>
              <w:jc w:val="both"/>
            </w:pPr>
            <w:r>
              <w:rPr>
                <w:rFonts w:ascii="宋体" w:hAnsi="宋体" w:eastAsia="宋体"/>
                <w:sz w:val="16"/>
              </w:rPr>
              <w:t>项目预算安排资金1095.12万元，其中：中央财政补贴410.67万元（占投资的37.5%），自治区财政补贴410.67万元（占投资的37.5%），农户自筹273.78万元（占投资的25%），农村居民煤改电改造总3042户,每户按照50平方米,4千瓦的标准进行改造建设，通过项目实施进一步改善村民取暖条件，保障冬季供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3FB0B">
            <w:pPr>
              <w:jc w:val="both"/>
            </w:pPr>
            <w:r>
              <w:rPr>
                <w:rFonts w:ascii="宋体" w:hAnsi="宋体" w:eastAsia="宋体"/>
                <w:sz w:val="16"/>
              </w:rPr>
              <w:t>截至2024年12月31日，项目实际支付910.44万元，主要用于支付项目工程款及前期费，项目的实施有效提升居民满意度，建立健全财务运行机制，提高政府公信力，改善村民取暖条件，覆盖了5个乡镇，改善了3042户的取暖条件，有效保障了村民冬季供暖。</w:t>
            </w:r>
          </w:p>
        </w:tc>
      </w:tr>
      <w:tr w14:paraId="78838D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DCE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54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D2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D2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740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75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1A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BB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37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A5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1B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E5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30FB">
            <w:pPr>
              <w:jc w:val="center"/>
            </w:pPr>
            <w:r>
              <w:rPr>
                <w:rFonts w:ascii="宋体" w:hAnsi="宋体" w:eastAsia="宋体"/>
                <w:sz w:val="16"/>
              </w:rPr>
              <w:t>偏差原因分析及改进措施</w:t>
            </w:r>
          </w:p>
        </w:tc>
      </w:tr>
      <w:tr w14:paraId="7EDBC2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C95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2CA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C20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06F5">
            <w:pPr>
              <w:jc w:val="center"/>
            </w:pPr>
            <w:r>
              <w:rPr>
                <w:rFonts w:ascii="宋体" w:hAnsi="宋体" w:eastAsia="宋体"/>
                <w:sz w:val="16"/>
              </w:rPr>
              <w:t>煤改电户数（户）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2E8E">
            <w:pPr>
              <w:jc w:val="center"/>
            </w:pPr>
            <w:r>
              <w:rPr>
                <w:rFonts w:ascii="宋体" w:hAnsi="宋体" w:eastAsia="宋体"/>
                <w:sz w:val="16"/>
              </w:rPr>
              <w:t>=3042户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6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1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F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C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4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5603">
            <w:pPr>
              <w:jc w:val="center"/>
            </w:pPr>
            <w:r>
              <w:rPr>
                <w:rFonts w:ascii="宋体" w:hAnsi="宋体" w:eastAsia="宋体"/>
                <w:sz w:val="16"/>
              </w:rPr>
              <w:t>=3042户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E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35E8">
            <w:pPr>
              <w:jc w:val="center"/>
            </w:pPr>
          </w:p>
        </w:tc>
      </w:tr>
      <w:tr w14:paraId="0351A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5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1D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D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4D59">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60B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4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8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4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1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3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03F2">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1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A8DB">
            <w:pPr>
              <w:jc w:val="center"/>
            </w:pPr>
          </w:p>
        </w:tc>
      </w:tr>
      <w:tr w14:paraId="6D6D3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7A3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EF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42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BD5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3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2D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7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2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C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B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7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8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0D5B">
            <w:pPr>
              <w:jc w:val="center"/>
            </w:pPr>
          </w:p>
        </w:tc>
      </w:tr>
      <w:tr w14:paraId="26435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FD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8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17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513C">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18E6">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F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B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6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9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5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BA5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0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C7650">
            <w:pPr>
              <w:jc w:val="center"/>
            </w:pPr>
          </w:p>
        </w:tc>
      </w:tr>
      <w:tr w14:paraId="521B5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3F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84A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2D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A979">
            <w:pPr>
              <w:jc w:val="center"/>
            </w:pPr>
            <w:r>
              <w:rPr>
                <w:rFonts w:ascii="宋体" w:hAnsi="宋体" w:eastAsia="宋体"/>
                <w:sz w:val="16"/>
              </w:rPr>
              <w:t>煤改电成本（万元/户）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9991">
            <w:pPr>
              <w:jc w:val="center"/>
            </w:pPr>
            <w:r>
              <w:rPr>
                <w:rFonts w:ascii="宋体" w:hAnsi="宋体" w:eastAsia="宋体"/>
                <w:sz w:val="16"/>
              </w:rPr>
              <w:t>&lt;=0.36万元/户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81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5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DF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7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42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5FE3">
            <w:pPr>
              <w:jc w:val="center"/>
            </w:pPr>
            <w:r>
              <w:rPr>
                <w:rFonts w:ascii="宋体" w:hAnsi="宋体" w:eastAsia="宋体"/>
                <w:sz w:val="16"/>
              </w:rPr>
              <w:t>&lt;=0.29万元/户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F26F">
            <w:pPr>
              <w:jc w:val="center"/>
            </w:pPr>
            <w:r>
              <w:rPr>
                <w:rFonts w:ascii="宋体" w:hAnsi="宋体" w:eastAsia="宋体"/>
                <w:sz w:val="16"/>
              </w:rPr>
              <w:t>10.27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5124D">
            <w:pPr>
              <w:jc w:val="center"/>
            </w:pPr>
            <w:r>
              <w:rPr>
                <w:rFonts w:ascii="宋体" w:hAnsi="宋体" w:eastAsia="宋体"/>
                <w:sz w:val="16"/>
              </w:rPr>
              <w:t>偏差原因：由于相关单位提供资金拨付资料不全，致使资金未按计划及时拨付。整改措施：加强督促确保资金按计划及时拨付。</w:t>
            </w:r>
          </w:p>
        </w:tc>
      </w:tr>
      <w:tr w14:paraId="20F6B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B7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DE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12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5882">
            <w:pPr>
              <w:jc w:val="center"/>
            </w:pPr>
            <w:r>
              <w:rPr>
                <w:rFonts w:ascii="宋体" w:hAnsi="宋体" w:eastAsia="宋体"/>
                <w:sz w:val="16"/>
              </w:rPr>
              <w:t>改善村民取暖条件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DB4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B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9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B1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F5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59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14C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CF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46FB6">
            <w:pPr>
              <w:jc w:val="center"/>
            </w:pPr>
          </w:p>
        </w:tc>
      </w:tr>
      <w:tr w14:paraId="10690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C1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B9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0A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D697">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4F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A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F3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A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8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9D0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57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3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048F4">
            <w:pPr>
              <w:jc w:val="center"/>
            </w:pPr>
            <w:r>
              <w:rPr>
                <w:rFonts w:ascii="宋体" w:hAnsi="宋体" w:eastAsia="宋体"/>
                <w:sz w:val="16"/>
              </w:rPr>
              <w:t>该项目实施比较</w:t>
            </w:r>
            <w:r>
              <w:rPr>
                <w:rFonts w:hint="eastAsia" w:ascii="宋体" w:hAnsi="宋体"/>
                <w:sz w:val="16"/>
                <w:lang w:eastAsia="zh-CN"/>
              </w:rPr>
              <w:t>好</w:t>
            </w:r>
            <w:r>
              <w:rPr>
                <w:rFonts w:ascii="宋体" w:hAnsi="宋体" w:eastAsia="宋体"/>
                <w:sz w:val="16"/>
              </w:rPr>
              <w:t>，受益人员对此项目实施比较满意。改进措施：做好年初预算。</w:t>
            </w:r>
          </w:p>
        </w:tc>
      </w:tr>
      <w:tr w14:paraId="78E6797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152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D3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4DB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A5DC">
            <w:pPr>
              <w:jc w:val="center"/>
            </w:pPr>
            <w:r>
              <w:rPr>
                <w:rFonts w:ascii="宋体" w:hAnsi="宋体" w:eastAsia="宋体"/>
                <w:sz w:val="16"/>
              </w:rPr>
              <w:t>86.06分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FF9237"/>
        </w:tc>
      </w:tr>
    </w:tbl>
    <w:p w14:paraId="3D1B12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ED0B95E">
        <w:tblPrEx>
          <w:tblCellMar>
            <w:top w:w="0" w:type="dxa"/>
            <w:left w:w="108" w:type="dxa"/>
            <w:bottom w:w="0" w:type="dxa"/>
            <w:right w:w="108" w:type="dxa"/>
          </w:tblCellMar>
        </w:tblPrEx>
        <w:tc>
          <w:tcPr>
            <w:tcW w:w="8848" w:type="dxa"/>
            <w:gridSpan w:val="14"/>
            <w:vAlign w:val="center"/>
          </w:tcPr>
          <w:p w14:paraId="68254D6E">
            <w:pPr>
              <w:jc w:val="center"/>
            </w:pPr>
            <w:r>
              <w:rPr>
                <w:rFonts w:ascii="宋体" w:hAnsi="宋体" w:eastAsia="宋体"/>
                <w:sz w:val="24"/>
              </w:rPr>
              <w:t>项目支出绩效自评表</w:t>
            </w:r>
          </w:p>
        </w:tc>
      </w:tr>
      <w:tr w14:paraId="2CDA9335">
        <w:tblPrEx>
          <w:tblCellMar>
            <w:top w:w="0" w:type="dxa"/>
            <w:left w:w="108" w:type="dxa"/>
            <w:bottom w:w="0" w:type="dxa"/>
            <w:right w:w="108" w:type="dxa"/>
          </w:tblCellMar>
        </w:tblPrEx>
        <w:tc>
          <w:tcPr>
            <w:tcW w:w="8848" w:type="dxa"/>
            <w:gridSpan w:val="14"/>
            <w:vAlign w:val="center"/>
          </w:tcPr>
          <w:p w14:paraId="6E3D3E36">
            <w:pPr>
              <w:jc w:val="center"/>
            </w:pPr>
            <w:r>
              <w:rPr>
                <w:rFonts w:ascii="宋体" w:hAnsi="宋体" w:eastAsia="宋体"/>
                <w:sz w:val="24"/>
              </w:rPr>
              <w:t>(2024年度)</w:t>
            </w:r>
          </w:p>
        </w:tc>
      </w:tr>
      <w:tr w14:paraId="79FF3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55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58E325">
            <w:pPr>
              <w:jc w:val="center"/>
            </w:pPr>
            <w:r>
              <w:rPr>
                <w:rFonts w:ascii="宋体" w:hAnsi="宋体" w:eastAsia="宋体"/>
                <w:sz w:val="16"/>
              </w:rPr>
              <w:t>洛克乡疾病防治项目（整改）</w:t>
            </w:r>
          </w:p>
        </w:tc>
      </w:tr>
      <w:tr w14:paraId="19262E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EB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90122">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D4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585C7">
            <w:pPr>
              <w:jc w:val="center"/>
            </w:pPr>
            <w:r>
              <w:rPr>
                <w:rFonts w:ascii="宋体" w:hAnsi="宋体" w:eastAsia="宋体"/>
                <w:sz w:val="16"/>
              </w:rPr>
              <w:t>叶城县洛克乡人民政府</w:t>
            </w:r>
          </w:p>
        </w:tc>
      </w:tr>
      <w:tr w14:paraId="09721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1CD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58E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0B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27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82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DD7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175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858D">
            <w:pPr>
              <w:jc w:val="center"/>
            </w:pPr>
            <w:r>
              <w:rPr>
                <w:rFonts w:ascii="宋体" w:hAnsi="宋体" w:eastAsia="宋体"/>
                <w:sz w:val="16"/>
              </w:rPr>
              <w:t>得分</w:t>
            </w:r>
          </w:p>
        </w:tc>
      </w:tr>
      <w:tr w14:paraId="682A5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03F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4C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CF31F">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4B68F">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0855">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9E4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5ED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A030">
            <w:pPr>
              <w:jc w:val="center"/>
            </w:pPr>
            <w:r>
              <w:rPr>
                <w:rFonts w:ascii="宋体" w:hAnsi="宋体" w:eastAsia="宋体"/>
                <w:sz w:val="16"/>
              </w:rPr>
              <w:t>10.00分</w:t>
            </w:r>
          </w:p>
        </w:tc>
      </w:tr>
      <w:tr w14:paraId="0907C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20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330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FE837">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1B406">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C294">
            <w:pPr>
              <w:jc w:val="center"/>
            </w:pPr>
            <w:r>
              <w:rPr>
                <w:rFonts w:ascii="宋体" w:hAnsi="宋体" w:eastAsia="宋体"/>
                <w:sz w:val="16"/>
              </w:rPr>
              <w:t>7.10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F8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1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BDE8">
            <w:pPr>
              <w:jc w:val="center"/>
            </w:pPr>
            <w:r>
              <w:rPr>
                <w:rFonts w:ascii="宋体" w:hAnsi="宋体" w:eastAsia="宋体"/>
                <w:sz w:val="16"/>
              </w:rPr>
              <w:t>—</w:t>
            </w:r>
          </w:p>
        </w:tc>
      </w:tr>
      <w:tr w14:paraId="3B36C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95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3F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0F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9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61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20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8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A162">
            <w:pPr>
              <w:jc w:val="center"/>
            </w:pPr>
            <w:r>
              <w:rPr>
                <w:rFonts w:ascii="宋体" w:hAnsi="宋体" w:eastAsia="宋体"/>
                <w:sz w:val="16"/>
              </w:rPr>
              <w:t>—</w:t>
            </w:r>
          </w:p>
        </w:tc>
      </w:tr>
      <w:tr w14:paraId="40A51A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6EC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3C9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C149F9">
            <w:pPr>
              <w:jc w:val="center"/>
            </w:pPr>
            <w:r>
              <w:rPr>
                <w:rFonts w:ascii="宋体" w:hAnsi="宋体" w:eastAsia="宋体"/>
                <w:sz w:val="16"/>
              </w:rPr>
              <w:t>实际完成情况</w:t>
            </w:r>
          </w:p>
        </w:tc>
      </w:tr>
      <w:tr w14:paraId="54C85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D7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68EF8">
            <w:pPr>
              <w:jc w:val="both"/>
            </w:pPr>
            <w:r>
              <w:rPr>
                <w:rFonts w:ascii="宋体" w:hAnsi="宋体" w:eastAsia="宋体"/>
                <w:sz w:val="16"/>
              </w:rPr>
              <w:t>项目资金7.1万元，用于支付采购</w:t>
            </w:r>
            <w:r>
              <w:rPr>
                <w:rFonts w:hint="eastAsia" w:ascii="宋体" w:hAnsi="宋体"/>
                <w:sz w:val="16"/>
                <w:lang w:val="en-US" w:eastAsia="zh-CN"/>
              </w:rPr>
              <w:t>YQ</w:t>
            </w:r>
            <w:r>
              <w:rPr>
                <w:rFonts w:ascii="宋体" w:hAnsi="宋体" w:eastAsia="宋体"/>
                <w:sz w:val="16"/>
              </w:rPr>
              <w:t>防疫物资的尾款，按时支付项目尾款，保证相关公司合法权益，建立健全财务运行机制，进一步规范地方政府举债融资行为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3BA6BC">
            <w:pPr>
              <w:jc w:val="both"/>
            </w:pPr>
            <w:r>
              <w:rPr>
                <w:rFonts w:ascii="宋体" w:hAnsi="宋体" w:eastAsia="宋体"/>
                <w:sz w:val="16"/>
              </w:rPr>
              <w:t>截至2024年5月31日，项目实际支付7.1万元，主要用于支付采购的防疫物资尾款，项目的实施有效化解政府债务危机，建立健全财务运行机制，提高政府公信力。</w:t>
            </w:r>
          </w:p>
        </w:tc>
      </w:tr>
      <w:tr w14:paraId="108E7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15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B4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A4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A7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35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BD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D7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C6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16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EE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16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FA4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E4D6">
            <w:pPr>
              <w:jc w:val="center"/>
            </w:pPr>
            <w:r>
              <w:rPr>
                <w:rFonts w:ascii="宋体" w:hAnsi="宋体" w:eastAsia="宋体"/>
                <w:sz w:val="16"/>
              </w:rPr>
              <w:t>偏差原因分析及改进措施</w:t>
            </w:r>
          </w:p>
        </w:tc>
      </w:tr>
      <w:tr w14:paraId="17EE39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57E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8F3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416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EF5A">
            <w:pPr>
              <w:jc w:val="center"/>
            </w:pPr>
            <w:r>
              <w:rPr>
                <w:rFonts w:ascii="宋体" w:hAnsi="宋体" w:eastAsia="宋体"/>
                <w:sz w:val="16"/>
              </w:rPr>
              <w:t>覆盖乡镇（个）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1B8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E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6299">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8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B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73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25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BB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FF06">
            <w:pPr>
              <w:jc w:val="center"/>
            </w:pPr>
          </w:p>
        </w:tc>
      </w:tr>
      <w:tr w14:paraId="07B64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AF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18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E9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78BE">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1A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E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A1F7">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97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7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C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65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C9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96DEA">
            <w:pPr>
              <w:jc w:val="center"/>
            </w:pPr>
          </w:p>
        </w:tc>
      </w:tr>
      <w:tr w14:paraId="4B203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9C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ECA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55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B1BD">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6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B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4980">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D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2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34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3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05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C00A7">
            <w:pPr>
              <w:jc w:val="center"/>
            </w:pPr>
          </w:p>
        </w:tc>
      </w:tr>
      <w:tr w14:paraId="38C02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92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A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2E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5A1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754E">
            <w:pPr>
              <w:jc w:val="center"/>
            </w:pPr>
            <w:r>
              <w:rPr>
                <w:rFonts w:ascii="宋体" w:hAnsi="宋体" w:eastAsia="宋体"/>
                <w:sz w:val="16"/>
              </w:rPr>
              <w:t>=2024年2月29日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71C7">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C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8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F7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3D54">
            <w:pPr>
              <w:jc w:val="center"/>
            </w:pPr>
            <w:r>
              <w:rPr>
                <w:rFonts w:ascii="宋体" w:hAnsi="宋体" w:eastAsia="宋体"/>
                <w:sz w:val="16"/>
              </w:rPr>
              <w:t>=2024年2月27日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FA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1D882">
            <w:pPr>
              <w:jc w:val="center"/>
            </w:pPr>
          </w:p>
        </w:tc>
      </w:tr>
      <w:tr w14:paraId="12382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0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51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F0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A247">
            <w:pPr>
              <w:jc w:val="center"/>
            </w:pPr>
            <w:r>
              <w:rPr>
                <w:rFonts w:ascii="宋体" w:hAnsi="宋体" w:eastAsia="宋体"/>
                <w:sz w:val="16"/>
              </w:rPr>
              <w:t>项目经费总额（万元）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9621">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DD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639A">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AD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C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5A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AD72">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54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136A">
            <w:pPr>
              <w:jc w:val="center"/>
            </w:pPr>
          </w:p>
        </w:tc>
      </w:tr>
      <w:tr w14:paraId="0C01D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4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1B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05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D76F">
            <w:pPr>
              <w:jc w:val="center"/>
            </w:pPr>
            <w:r>
              <w:rPr>
                <w:rFonts w:ascii="宋体" w:hAnsi="宋体" w:eastAsia="宋体"/>
                <w:sz w:val="16"/>
              </w:rPr>
              <w:t>建立健全财务运行机制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1D6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E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1CE6">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90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E2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C8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297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37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1AD7F">
            <w:pPr>
              <w:jc w:val="center"/>
            </w:pPr>
          </w:p>
        </w:tc>
      </w:tr>
      <w:tr w14:paraId="5F0FD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C3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2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1B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252F">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4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E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D387">
            <w:pPr>
              <w:jc w:val="center"/>
            </w:pPr>
            <w:r>
              <w:rPr>
                <w:rFonts w:ascii="宋体" w:hAnsi="宋体" w:eastAsia="宋体"/>
                <w:sz w:val="16"/>
              </w:rPr>
              <w:t>2024年新增项目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5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A0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C1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6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30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02FE">
            <w:pPr>
              <w:jc w:val="center"/>
            </w:pPr>
          </w:p>
        </w:tc>
      </w:tr>
      <w:tr w14:paraId="6CDCEE7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1EB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BE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48E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15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3724D2"/>
        </w:tc>
      </w:tr>
    </w:tbl>
    <w:p w14:paraId="1B546F93">
      <w:r>
        <w:br w:type="page"/>
      </w:r>
    </w:p>
    <w:p w14:paraId="239D3B17">
      <w:pPr>
        <w:spacing w:line="640" w:lineRule="exact"/>
        <w:ind w:firstLine="640"/>
        <w:jc w:val="both"/>
        <w:outlineLvl w:val="2"/>
      </w:pPr>
      <w:r>
        <w:rPr>
          <w:rFonts w:ascii="黑体" w:hAnsi="黑体" w:eastAsia="黑体"/>
          <w:sz w:val="32"/>
        </w:rPr>
        <w:t>十二、其他需说明的事项</w:t>
      </w:r>
    </w:p>
    <w:p w14:paraId="1E21EE12">
      <w:pPr>
        <w:spacing w:line="580" w:lineRule="exact"/>
        <w:ind w:firstLine="640"/>
        <w:jc w:val="both"/>
      </w:pPr>
      <w:r>
        <w:rPr>
          <w:rFonts w:ascii="仿宋_GB2312" w:hAnsi="仿宋_GB2312" w:eastAsia="仿宋_GB2312"/>
          <w:b w:val="0"/>
          <w:sz w:val="32"/>
        </w:rPr>
        <w:t>本单位无其他需说明的事项。</w:t>
      </w:r>
    </w:p>
    <w:p w14:paraId="56055E2C">
      <w:r>
        <w:br w:type="page"/>
      </w:r>
    </w:p>
    <w:p w14:paraId="5A89D272">
      <w:pPr>
        <w:spacing w:line="240" w:lineRule="auto"/>
        <w:jc w:val="center"/>
        <w:outlineLvl w:val="1"/>
      </w:pPr>
      <w:r>
        <w:rPr>
          <w:rFonts w:ascii="黑体" w:hAnsi="黑体" w:eastAsia="黑体"/>
          <w:sz w:val="32"/>
        </w:rPr>
        <w:t>第三部分 专业名词解释</w:t>
      </w:r>
    </w:p>
    <w:p w14:paraId="02DEAE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387A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2C4FF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4EF63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E3F59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10EA3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4A20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FD9B0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078720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59B8B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E8A3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CF31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EF90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F7C86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AF08D4">
      <w:r>
        <w:br w:type="page"/>
      </w:r>
    </w:p>
    <w:p w14:paraId="75ADA753">
      <w:pPr>
        <w:spacing w:line="240" w:lineRule="auto"/>
        <w:jc w:val="center"/>
        <w:outlineLvl w:val="1"/>
      </w:pPr>
      <w:r>
        <w:rPr>
          <w:rFonts w:ascii="黑体" w:hAnsi="黑体" w:eastAsia="黑体"/>
          <w:sz w:val="32"/>
        </w:rPr>
        <w:t>第四部分 部门决算报表（见附表）</w:t>
      </w:r>
    </w:p>
    <w:p w14:paraId="53CB569E">
      <w:pPr>
        <w:spacing w:line="240" w:lineRule="auto"/>
        <w:ind w:firstLine="640"/>
        <w:jc w:val="both"/>
      </w:pPr>
      <w:r>
        <w:rPr>
          <w:rFonts w:ascii="仿宋_GB2312" w:hAnsi="仿宋_GB2312" w:eastAsia="仿宋_GB2312"/>
          <w:b w:val="0"/>
          <w:sz w:val="32"/>
        </w:rPr>
        <w:t>一、《收入支出决算总表》</w:t>
      </w:r>
    </w:p>
    <w:p w14:paraId="5674226D">
      <w:pPr>
        <w:spacing w:line="240" w:lineRule="auto"/>
        <w:ind w:firstLine="640"/>
        <w:jc w:val="both"/>
      </w:pPr>
      <w:r>
        <w:rPr>
          <w:rFonts w:ascii="仿宋_GB2312" w:hAnsi="仿宋_GB2312" w:eastAsia="仿宋_GB2312"/>
          <w:b w:val="0"/>
          <w:sz w:val="32"/>
        </w:rPr>
        <w:t>二、《收入决算表》</w:t>
      </w:r>
    </w:p>
    <w:p w14:paraId="7F3E3958">
      <w:pPr>
        <w:spacing w:line="240" w:lineRule="auto"/>
        <w:ind w:firstLine="640"/>
        <w:jc w:val="both"/>
      </w:pPr>
      <w:r>
        <w:rPr>
          <w:rFonts w:ascii="仿宋_GB2312" w:hAnsi="仿宋_GB2312" w:eastAsia="仿宋_GB2312"/>
          <w:b w:val="0"/>
          <w:sz w:val="32"/>
        </w:rPr>
        <w:t>三、《支出决算表》</w:t>
      </w:r>
    </w:p>
    <w:p w14:paraId="6210A746">
      <w:pPr>
        <w:spacing w:line="240" w:lineRule="auto"/>
        <w:ind w:firstLine="640"/>
        <w:jc w:val="both"/>
      </w:pPr>
      <w:r>
        <w:rPr>
          <w:rFonts w:ascii="仿宋_GB2312" w:hAnsi="仿宋_GB2312" w:eastAsia="仿宋_GB2312"/>
          <w:b w:val="0"/>
          <w:sz w:val="32"/>
        </w:rPr>
        <w:t>四、《财政拨款收入支出决算总表》</w:t>
      </w:r>
    </w:p>
    <w:p w14:paraId="5C6A84BE">
      <w:pPr>
        <w:spacing w:line="240" w:lineRule="auto"/>
        <w:ind w:firstLine="640"/>
        <w:jc w:val="both"/>
      </w:pPr>
      <w:r>
        <w:rPr>
          <w:rFonts w:ascii="仿宋_GB2312" w:hAnsi="仿宋_GB2312" w:eastAsia="仿宋_GB2312"/>
          <w:b w:val="0"/>
          <w:sz w:val="32"/>
        </w:rPr>
        <w:t>五、《一般公共预算财政拨款支出决算表》</w:t>
      </w:r>
    </w:p>
    <w:p w14:paraId="68B5A779">
      <w:pPr>
        <w:spacing w:line="240" w:lineRule="auto"/>
        <w:ind w:firstLine="640"/>
        <w:jc w:val="both"/>
      </w:pPr>
      <w:r>
        <w:rPr>
          <w:rFonts w:ascii="仿宋_GB2312" w:hAnsi="仿宋_GB2312" w:eastAsia="仿宋_GB2312"/>
          <w:b w:val="0"/>
          <w:sz w:val="32"/>
        </w:rPr>
        <w:t>六、《一般公共预算财政拨款基本支出决算表》</w:t>
      </w:r>
    </w:p>
    <w:p w14:paraId="3E183EFE">
      <w:pPr>
        <w:spacing w:line="240" w:lineRule="auto"/>
        <w:ind w:firstLine="640"/>
        <w:jc w:val="both"/>
      </w:pPr>
      <w:r>
        <w:rPr>
          <w:rFonts w:ascii="仿宋_GB2312" w:hAnsi="仿宋_GB2312" w:eastAsia="仿宋_GB2312"/>
          <w:b w:val="0"/>
          <w:sz w:val="32"/>
        </w:rPr>
        <w:t>七、《政府性基金预算财政拨款收入支出决算表》</w:t>
      </w:r>
    </w:p>
    <w:p w14:paraId="512A39CC">
      <w:pPr>
        <w:spacing w:line="240" w:lineRule="auto"/>
        <w:ind w:firstLine="640"/>
        <w:jc w:val="both"/>
      </w:pPr>
      <w:r>
        <w:rPr>
          <w:rFonts w:ascii="仿宋_GB2312" w:hAnsi="仿宋_GB2312" w:eastAsia="仿宋_GB2312"/>
          <w:b w:val="0"/>
          <w:sz w:val="32"/>
        </w:rPr>
        <w:t>八、《国有资本经营预算财政拨款收入支出决算表》</w:t>
      </w:r>
    </w:p>
    <w:p w14:paraId="40AF4281">
      <w:pPr>
        <w:spacing w:line="240" w:lineRule="auto"/>
        <w:ind w:firstLine="640"/>
        <w:jc w:val="both"/>
      </w:pPr>
      <w:r>
        <w:rPr>
          <w:rFonts w:ascii="仿宋_GB2312" w:hAnsi="仿宋_GB2312" w:eastAsia="仿宋_GB2312"/>
          <w:b w:val="0"/>
          <w:sz w:val="32"/>
        </w:rPr>
        <w:t>九、《财政拨款“三公”经费支出决算表》</w:t>
      </w:r>
    </w:p>
    <w:p w14:paraId="1A98A3F2">
      <w:pPr>
        <w:spacing w:line="240" w:lineRule="auto"/>
        <w:ind w:firstLine="640"/>
        <w:jc w:val="both"/>
      </w:pPr>
    </w:p>
    <w:p w14:paraId="1F90334A">
      <w:pPr>
        <w:spacing w:line="240" w:lineRule="auto"/>
        <w:ind w:firstLine="640"/>
        <w:jc w:val="both"/>
      </w:pPr>
    </w:p>
    <w:p w14:paraId="4307DAF5">
      <w:pPr>
        <w:spacing w:line="240" w:lineRule="auto"/>
        <w:ind w:firstLine="640"/>
        <w:jc w:val="both"/>
      </w:pPr>
    </w:p>
    <w:p w14:paraId="0513D57C">
      <w:pPr>
        <w:spacing w:line="240" w:lineRule="auto"/>
        <w:ind w:firstLine="640"/>
        <w:jc w:val="both"/>
      </w:pPr>
    </w:p>
    <w:p w14:paraId="3FAB475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288C23-7F04-4DC4-8326-389C2FE9EB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E6D5407-5EC5-47EF-8C8A-19C4AB223AC3}"/>
  </w:font>
  <w:font w:name="仿宋_GB2312">
    <w:panose1 w:val="02010609030101010101"/>
    <w:charset w:val="86"/>
    <w:family w:val="modern"/>
    <w:pitch w:val="default"/>
    <w:sig w:usb0="00000001" w:usb1="080E0000" w:usb2="00000000" w:usb3="00000000" w:csb0="00040000" w:csb1="00000000"/>
    <w:embedRegular r:id="rId3" w:fontKey="{C8B8575F-A755-4AC8-9762-E0A51F0FAB46}"/>
  </w:font>
  <w:font w:name="楷体_GB2312">
    <w:panose1 w:val="02010609030101010101"/>
    <w:charset w:val="86"/>
    <w:family w:val="auto"/>
    <w:pitch w:val="default"/>
    <w:sig w:usb0="00000001" w:usb1="080E0000" w:usb2="00000000" w:usb3="00000000" w:csb0="00040000" w:csb1="00000000"/>
    <w:embedRegular r:id="rId4" w:fontKey="{53D2FAD8-97F6-4A90-9882-B848E0177B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9F4225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D973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8469</Words>
  <Characters>9859</Characters>
  <Lines>0</Lines>
  <Paragraphs>0</Paragraphs>
  <TotalTime>10</TotalTime>
  <ScaleCrop>false</ScaleCrop>
  <LinksUpToDate>false</LinksUpToDate>
  <CharactersWithSpaces>9867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2025-09-29T11:19:34Z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