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914AB1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叶城县西合休乡人民政府</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F0AED2E">
      <w:r>
        <w:br w:type="page"/>
      </w:r>
    </w:p>
    <w:p w14:paraId="093FAE19">
      <w:pPr>
        <w:spacing w:line="640" w:lineRule="exact"/>
        <w:jc w:val="center"/>
        <w:outlineLvl w:val="1"/>
      </w:pPr>
      <w:r>
        <w:rPr>
          <w:rFonts w:ascii="黑体" w:hAnsi="黑体" w:eastAsia="黑体"/>
          <w:sz w:val="32"/>
        </w:rPr>
        <w:t>第一部分 单位概况</w:t>
      </w:r>
    </w:p>
    <w:p w14:paraId="02A0619D">
      <w:pPr>
        <w:spacing w:line="640" w:lineRule="exact"/>
        <w:ind w:firstLine="640"/>
        <w:jc w:val="both"/>
        <w:outlineLvl w:val="2"/>
      </w:pPr>
      <w:r>
        <w:rPr>
          <w:rFonts w:ascii="黑体" w:hAnsi="黑体" w:eastAsia="黑体"/>
          <w:sz w:val="32"/>
        </w:rPr>
        <w:t>一、主要职能</w:t>
      </w:r>
    </w:p>
    <w:p w14:paraId="2729D75D">
      <w:pPr>
        <w:spacing w:line="580" w:lineRule="exact"/>
        <w:ind w:firstLine="640"/>
        <w:jc w:val="both"/>
      </w:pPr>
      <w:r>
        <w:rPr>
          <w:rFonts w:ascii="仿宋_GB2312" w:hAnsi="仿宋_GB2312" w:eastAsia="仿宋_GB2312"/>
          <w:sz w:val="32"/>
        </w:rPr>
        <w:t>负责全乡党政行政管理事务坚决贯彻县委、县人民政府各项指示，负责全乡经济社会发展、社会事务管理、基层组织建设等全面工作。以乡村振兴为引领实现社会发展“总目标”，不断铸牢全乡经济社会发展基础，为全乡各族群众提供社会服务。</w:t>
      </w:r>
    </w:p>
    <w:p w14:paraId="77DF3565">
      <w:pPr>
        <w:spacing w:line="640" w:lineRule="exact"/>
        <w:ind w:firstLine="640"/>
        <w:jc w:val="both"/>
        <w:outlineLvl w:val="2"/>
      </w:pPr>
      <w:r>
        <w:rPr>
          <w:rFonts w:ascii="黑体" w:hAnsi="黑体" w:eastAsia="黑体"/>
          <w:sz w:val="32"/>
        </w:rPr>
        <w:t>二、机构设置及人员情况</w:t>
      </w:r>
    </w:p>
    <w:p w14:paraId="7F227FD6">
      <w:pPr>
        <w:spacing w:line="580" w:lineRule="exact"/>
        <w:ind w:firstLine="640"/>
        <w:jc w:val="both"/>
      </w:pPr>
      <w:r>
        <w:rPr>
          <w:rFonts w:ascii="仿宋_GB2312" w:hAnsi="仿宋_GB2312" w:eastAsia="仿宋_GB2312"/>
          <w:sz w:val="32"/>
        </w:rPr>
        <w:t>叶城县西合休乡人民政府2024年度，实有人数86人，其中：在职人员72人，减少7人；离休人员0人，增加0人；退休人员14人,增加2人。</w:t>
      </w:r>
    </w:p>
    <w:p w14:paraId="746BACA0">
      <w:pPr>
        <w:spacing w:line="580" w:lineRule="exact"/>
        <w:ind w:firstLine="640"/>
        <w:jc w:val="both"/>
      </w:pPr>
      <w:r>
        <w:rPr>
          <w:rFonts w:ascii="仿宋_GB2312" w:hAnsi="仿宋_GB2312" w:eastAsia="仿宋_GB2312"/>
          <w:sz w:val="32"/>
        </w:rPr>
        <w:t>叶城县西合休乡人民政府无下属预算单位，下设5个科室，分别是：党政办、社会事务办、综治办、党建办、经济发展办。</w:t>
      </w:r>
    </w:p>
    <w:p w14:paraId="42C22839">
      <w:r>
        <w:br w:type="page"/>
      </w:r>
    </w:p>
    <w:p w14:paraId="5481A418">
      <w:pPr>
        <w:spacing w:line="240" w:lineRule="auto"/>
        <w:jc w:val="center"/>
        <w:outlineLvl w:val="1"/>
      </w:pPr>
      <w:r>
        <w:rPr>
          <w:rFonts w:ascii="黑体" w:hAnsi="黑体" w:eastAsia="黑体"/>
          <w:sz w:val="32"/>
        </w:rPr>
        <w:t>第二部分 部门决算情况说明</w:t>
      </w:r>
    </w:p>
    <w:p w14:paraId="6AB802B1">
      <w:pPr>
        <w:spacing w:line="640" w:lineRule="exact"/>
        <w:ind w:firstLine="640"/>
        <w:jc w:val="both"/>
        <w:outlineLvl w:val="2"/>
      </w:pPr>
      <w:r>
        <w:rPr>
          <w:rFonts w:ascii="黑体" w:hAnsi="黑体" w:eastAsia="黑体"/>
          <w:sz w:val="32"/>
        </w:rPr>
        <w:t>一、收入支出决算总体情况说明</w:t>
      </w:r>
    </w:p>
    <w:p w14:paraId="719AECDF">
      <w:pPr>
        <w:spacing w:line="580" w:lineRule="exact"/>
        <w:ind w:firstLine="640"/>
        <w:jc w:val="both"/>
      </w:pPr>
      <w:r>
        <w:rPr>
          <w:rFonts w:ascii="仿宋_GB2312" w:hAnsi="仿宋_GB2312" w:eastAsia="仿宋_GB2312"/>
          <w:b/>
          <w:sz w:val="32"/>
        </w:rPr>
        <w:t>2024年度收入总计3,576.80万元，</w:t>
      </w:r>
      <w:r>
        <w:rPr>
          <w:rFonts w:ascii="仿宋_GB2312" w:hAnsi="仿宋_GB2312" w:eastAsia="仿宋_GB2312"/>
          <w:b w:val="0"/>
          <w:sz w:val="32"/>
        </w:rPr>
        <w:t>其中：本年收入合计3,576.80万元，使用非财政拨款结余（含专用结余）0.00万元，年初结转和结余0.00万元。</w:t>
      </w:r>
    </w:p>
    <w:p w14:paraId="1FBC9B8C">
      <w:pPr>
        <w:spacing w:line="580" w:lineRule="exact"/>
        <w:ind w:firstLine="640"/>
        <w:jc w:val="both"/>
      </w:pPr>
      <w:r>
        <w:rPr>
          <w:rFonts w:ascii="仿宋_GB2312" w:hAnsi="仿宋_GB2312" w:eastAsia="仿宋_GB2312"/>
          <w:b/>
          <w:sz w:val="32"/>
        </w:rPr>
        <w:t>2024年度支出总计3,576.80万元，</w:t>
      </w:r>
      <w:r>
        <w:rPr>
          <w:rFonts w:ascii="仿宋_GB2312" w:hAnsi="仿宋_GB2312" w:eastAsia="仿宋_GB2312"/>
          <w:b w:val="0"/>
          <w:sz w:val="32"/>
        </w:rPr>
        <w:t>其中：本年支出合计3,576.80万元，结余分配0.00万元，年末结转和结余0.00万元。</w:t>
      </w:r>
    </w:p>
    <w:p w14:paraId="6DD2FD24">
      <w:pPr>
        <w:spacing w:line="580" w:lineRule="exact"/>
        <w:ind w:firstLine="640"/>
        <w:jc w:val="both"/>
      </w:pPr>
      <w:r>
        <w:rPr>
          <w:rFonts w:ascii="仿宋_GB2312" w:hAnsi="仿宋_GB2312" w:eastAsia="仿宋_GB2312"/>
          <w:b w:val="0"/>
          <w:sz w:val="32"/>
        </w:rPr>
        <w:t>收入支出总体与上年相比，减少1,345.72万元，下降27.34%，主要原因是：本年度减少叶城县西合休乡(3)村示范村建设、叶城县西合休乡光伏电站升级改造、叶城县西合休乡中草药种植等项目经费，导致相关经费减少。</w:t>
      </w:r>
    </w:p>
    <w:p w14:paraId="6844B309">
      <w:pPr>
        <w:spacing w:line="640" w:lineRule="exact"/>
        <w:ind w:firstLine="640"/>
        <w:jc w:val="both"/>
        <w:outlineLvl w:val="2"/>
      </w:pPr>
      <w:r>
        <w:rPr>
          <w:rFonts w:ascii="黑体" w:hAnsi="黑体" w:eastAsia="黑体"/>
          <w:sz w:val="32"/>
        </w:rPr>
        <w:t>二、收入决算情况说明</w:t>
      </w:r>
    </w:p>
    <w:p w14:paraId="7A00C056">
      <w:pPr>
        <w:spacing w:line="580" w:lineRule="exact"/>
        <w:ind w:firstLine="640"/>
        <w:jc w:val="both"/>
      </w:pPr>
      <w:r>
        <w:rPr>
          <w:rFonts w:ascii="仿宋_GB2312" w:hAnsi="仿宋_GB2312" w:eastAsia="仿宋_GB2312"/>
          <w:b/>
          <w:sz w:val="32"/>
        </w:rPr>
        <w:t>本年收入3,576.80万元，</w:t>
      </w:r>
      <w:r>
        <w:rPr>
          <w:rFonts w:ascii="仿宋_GB2312" w:hAnsi="仿宋_GB2312" w:eastAsia="仿宋_GB2312"/>
          <w:b w:val="0"/>
          <w:sz w:val="32"/>
        </w:rPr>
        <w:t>其中：财政拨款收入3,507.80万元，占98.07%；上级补助收入0.00万元，占0.00%；事业收入0.00万元，占0.00%；经营收入0.00万元，占0.00%；附属单位上缴收入0.00万元，占0.00%；其他收入69.01万元，占1.93%。</w:t>
      </w:r>
    </w:p>
    <w:p w14:paraId="583D5CC8">
      <w:pPr>
        <w:spacing w:line="640" w:lineRule="exact"/>
        <w:ind w:firstLine="640"/>
        <w:jc w:val="both"/>
        <w:outlineLvl w:val="2"/>
      </w:pPr>
      <w:r>
        <w:rPr>
          <w:rFonts w:ascii="黑体" w:hAnsi="黑体" w:eastAsia="黑体"/>
          <w:sz w:val="32"/>
        </w:rPr>
        <w:t>三、支出决算情况说明</w:t>
      </w:r>
    </w:p>
    <w:p w14:paraId="4AE259EC">
      <w:pPr>
        <w:spacing w:line="580" w:lineRule="exact"/>
        <w:ind w:firstLine="640"/>
        <w:jc w:val="both"/>
      </w:pPr>
      <w:r>
        <w:rPr>
          <w:rFonts w:ascii="仿宋_GB2312" w:hAnsi="仿宋_GB2312" w:eastAsia="仿宋_GB2312"/>
          <w:b/>
          <w:sz w:val="32"/>
        </w:rPr>
        <w:t>本年支出3,576.80万元，</w:t>
      </w:r>
      <w:r>
        <w:rPr>
          <w:rFonts w:ascii="仿宋_GB2312" w:hAnsi="仿宋_GB2312" w:eastAsia="仿宋_GB2312"/>
          <w:b w:val="0"/>
          <w:sz w:val="32"/>
        </w:rPr>
        <w:t>其中：基本支出1,744.78万元，占48.78%；项目支出1,832.03万元，占51.22%；上缴上级支出0.00万元，占0.00%；经营支出0.00万元，占0.00%；对附属单位补助支出0.00万元，占0.00%。</w:t>
      </w:r>
    </w:p>
    <w:p w14:paraId="69CCEB4A">
      <w:pPr>
        <w:spacing w:line="640" w:lineRule="exact"/>
        <w:ind w:firstLine="640"/>
        <w:jc w:val="both"/>
        <w:outlineLvl w:val="2"/>
      </w:pPr>
      <w:r>
        <w:rPr>
          <w:rFonts w:ascii="黑体" w:hAnsi="黑体" w:eastAsia="黑体"/>
          <w:sz w:val="32"/>
        </w:rPr>
        <w:t>四、财政拨款收入支出决算总体情况说明</w:t>
      </w:r>
    </w:p>
    <w:p w14:paraId="4DF4ED5D">
      <w:pPr>
        <w:spacing w:line="580" w:lineRule="exact"/>
        <w:ind w:firstLine="640"/>
        <w:jc w:val="both"/>
      </w:pPr>
      <w:r>
        <w:rPr>
          <w:rFonts w:ascii="仿宋_GB2312" w:hAnsi="仿宋_GB2312" w:eastAsia="仿宋_GB2312"/>
          <w:b/>
          <w:sz w:val="32"/>
        </w:rPr>
        <w:t>2024年度财政拨款收入总计3,507.80万元，</w:t>
      </w:r>
      <w:r>
        <w:rPr>
          <w:rFonts w:ascii="仿宋_GB2312" w:hAnsi="仿宋_GB2312" w:eastAsia="仿宋_GB2312"/>
          <w:b w:val="0"/>
          <w:sz w:val="32"/>
        </w:rPr>
        <w:t>其中：年初财政拨款结转和结余0.00万元，本年财政拨款收入3,507.80万元。</w:t>
      </w:r>
      <w:r>
        <w:rPr>
          <w:rFonts w:ascii="仿宋_GB2312" w:hAnsi="仿宋_GB2312" w:eastAsia="仿宋_GB2312"/>
          <w:b/>
          <w:sz w:val="32"/>
        </w:rPr>
        <w:t>财政拨款支出总计3,507.80万元，</w:t>
      </w:r>
      <w:r>
        <w:rPr>
          <w:rFonts w:ascii="仿宋_GB2312" w:hAnsi="仿宋_GB2312" w:eastAsia="仿宋_GB2312"/>
          <w:b w:val="0"/>
          <w:sz w:val="32"/>
        </w:rPr>
        <w:t>其中：年末财政拨款结转和结余0.00万元，本年财政拨款支出3,507.80万元。</w:t>
      </w:r>
    </w:p>
    <w:p w14:paraId="06988F0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减少1,401.88万元，下降28.55%，主要原因是：本年度减少叶城县西合休乡(3)村示范村建设、叶城县西合休乡光伏电站升级改造、叶城县西合休乡中草药种植等项目经费，导致相关经费减少。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年初预算数1,743.82万元，决算数3,507.80万元，预决算差异率101.16%，主要原因是：年中追加人员工资、社保、公积金基数调增部分资金，追加河道修缮改造治理2024年以工代赈</w:t>
      </w:r>
      <w:r>
        <w:rPr>
          <w:rFonts w:hint="eastAsia" w:ascii="仿宋_GB2312" w:hAnsi="仿宋_GB2312" w:eastAsia="仿宋_GB2312"/>
          <w:b w:val="0"/>
          <w:sz w:val="32"/>
          <w:lang w:eastAsia="zh-CN"/>
        </w:rPr>
        <w:t>、西合休乡垃圾处理</w:t>
      </w:r>
      <w:r>
        <w:rPr>
          <w:rFonts w:ascii="仿宋_GB2312" w:hAnsi="仿宋_GB2312" w:eastAsia="仿宋_GB2312"/>
          <w:b w:val="0"/>
          <w:sz w:val="32"/>
        </w:rPr>
        <w:t>等项目经费，导致预决算存在差异。</w:t>
      </w:r>
    </w:p>
    <w:p w14:paraId="0388DBB6">
      <w:pPr>
        <w:spacing w:line="640" w:lineRule="exact"/>
        <w:ind w:firstLine="640"/>
        <w:jc w:val="both"/>
        <w:outlineLvl w:val="2"/>
      </w:pPr>
      <w:r>
        <w:rPr>
          <w:rFonts w:ascii="黑体" w:hAnsi="黑体" w:eastAsia="黑体"/>
          <w:sz w:val="32"/>
        </w:rPr>
        <w:t>五、一般公共预算财政拨款支出决算情况说明</w:t>
      </w:r>
    </w:p>
    <w:p w14:paraId="1A1DBB80">
      <w:pPr>
        <w:spacing w:line="640" w:lineRule="exact"/>
        <w:ind w:firstLine="640"/>
        <w:jc w:val="both"/>
        <w:outlineLvl w:val="3"/>
      </w:pPr>
      <w:r>
        <w:rPr>
          <w:rFonts w:ascii="楷体_GB2312" w:hAnsi="楷体_GB2312" w:eastAsia="楷体_GB2312"/>
          <w:b/>
          <w:sz w:val="32"/>
        </w:rPr>
        <w:t>（一）一般公共预算财政拨款支出决算总体情况</w:t>
      </w:r>
    </w:p>
    <w:p w14:paraId="0C2B96C5">
      <w:pPr>
        <w:spacing w:line="580" w:lineRule="exact"/>
        <w:ind w:firstLine="640"/>
        <w:jc w:val="both"/>
      </w:pPr>
      <w:r>
        <w:rPr>
          <w:rFonts w:ascii="仿宋_GB2312" w:hAnsi="仿宋_GB2312" w:eastAsia="仿宋_GB2312"/>
          <w:b/>
          <w:sz w:val="32"/>
        </w:rPr>
        <w:t>2024年度一般公共预算财政拨款支出3,507.80万元，</w:t>
      </w:r>
      <w:r>
        <w:rPr>
          <w:rFonts w:ascii="仿宋_GB2312" w:hAnsi="仿宋_GB2312" w:eastAsia="仿宋_GB2312"/>
          <w:b w:val="0"/>
          <w:sz w:val="32"/>
        </w:rPr>
        <w:t>占本年支出合计的98.07%。</w:t>
      </w:r>
      <w:r>
        <w:rPr>
          <w:rFonts w:ascii="仿宋_GB2312" w:hAnsi="仿宋_GB2312" w:eastAsia="仿宋_GB2312"/>
          <w:b/>
          <w:sz w:val="32"/>
        </w:rPr>
        <w:t>与上年相比，</w:t>
      </w:r>
      <w:r>
        <w:rPr>
          <w:rFonts w:ascii="仿宋_GB2312" w:hAnsi="仿宋_GB2312" w:eastAsia="仿宋_GB2312"/>
          <w:b w:val="0"/>
          <w:sz w:val="32"/>
        </w:rPr>
        <w:t>减少1,401.88万元，下降28.55%，主要原因是：本年度减少叶城县西合休乡(3)村示范村建设、叶城县西合休乡光伏电站升级改造、叶城县西合休乡中草药种植等项目经费，导致相关经费减少。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年初预算数1,743.82万元，决算数3,507.80万元，预决算差异率101.16%，主要原因是：年中追加人员工资、社保、公积金基数调增部分资金，追加河道修缮改造治理2024年以工代赈</w:t>
      </w:r>
      <w:r>
        <w:rPr>
          <w:rFonts w:hint="eastAsia" w:ascii="仿宋_GB2312" w:hAnsi="仿宋_GB2312" w:eastAsia="仿宋_GB2312"/>
          <w:b w:val="0"/>
          <w:sz w:val="32"/>
          <w:lang w:eastAsia="zh-CN"/>
        </w:rPr>
        <w:t>、西合休乡垃圾处理</w:t>
      </w:r>
      <w:r>
        <w:rPr>
          <w:rFonts w:ascii="仿宋_GB2312" w:hAnsi="仿宋_GB2312" w:eastAsia="仿宋_GB2312"/>
          <w:b w:val="0"/>
          <w:sz w:val="32"/>
        </w:rPr>
        <w:t>等项目经费，导致预决算存在差异。</w:t>
      </w:r>
    </w:p>
    <w:p w14:paraId="71BD8F45">
      <w:pPr>
        <w:spacing w:line="640" w:lineRule="exact"/>
        <w:ind w:firstLine="640"/>
        <w:jc w:val="both"/>
        <w:outlineLvl w:val="3"/>
      </w:pPr>
      <w:r>
        <w:rPr>
          <w:rFonts w:ascii="楷体_GB2312" w:hAnsi="楷体_GB2312" w:eastAsia="楷体_GB2312"/>
          <w:b/>
          <w:sz w:val="32"/>
        </w:rPr>
        <w:t>（二）一般公共预算财政拨款支出决算结构情况</w:t>
      </w:r>
    </w:p>
    <w:p w14:paraId="0AC1F087">
      <w:pPr>
        <w:spacing w:line="580" w:lineRule="exact"/>
        <w:ind w:firstLine="640"/>
        <w:jc w:val="both"/>
      </w:pPr>
      <w:r>
        <w:rPr>
          <w:rFonts w:ascii="仿宋_GB2312" w:hAnsi="仿宋_GB2312" w:eastAsia="仿宋_GB2312"/>
          <w:b w:val="0"/>
          <w:sz w:val="32"/>
        </w:rPr>
        <w:t>1.一般公共服务支出(类)1,595.32万元,占45.48%。</w:t>
      </w:r>
    </w:p>
    <w:p w14:paraId="2B7ACF97">
      <w:pPr>
        <w:spacing w:line="580" w:lineRule="exact"/>
        <w:ind w:firstLine="640"/>
        <w:jc w:val="both"/>
      </w:pPr>
      <w:r>
        <w:rPr>
          <w:rFonts w:ascii="仿宋_GB2312" w:hAnsi="仿宋_GB2312" w:eastAsia="仿宋_GB2312"/>
          <w:b w:val="0"/>
          <w:sz w:val="32"/>
        </w:rPr>
        <w:t>2.公共安全支出(类)32.45万元,占0.93%。</w:t>
      </w:r>
    </w:p>
    <w:p w14:paraId="090553E0">
      <w:pPr>
        <w:spacing w:line="580" w:lineRule="exact"/>
        <w:ind w:firstLine="640"/>
        <w:jc w:val="both"/>
      </w:pPr>
      <w:r>
        <w:rPr>
          <w:rFonts w:ascii="仿宋_GB2312" w:hAnsi="仿宋_GB2312" w:eastAsia="仿宋_GB2312"/>
          <w:b w:val="0"/>
          <w:sz w:val="32"/>
        </w:rPr>
        <w:t>3.文化旅游体育与传媒支出(类)0.14万元,占0.004%。</w:t>
      </w:r>
    </w:p>
    <w:p w14:paraId="2003A32F">
      <w:pPr>
        <w:spacing w:line="580" w:lineRule="exact"/>
        <w:ind w:firstLine="640"/>
        <w:jc w:val="both"/>
      </w:pPr>
      <w:r>
        <w:rPr>
          <w:rFonts w:ascii="仿宋_GB2312" w:hAnsi="仿宋_GB2312" w:eastAsia="仿宋_GB2312"/>
          <w:b w:val="0"/>
          <w:sz w:val="32"/>
        </w:rPr>
        <w:t>4.社会保障和就业支出(类)179.97万元,占5.13%。</w:t>
      </w:r>
    </w:p>
    <w:p w14:paraId="2C3E9BAB">
      <w:pPr>
        <w:spacing w:line="580" w:lineRule="exact"/>
        <w:ind w:firstLine="640"/>
        <w:jc w:val="both"/>
      </w:pPr>
      <w:r>
        <w:rPr>
          <w:rFonts w:ascii="仿宋_GB2312" w:hAnsi="仿宋_GB2312" w:eastAsia="仿宋_GB2312"/>
          <w:b w:val="0"/>
          <w:sz w:val="32"/>
        </w:rPr>
        <w:t>5.卫生健康支出(类)79.12万元,占2.26%。</w:t>
      </w:r>
    </w:p>
    <w:p w14:paraId="1B228137">
      <w:pPr>
        <w:spacing w:line="580" w:lineRule="exact"/>
        <w:ind w:firstLine="640"/>
        <w:jc w:val="both"/>
      </w:pPr>
      <w:r>
        <w:rPr>
          <w:rFonts w:ascii="仿宋_GB2312" w:hAnsi="仿宋_GB2312" w:eastAsia="仿宋_GB2312"/>
          <w:b w:val="0"/>
          <w:sz w:val="32"/>
        </w:rPr>
        <w:t>6.农林水支出(类)1,500.37万元,占42.77%。</w:t>
      </w:r>
    </w:p>
    <w:p w14:paraId="02C4502B">
      <w:pPr>
        <w:spacing w:line="580" w:lineRule="exact"/>
        <w:ind w:firstLine="640"/>
        <w:jc w:val="both"/>
      </w:pPr>
      <w:r>
        <w:rPr>
          <w:rFonts w:ascii="仿宋_GB2312" w:hAnsi="仿宋_GB2312" w:eastAsia="仿宋_GB2312"/>
          <w:b w:val="0"/>
          <w:sz w:val="32"/>
        </w:rPr>
        <w:t>7.交通运输支出(类)0.24万元,占0.007%。</w:t>
      </w:r>
    </w:p>
    <w:p w14:paraId="6EB7C52B">
      <w:pPr>
        <w:spacing w:line="580" w:lineRule="exact"/>
        <w:ind w:firstLine="640"/>
        <w:jc w:val="both"/>
      </w:pPr>
      <w:r>
        <w:rPr>
          <w:rFonts w:ascii="仿宋_GB2312" w:hAnsi="仿宋_GB2312" w:eastAsia="仿宋_GB2312"/>
          <w:b w:val="0"/>
          <w:sz w:val="32"/>
        </w:rPr>
        <w:t>8.住房保障支出(类)120.18万元,占3.43%。</w:t>
      </w:r>
    </w:p>
    <w:p w14:paraId="2E8F0546">
      <w:pPr>
        <w:spacing w:line="640" w:lineRule="exact"/>
        <w:ind w:firstLine="640"/>
        <w:jc w:val="both"/>
        <w:outlineLvl w:val="3"/>
      </w:pPr>
      <w:r>
        <w:rPr>
          <w:rFonts w:ascii="楷体_GB2312" w:hAnsi="楷体_GB2312" w:eastAsia="楷体_GB2312"/>
          <w:b/>
          <w:sz w:val="32"/>
        </w:rPr>
        <w:t>（三）一般公共预算财政拨款支出决算具体情况</w:t>
      </w:r>
    </w:p>
    <w:p w14:paraId="7FC66924">
      <w:pPr>
        <w:spacing w:line="580" w:lineRule="exact"/>
        <w:ind w:firstLine="640"/>
        <w:jc w:val="both"/>
      </w:pPr>
      <w:r>
        <w:rPr>
          <w:rFonts w:ascii="仿宋_GB2312" w:hAnsi="仿宋_GB2312" w:eastAsia="仿宋_GB2312"/>
          <w:b w:val="0"/>
          <w:sz w:val="32"/>
        </w:rPr>
        <w:t>1.一般公共服务支出(类)人大事务(款)代表工作(项):支出决算数为2.07万元，比上年决算减少1.24万元，下降37.46%,主要原因是：本年减少自治区人大代表活动经费，导致相关经费减少。</w:t>
      </w:r>
    </w:p>
    <w:p w14:paraId="3E790986">
      <w:pPr>
        <w:spacing w:line="580" w:lineRule="exact"/>
        <w:ind w:firstLine="640"/>
        <w:jc w:val="both"/>
      </w:pPr>
      <w:r>
        <w:rPr>
          <w:rFonts w:ascii="仿宋_GB2312" w:hAnsi="仿宋_GB2312" w:eastAsia="仿宋_GB2312"/>
          <w:b w:val="0"/>
          <w:sz w:val="32"/>
        </w:rPr>
        <w:t>2.一般公共服务支出(类)人大事务(款)其他人大事务支出(项):支出决算数为0.00万元，比上年决算减少2.07万元，下降100.00%,主要原因是：本年减少自治区人大活动经费项目，导致相关经费减少。</w:t>
      </w:r>
    </w:p>
    <w:p w14:paraId="287D7357">
      <w:pPr>
        <w:spacing w:line="580" w:lineRule="exact"/>
        <w:ind w:firstLine="640"/>
        <w:jc w:val="both"/>
      </w:pPr>
      <w:r>
        <w:rPr>
          <w:rFonts w:ascii="仿宋_GB2312" w:hAnsi="仿宋_GB2312" w:eastAsia="仿宋_GB2312"/>
          <w:b w:val="0"/>
          <w:sz w:val="32"/>
        </w:rPr>
        <w:t>3.一般公共服务支出(类)政府办公厅（室）及相关机构事务(款)行政运行(项):支出决算数为1,370.50万元，比上年决算增加100.28万元，增长7.89%,主要原因是：本年在职人员工资调增，导致相关人员经费较上年有所增加。</w:t>
      </w:r>
    </w:p>
    <w:p w14:paraId="71A2D310">
      <w:pPr>
        <w:spacing w:line="580" w:lineRule="exact"/>
        <w:ind w:firstLine="640"/>
        <w:jc w:val="both"/>
      </w:pPr>
      <w:r>
        <w:rPr>
          <w:rFonts w:ascii="仿宋_GB2312" w:hAnsi="仿宋_GB2312" w:eastAsia="仿宋_GB2312"/>
          <w:b w:val="0"/>
          <w:sz w:val="32"/>
        </w:rPr>
        <w:t>4.一般公共服务支出(类)政府办公厅（室）及相关机构事务(款)一般行政管理事务(项):支出决算数为111.30万元，比上年决算增加82.01万元，增长279.99%,主要原因是：本年增加2024年乡镇工作经费项目，导致相关经费增加。</w:t>
      </w:r>
    </w:p>
    <w:p w14:paraId="180E1D28">
      <w:pPr>
        <w:spacing w:line="580" w:lineRule="exact"/>
        <w:ind w:firstLine="640"/>
        <w:jc w:val="both"/>
      </w:pPr>
      <w:r>
        <w:rPr>
          <w:rFonts w:ascii="仿宋_GB2312" w:hAnsi="仿宋_GB2312" w:eastAsia="仿宋_GB2312"/>
          <w:b w:val="0"/>
          <w:sz w:val="32"/>
        </w:rPr>
        <w:t>5.一般公共服务支出(类)纪检监察事务(款)其他纪检监察事务支出(项):支出决算数为2.00万元，比上年决算增加2.00万元，增长100.00%,主要原因是：本年增加专项项目经费，导致相关经费增加。</w:t>
      </w:r>
    </w:p>
    <w:p w14:paraId="336F7709">
      <w:pPr>
        <w:spacing w:line="580" w:lineRule="exact"/>
        <w:ind w:firstLine="640"/>
        <w:jc w:val="both"/>
      </w:pPr>
      <w:r>
        <w:rPr>
          <w:rFonts w:ascii="仿宋_GB2312" w:hAnsi="仿宋_GB2312" w:eastAsia="仿宋_GB2312"/>
          <w:b w:val="0"/>
          <w:sz w:val="32"/>
        </w:rPr>
        <w:t>6.一般公共服务支出(类)组织事务(款)其他组织事务支出(项):支出决算数为107.45万元，比上年决算增加17.03万元，增长18.83%,主要原因是：本年增加专项项目经费，导致相关经费增加。</w:t>
      </w:r>
    </w:p>
    <w:p w14:paraId="728D669F">
      <w:pPr>
        <w:spacing w:line="580" w:lineRule="exact"/>
        <w:ind w:firstLine="640"/>
        <w:jc w:val="both"/>
      </w:pPr>
      <w:r>
        <w:rPr>
          <w:rFonts w:ascii="仿宋_GB2312" w:hAnsi="仿宋_GB2312" w:eastAsia="仿宋_GB2312"/>
          <w:b w:val="0"/>
          <w:sz w:val="32"/>
        </w:rPr>
        <w:t>7.一般公共服务支出(类)统战事务(款)宗教事务(项):支出决算数为1.00万元，比上年决算增加1.00万元，增长100.00%,主要原因是：本年度增加西合休乡专项项目经费，导致相关经费增加。</w:t>
      </w:r>
    </w:p>
    <w:p w14:paraId="1C72BA1E">
      <w:pPr>
        <w:spacing w:line="580" w:lineRule="exact"/>
        <w:ind w:firstLine="640"/>
        <w:jc w:val="both"/>
      </w:pPr>
      <w:r>
        <w:rPr>
          <w:rFonts w:ascii="仿宋_GB2312" w:hAnsi="仿宋_GB2312" w:eastAsia="仿宋_GB2312"/>
          <w:b w:val="0"/>
          <w:sz w:val="32"/>
        </w:rPr>
        <w:t>8.一般公共服务支出(类)统战事务(款)其他统战事务支出(项):支出决算数为1.00万元，比上年决算减少3.16万元，下降75.96%,主要原因是：本年减少专项项目经费，导致相关经费减少。</w:t>
      </w:r>
    </w:p>
    <w:p w14:paraId="5756B898">
      <w:pPr>
        <w:spacing w:line="580" w:lineRule="exact"/>
        <w:ind w:firstLine="640"/>
        <w:jc w:val="both"/>
      </w:pPr>
      <w:r>
        <w:rPr>
          <w:rFonts w:ascii="仿宋_GB2312" w:hAnsi="仿宋_GB2312" w:eastAsia="仿宋_GB2312"/>
          <w:b w:val="0"/>
          <w:sz w:val="32"/>
        </w:rPr>
        <w:t>9.公共安全支出(类)其他公共安全支出(款)其他公共安全支出(项):支出决算数为32.45万元，比上年决算减少42.09万元，下降56.47%,主要原因是：本年减少专项项目经费，导致相关经费减少。</w:t>
      </w:r>
    </w:p>
    <w:p w14:paraId="4198F406">
      <w:pPr>
        <w:spacing w:line="580" w:lineRule="exact"/>
        <w:ind w:firstLine="640"/>
        <w:jc w:val="both"/>
      </w:pPr>
      <w:r>
        <w:rPr>
          <w:rFonts w:ascii="仿宋_GB2312" w:hAnsi="仿宋_GB2312" w:eastAsia="仿宋_GB2312"/>
          <w:b w:val="0"/>
          <w:sz w:val="32"/>
        </w:rPr>
        <w:t>10.文化旅游体育与传媒支出(类)文化和旅游(款)其他文化和旅游支出(项):支出决算数为0.00万元，比上年决算减少5.00万元，下降100.00%,主要原因是：本年减少2023年文化站免费开放补助资金，导致相关经费减少。</w:t>
      </w:r>
    </w:p>
    <w:p w14:paraId="77002BC2">
      <w:pPr>
        <w:spacing w:line="580" w:lineRule="exact"/>
        <w:ind w:firstLine="640"/>
        <w:jc w:val="both"/>
      </w:pPr>
      <w:r>
        <w:rPr>
          <w:rFonts w:ascii="仿宋_GB2312" w:hAnsi="仿宋_GB2312" w:eastAsia="仿宋_GB2312"/>
          <w:b w:val="0"/>
          <w:sz w:val="32"/>
        </w:rPr>
        <w:t>11.文化旅游体育与传媒支出(类)其他文化旅游体育与传媒支出(款)其他文化旅游体育与传媒支出(项):支出决算数为0.14万元，比上年决算减少4.90万元，下降97.22%,主要原因是：本年度减少西合休乡2023年第一批中央补助地方公共文化服务体系建设补助资金项目经费，导致相关经费减少。</w:t>
      </w:r>
    </w:p>
    <w:p w14:paraId="764851ED">
      <w:pPr>
        <w:spacing w:line="580" w:lineRule="exact"/>
        <w:ind w:firstLine="640"/>
        <w:jc w:val="both"/>
      </w:pPr>
      <w:r>
        <w:rPr>
          <w:rFonts w:ascii="仿宋_GB2312" w:hAnsi="仿宋_GB2312" w:eastAsia="仿宋_GB2312"/>
          <w:b w:val="0"/>
          <w:sz w:val="32"/>
        </w:rPr>
        <w:t>12.社会保障和就业支出(类)民政管理事务(款)其他民政管理事务支出(项):支出决算数为5.00万元，比上年决算增加0.00万元，增长0.00%,主要原因是：自治区农村幸福大院补助资金与上年一致，无变化。</w:t>
      </w:r>
    </w:p>
    <w:p w14:paraId="1E489D26">
      <w:pPr>
        <w:spacing w:line="580" w:lineRule="exact"/>
        <w:ind w:firstLine="640"/>
        <w:jc w:val="both"/>
      </w:pPr>
      <w:r>
        <w:rPr>
          <w:rFonts w:ascii="仿宋_GB2312" w:hAnsi="仿宋_GB2312" w:eastAsia="仿宋_GB2312"/>
          <w:b w:val="0"/>
          <w:sz w:val="32"/>
        </w:rPr>
        <w:t>13.社会保障和就业支出(类)行政事业单位养老支出(款)行政单位离退休(项):支出决算数为16.25万元，比上年决算减少3.02万元，下降15.67%,主要原因是：上年补发</w:t>
      </w:r>
      <w:r>
        <w:rPr>
          <w:rFonts w:hint="eastAsia" w:ascii="仿宋_GB2312" w:hAnsi="仿宋_GB2312" w:eastAsia="仿宋_GB2312"/>
          <w:b w:val="0"/>
          <w:sz w:val="32"/>
          <w:lang w:val="en-US" w:eastAsia="zh-CN"/>
        </w:rPr>
        <w:t>退休人员</w:t>
      </w:r>
      <w:r>
        <w:rPr>
          <w:rFonts w:ascii="仿宋_GB2312" w:hAnsi="仿宋_GB2312" w:eastAsia="仿宋_GB2312"/>
          <w:b w:val="0"/>
          <w:sz w:val="32"/>
        </w:rPr>
        <w:t>之前年度绩效工资，本年无此支出，导致相关经费减少。</w:t>
      </w:r>
    </w:p>
    <w:p w14:paraId="717BBDA7">
      <w:pPr>
        <w:spacing w:line="580" w:lineRule="exact"/>
        <w:ind w:firstLine="640"/>
        <w:jc w:val="both"/>
      </w:pPr>
      <w:r>
        <w:rPr>
          <w:rFonts w:ascii="仿宋_GB2312" w:hAnsi="仿宋_GB2312" w:eastAsia="仿宋_GB2312"/>
          <w:b w:val="0"/>
          <w:sz w:val="32"/>
        </w:rPr>
        <w:t>14.社会保障和就业支出(类)行政事业单位养老支出(款)机关事业单位基本养老保险缴费支出(项):支出决算数为151.01万元，比上年决算增加36.45万元，增长31.82%,主要原因是：本年在职人员工资基数调增，养老缴费基数上涨，相应支出增加。</w:t>
      </w:r>
    </w:p>
    <w:p w14:paraId="0F6C24E5">
      <w:pPr>
        <w:spacing w:line="580" w:lineRule="exact"/>
        <w:ind w:firstLine="640"/>
        <w:jc w:val="both"/>
      </w:pPr>
      <w:r>
        <w:rPr>
          <w:rFonts w:ascii="仿宋_GB2312" w:hAnsi="仿宋_GB2312" w:eastAsia="仿宋_GB2312"/>
          <w:b w:val="0"/>
          <w:sz w:val="32"/>
        </w:rPr>
        <w:t>15.社会保障和就业支出(类)行政事业单位养老支出(款)机关事业单位职业年金缴费支出(项):支出决算数为7.71万元，比上年决算减少10.00万元，下降56.47%,主要原因是：本年</w:t>
      </w:r>
      <w:r>
        <w:rPr>
          <w:rFonts w:hint="eastAsia" w:ascii="仿宋_GB2312" w:hAnsi="仿宋_GB2312" w:eastAsia="仿宋_GB2312"/>
          <w:b w:val="0"/>
          <w:sz w:val="32"/>
          <w:lang w:val="en-US" w:eastAsia="zh-CN"/>
        </w:rPr>
        <w:t>新增退休人员职级较低，相应职业年金支出较上年减少</w:t>
      </w:r>
      <w:r>
        <w:rPr>
          <w:rFonts w:ascii="仿宋_GB2312" w:hAnsi="仿宋_GB2312" w:eastAsia="仿宋_GB2312"/>
          <w:b w:val="0"/>
          <w:sz w:val="32"/>
        </w:rPr>
        <w:t>。</w:t>
      </w:r>
    </w:p>
    <w:p w14:paraId="54B4B77B">
      <w:pPr>
        <w:spacing w:line="580" w:lineRule="exact"/>
        <w:ind w:firstLine="640"/>
        <w:jc w:val="both"/>
      </w:pPr>
      <w:r>
        <w:rPr>
          <w:rFonts w:ascii="仿宋_GB2312" w:hAnsi="仿宋_GB2312" w:eastAsia="仿宋_GB2312"/>
          <w:b w:val="0"/>
          <w:sz w:val="32"/>
        </w:rPr>
        <w:t>16.社会保障和就业支出(类)抚恤(款)死亡抚恤(项):支出决算数为0.00万元，比上年决算减少51.10万元，下降100.00%,主要原因是：本年无新增死亡人员，无死亡抚恤金支出。</w:t>
      </w:r>
    </w:p>
    <w:p w14:paraId="41FB7287">
      <w:pPr>
        <w:spacing w:line="580" w:lineRule="exact"/>
        <w:ind w:firstLine="640"/>
        <w:jc w:val="both"/>
      </w:pPr>
      <w:r>
        <w:rPr>
          <w:rFonts w:ascii="仿宋_GB2312" w:hAnsi="仿宋_GB2312" w:eastAsia="仿宋_GB2312"/>
          <w:b w:val="0"/>
          <w:sz w:val="32"/>
        </w:rPr>
        <w:t>17.卫生健康支出(类)行政事业单位医疗(款)行政单位医疗(项):支出决算数为64.18万元，比上年决算增加14.56万元，增长29.34%,主要原因是：本年在职人员工资基数调增，医疗缴费基数上涨，行政单位医疗相应支出增加。</w:t>
      </w:r>
    </w:p>
    <w:p w14:paraId="2A41F042">
      <w:pPr>
        <w:spacing w:line="580" w:lineRule="exact"/>
        <w:ind w:firstLine="640"/>
        <w:jc w:val="both"/>
      </w:pPr>
      <w:r>
        <w:rPr>
          <w:rFonts w:ascii="仿宋_GB2312" w:hAnsi="仿宋_GB2312" w:eastAsia="仿宋_GB2312"/>
          <w:b w:val="0"/>
          <w:sz w:val="32"/>
        </w:rPr>
        <w:t>18.卫生健康支出(类)行政事业单位医疗(款)公务员医疗补助(项):支出决算数为14.94万元，比上年决算增加2.91万元，增长24.19%,主要原因是：本年在职人员工资基数调增，医疗缴费基数上涨，公务员医疗补助支出增加。</w:t>
      </w:r>
    </w:p>
    <w:p w14:paraId="251E084B">
      <w:pPr>
        <w:spacing w:line="580" w:lineRule="exact"/>
        <w:ind w:firstLine="640"/>
        <w:jc w:val="both"/>
      </w:pPr>
      <w:r>
        <w:rPr>
          <w:rFonts w:ascii="仿宋_GB2312" w:hAnsi="仿宋_GB2312" w:eastAsia="仿宋_GB2312"/>
          <w:b w:val="0"/>
          <w:sz w:val="32"/>
        </w:rPr>
        <w:t>19.农林水支出(类)农业农村(款)行政运行(项):支出决算数为0.00万元，比上年决算减少42.51万元，下降100.00%,主要原因是：本年科目调整，</w:t>
      </w:r>
      <w:r>
        <w:rPr>
          <w:rFonts w:hint="eastAsia" w:ascii="仿宋_GB2312" w:hAnsi="仿宋_GB2312" w:eastAsia="仿宋_GB2312"/>
          <w:b w:val="0"/>
          <w:sz w:val="32"/>
          <w:lang w:val="en-US" w:eastAsia="zh-CN"/>
        </w:rPr>
        <w:t>部分人员</w:t>
      </w:r>
      <w:r>
        <w:rPr>
          <w:rFonts w:ascii="仿宋_GB2312" w:hAnsi="仿宋_GB2312" w:eastAsia="仿宋_GB2312"/>
          <w:b w:val="0"/>
          <w:sz w:val="32"/>
        </w:rPr>
        <w:t>津贴补贴上年单独列支，本年在主科目列支，经费减少。</w:t>
      </w:r>
    </w:p>
    <w:p w14:paraId="2153027E">
      <w:pPr>
        <w:spacing w:line="580" w:lineRule="exact"/>
        <w:ind w:firstLine="640"/>
        <w:jc w:val="both"/>
      </w:pPr>
      <w:r>
        <w:rPr>
          <w:rFonts w:ascii="仿宋_GB2312" w:hAnsi="仿宋_GB2312" w:eastAsia="仿宋_GB2312"/>
          <w:b w:val="0"/>
          <w:sz w:val="32"/>
        </w:rPr>
        <w:t>20.农林水支出(类)农业农村(款)农业生产发展(项):支出决算数为3.52万元，比上年决算增加3.52万元，增长100.00%,主要原因是：本年增加西合休乡高素质农民培育项目（2村、3村）项目经费，导致相关经费增加。</w:t>
      </w:r>
    </w:p>
    <w:p w14:paraId="6E870C55">
      <w:pPr>
        <w:spacing w:line="580" w:lineRule="exact"/>
        <w:ind w:firstLine="640"/>
        <w:jc w:val="both"/>
      </w:pPr>
      <w:r>
        <w:rPr>
          <w:rFonts w:ascii="仿宋_GB2312" w:hAnsi="仿宋_GB2312" w:eastAsia="仿宋_GB2312"/>
          <w:b w:val="0"/>
          <w:sz w:val="32"/>
        </w:rPr>
        <w:t>21.农林水支出(类)巩固脱贫攻坚成果衔接乡村振兴(款)农村基础设施建设(项):支出决算数为698.66万元，比上年决算增加698.66万元，增长100.00%,主要原因是：本年增加叶城县西合休乡河道修缮改造治理2024年以工代赈项目经费，导致相关经费增加。</w:t>
      </w:r>
    </w:p>
    <w:p w14:paraId="2D2751F9">
      <w:pPr>
        <w:spacing w:line="580" w:lineRule="exact"/>
        <w:ind w:firstLine="640"/>
        <w:jc w:val="both"/>
      </w:pPr>
      <w:r>
        <w:rPr>
          <w:rFonts w:ascii="仿宋_GB2312" w:hAnsi="仿宋_GB2312" w:eastAsia="仿宋_GB2312"/>
          <w:b w:val="0"/>
          <w:sz w:val="32"/>
        </w:rPr>
        <w:t>22.农林水支出(类)巩固脱贫攻坚成果衔接乡村振兴(款)生产发展(项):支出决算数为798.19万元，比上年决算减少2,229.46万元，下降73.64%,主要原因是：本年度减少叶城县西合休乡(3)村示范村建设、叶城县西合休乡</w:t>
      </w:r>
      <w:bookmarkStart w:id="0" w:name="_GoBack"/>
      <w:r>
        <w:rPr>
          <w:rFonts w:ascii="仿宋_GB2312" w:hAnsi="仿宋_GB2312" w:eastAsia="仿宋_GB2312"/>
          <w:b w:val="0"/>
          <w:sz w:val="32"/>
        </w:rPr>
        <w:t>光伏</w:t>
      </w:r>
      <w:bookmarkEnd w:id="0"/>
      <w:r>
        <w:rPr>
          <w:rFonts w:ascii="仿宋_GB2312" w:hAnsi="仿宋_GB2312" w:eastAsia="仿宋_GB2312"/>
          <w:b w:val="0"/>
          <w:sz w:val="32"/>
        </w:rPr>
        <w:t>电站升级改造、叶城县西合休乡中草药种植等项目经费，导致相关经费减少。</w:t>
      </w:r>
    </w:p>
    <w:p w14:paraId="7BF4B40E">
      <w:pPr>
        <w:spacing w:line="580" w:lineRule="exact"/>
        <w:ind w:firstLine="640"/>
        <w:jc w:val="both"/>
      </w:pPr>
      <w:r>
        <w:rPr>
          <w:rFonts w:ascii="仿宋_GB2312" w:hAnsi="仿宋_GB2312" w:eastAsia="仿宋_GB2312"/>
          <w:b w:val="0"/>
          <w:sz w:val="32"/>
        </w:rPr>
        <w:t>23.交通运输支出(类)邮政业支出(款)邮政普遍服务与特殊服务(项):支出决算数为0.24万元，比上年决算增加0.00万元，增长0.00%,主要原因是：本年度农牧区投递员专项补贴资金与上年一致，无变化。</w:t>
      </w:r>
    </w:p>
    <w:p w14:paraId="0459EE9A">
      <w:pPr>
        <w:spacing w:line="580" w:lineRule="exact"/>
        <w:ind w:firstLine="640"/>
        <w:jc w:val="both"/>
      </w:pPr>
      <w:r>
        <w:rPr>
          <w:rFonts w:ascii="仿宋_GB2312" w:hAnsi="仿宋_GB2312" w:eastAsia="仿宋_GB2312"/>
          <w:b w:val="0"/>
          <w:sz w:val="32"/>
        </w:rPr>
        <w:t>24.住房保障支出(类)住房改革支出(款)住房公积金(项):支出决算数为120.18万元，比上年决算增加34.25万元，增长39.86%,主要原因是：本年在职人员工资基数调增，公积金缴费基数上涨，相应支出增加。</w:t>
      </w:r>
    </w:p>
    <w:p w14:paraId="6DE112AB">
      <w:pPr>
        <w:spacing w:line="640" w:lineRule="exact"/>
        <w:ind w:firstLine="640"/>
        <w:jc w:val="both"/>
        <w:outlineLvl w:val="2"/>
      </w:pPr>
      <w:r>
        <w:rPr>
          <w:rFonts w:ascii="黑体" w:hAnsi="黑体" w:eastAsia="黑体"/>
          <w:sz w:val="32"/>
        </w:rPr>
        <w:t>六、一般公共预算财政拨款基本支出决算情况说明</w:t>
      </w:r>
    </w:p>
    <w:p w14:paraId="5D4E0A64">
      <w:pPr>
        <w:spacing w:line="580" w:lineRule="exact"/>
        <w:ind w:firstLine="640"/>
        <w:jc w:val="both"/>
      </w:pPr>
      <w:r>
        <w:rPr>
          <w:rFonts w:ascii="仿宋_GB2312" w:hAnsi="仿宋_GB2312" w:eastAsia="仿宋_GB2312"/>
          <w:b w:val="0"/>
          <w:sz w:val="32"/>
        </w:rPr>
        <w:t>2024年度一般公共预算财政拨款基本支出1,744.78万元，其中：</w:t>
      </w:r>
      <w:r>
        <w:rPr>
          <w:rFonts w:ascii="仿宋_GB2312" w:hAnsi="仿宋_GB2312" w:eastAsia="仿宋_GB2312"/>
          <w:b/>
          <w:sz w:val="32"/>
        </w:rPr>
        <w:t>人员经费1,694.56万元，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06841DFE">
      <w:pPr>
        <w:spacing w:line="580" w:lineRule="exact"/>
        <w:ind w:firstLine="640"/>
        <w:jc w:val="both"/>
      </w:pPr>
      <w:r>
        <w:rPr>
          <w:rFonts w:ascii="仿宋_GB2312" w:hAnsi="仿宋_GB2312" w:eastAsia="仿宋_GB2312"/>
          <w:b/>
          <w:sz w:val="32"/>
        </w:rPr>
        <w:t>公用经费50.21万元，</w:t>
      </w:r>
      <w:r>
        <w:rPr>
          <w:rFonts w:ascii="仿宋_GB2312" w:hAnsi="仿宋_GB2312" w:eastAsia="仿宋_GB2312"/>
          <w:b w:val="0"/>
          <w:sz w:val="32"/>
        </w:rPr>
        <w:t>包括：办公费、电费、邮电费、差旅费、维修（护）费、公务用车运行维护费、其他交通费用、其他商品和服务支出。</w:t>
      </w:r>
    </w:p>
    <w:p w14:paraId="480CFD08">
      <w:pPr>
        <w:spacing w:line="640" w:lineRule="exact"/>
        <w:ind w:firstLine="640"/>
        <w:jc w:val="both"/>
        <w:outlineLvl w:val="2"/>
      </w:pPr>
      <w:r>
        <w:rPr>
          <w:rFonts w:ascii="黑体" w:hAnsi="黑体" w:eastAsia="黑体"/>
          <w:sz w:val="32"/>
        </w:rPr>
        <w:t>七、政府性基金预算财政拨款收入支出决算情况说明</w:t>
      </w:r>
    </w:p>
    <w:p w14:paraId="6E6A838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43191C0">
      <w:pPr>
        <w:spacing w:line="640" w:lineRule="exact"/>
        <w:ind w:firstLine="640"/>
        <w:jc w:val="both"/>
        <w:outlineLvl w:val="2"/>
      </w:pPr>
      <w:r>
        <w:rPr>
          <w:rFonts w:ascii="黑体" w:hAnsi="黑体" w:eastAsia="黑体"/>
          <w:sz w:val="32"/>
        </w:rPr>
        <w:t>八、国有资本经营预算财政拨款收入支出决算情况说明</w:t>
      </w:r>
    </w:p>
    <w:p w14:paraId="51DB3E2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77AAE82">
      <w:pPr>
        <w:spacing w:line="640" w:lineRule="exact"/>
        <w:ind w:firstLine="640"/>
        <w:jc w:val="both"/>
        <w:outlineLvl w:val="2"/>
      </w:pPr>
      <w:r>
        <w:rPr>
          <w:rFonts w:ascii="黑体" w:hAnsi="黑体" w:eastAsia="黑体"/>
          <w:sz w:val="32"/>
        </w:rPr>
        <w:t>九、财政拨款“三公”经费支出决算情况说明</w:t>
      </w:r>
    </w:p>
    <w:p w14:paraId="4949AEEB">
      <w:pPr>
        <w:spacing w:line="580" w:lineRule="exact"/>
        <w:ind w:firstLine="640"/>
        <w:jc w:val="both"/>
      </w:pPr>
      <w:r>
        <w:rPr>
          <w:rFonts w:ascii="仿宋_GB2312" w:hAnsi="仿宋_GB2312" w:eastAsia="仿宋_GB2312"/>
          <w:b/>
          <w:sz w:val="32"/>
        </w:rPr>
        <w:t>2024年度财政拨款“三公”经费支出10.58万元，</w:t>
      </w:r>
      <w:r>
        <w:rPr>
          <w:rFonts w:ascii="仿宋_GB2312" w:hAnsi="仿宋_GB2312" w:eastAsia="仿宋_GB2312"/>
          <w:b w:val="0"/>
          <w:sz w:val="32"/>
        </w:rPr>
        <w:t>比上年增加3.12万元，增长41.82%，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10.58万元，占100.00%，比上年增加3.12万元，增长41.82%，主要原因是：本单位公务用车日渐老化，维修维护成本增加，导致公务用车运行维护费较上年增加。公务接待费支出0.00万元，占0.00%，比上年增加0.00万元，增长0.00%，主要原因是：2023年与2024年均未安排公务接待费支出。</w:t>
      </w:r>
    </w:p>
    <w:p w14:paraId="1D60368C">
      <w:pPr>
        <w:spacing w:line="580" w:lineRule="exact"/>
        <w:ind w:firstLine="640"/>
        <w:jc w:val="both"/>
      </w:pPr>
      <w:r>
        <w:rPr>
          <w:rFonts w:ascii="仿宋_GB2312" w:hAnsi="仿宋_GB2312" w:eastAsia="仿宋_GB2312"/>
          <w:b/>
          <w:sz w:val="32"/>
        </w:rPr>
        <w:t>具体情况如下：</w:t>
      </w:r>
    </w:p>
    <w:p w14:paraId="6A2BB4A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FB8FC3B">
      <w:pPr>
        <w:spacing w:line="580" w:lineRule="exact"/>
        <w:ind w:firstLine="640"/>
        <w:jc w:val="both"/>
      </w:pPr>
      <w:r>
        <w:rPr>
          <w:rFonts w:ascii="仿宋_GB2312" w:hAnsi="仿宋_GB2312" w:eastAsia="仿宋_GB2312"/>
          <w:b w:val="0"/>
          <w:sz w:val="32"/>
        </w:rPr>
        <w:t>公务用车购置及运行维护费10.58万元，其中：公务用车购置费0.00万元，公务用车运行维护费10.58万元。公务用车运行维护费开支内容包括车辆燃油费、维修费、保险费。公务用车购置数0辆，公务用车保有量3辆。国有资产占用情况中固定资产车辆3辆，与公务用车保有量差异原因是：本单位固定资产车辆与公务用车保有量一致无差异。</w:t>
      </w:r>
    </w:p>
    <w:p w14:paraId="368CADB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C55050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10.58万元，决算数10.58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10.58万元，决算数10.58万元，预决算差异率0.00%，主要原因是：严格按照预算执行，预决算无差异。公务接待费全年预算数0.00万元，决算数0.00万元，预决算差异率0.00%，主要原因是：本单位无公务接待费。</w:t>
      </w:r>
    </w:p>
    <w:p w14:paraId="38B10714">
      <w:pPr>
        <w:spacing w:line="640" w:lineRule="exact"/>
        <w:ind w:firstLine="640"/>
        <w:jc w:val="both"/>
        <w:outlineLvl w:val="2"/>
      </w:pPr>
      <w:r>
        <w:rPr>
          <w:rFonts w:ascii="黑体" w:hAnsi="黑体" w:eastAsia="黑体"/>
          <w:sz w:val="32"/>
        </w:rPr>
        <w:t>十、其他重要事项的情况说明</w:t>
      </w:r>
    </w:p>
    <w:p w14:paraId="3C9971EE">
      <w:pPr>
        <w:spacing w:line="640" w:lineRule="exact"/>
        <w:ind w:firstLine="640"/>
        <w:jc w:val="both"/>
        <w:outlineLvl w:val="3"/>
      </w:pPr>
      <w:r>
        <w:rPr>
          <w:rFonts w:ascii="楷体_GB2312" w:hAnsi="楷体_GB2312" w:eastAsia="楷体_GB2312"/>
          <w:b/>
          <w:sz w:val="32"/>
        </w:rPr>
        <w:t>（一）机关运行经费及公用经费支出情况</w:t>
      </w:r>
    </w:p>
    <w:p w14:paraId="582A4A92">
      <w:pPr>
        <w:spacing w:line="580" w:lineRule="exact"/>
        <w:ind w:firstLine="640"/>
        <w:jc w:val="both"/>
      </w:pPr>
      <w:r>
        <w:rPr>
          <w:rFonts w:ascii="仿宋_GB2312" w:hAnsi="仿宋_GB2312" w:eastAsia="仿宋_GB2312"/>
          <w:b w:val="0"/>
          <w:sz w:val="32"/>
        </w:rPr>
        <w:t>2024年度叶城县西合休乡人民政府（行政单位和参照公务员法管理事业单位）机关运行经费支出50.21万元，比上年增加18.39万元，增长57.79%，主要原因是：本年增加电费、维修（护）费等经费，导致机关运行经费增加。</w:t>
      </w:r>
    </w:p>
    <w:p w14:paraId="2E25B8D2">
      <w:pPr>
        <w:spacing w:line="640" w:lineRule="exact"/>
        <w:ind w:firstLine="640"/>
        <w:jc w:val="both"/>
        <w:outlineLvl w:val="3"/>
      </w:pPr>
      <w:r>
        <w:rPr>
          <w:rFonts w:ascii="楷体_GB2312" w:hAnsi="楷体_GB2312" w:eastAsia="楷体_GB2312"/>
          <w:b/>
          <w:sz w:val="32"/>
        </w:rPr>
        <w:t>（二）政府采购情况</w:t>
      </w:r>
    </w:p>
    <w:p w14:paraId="2AE115AF">
      <w:pPr>
        <w:spacing w:line="580" w:lineRule="exact"/>
        <w:ind w:firstLine="640"/>
        <w:jc w:val="both"/>
      </w:pPr>
      <w:r>
        <w:rPr>
          <w:rFonts w:ascii="仿宋_GB2312" w:hAnsi="仿宋_GB2312" w:eastAsia="仿宋_GB2312"/>
          <w:b w:val="0"/>
          <w:sz w:val="32"/>
        </w:rPr>
        <w:t>2024年度政府采购支出总额194.32万元，其中：政府采购货物支出111.38万元、政府采购工程支出21.60万元、政府采购服务支出61.34万元。</w:t>
      </w:r>
    </w:p>
    <w:p w14:paraId="01CA238C">
      <w:pPr>
        <w:spacing w:line="580" w:lineRule="exact"/>
        <w:ind w:firstLine="640"/>
        <w:jc w:val="both"/>
      </w:pPr>
      <w:r>
        <w:rPr>
          <w:rFonts w:ascii="仿宋_GB2312" w:hAnsi="仿宋_GB2312" w:eastAsia="仿宋_GB2312"/>
          <w:b w:val="0"/>
          <w:sz w:val="32"/>
        </w:rPr>
        <w:t>授予中小企业合同金额115.39万元，占政府采购支出总额的59.38%，其中：授予小微企业合同金额102.53万元，占政府采购支出总额的52.76%。</w:t>
      </w:r>
    </w:p>
    <w:p w14:paraId="07528E7E">
      <w:pPr>
        <w:spacing w:line="640" w:lineRule="exact"/>
        <w:ind w:firstLine="640"/>
        <w:jc w:val="both"/>
        <w:outlineLvl w:val="3"/>
      </w:pPr>
      <w:r>
        <w:rPr>
          <w:rFonts w:ascii="楷体_GB2312" w:hAnsi="楷体_GB2312" w:eastAsia="楷体_GB2312"/>
          <w:b/>
          <w:sz w:val="32"/>
        </w:rPr>
        <w:t>（三）国有资产占用情况说明</w:t>
      </w:r>
    </w:p>
    <w:p w14:paraId="64ACD1BB">
      <w:pPr>
        <w:spacing w:line="580" w:lineRule="exact"/>
        <w:ind w:firstLine="640"/>
        <w:jc w:val="both"/>
      </w:pPr>
      <w:r>
        <w:rPr>
          <w:rFonts w:ascii="仿宋_GB2312" w:hAnsi="仿宋_GB2312" w:eastAsia="仿宋_GB2312"/>
          <w:b w:val="0"/>
          <w:sz w:val="32"/>
        </w:rPr>
        <w:t>截至2024年12月31日，房屋1,610.80平方米，价值161.63万元。车辆3辆，价值27.71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1台（套）。</w:t>
      </w:r>
    </w:p>
    <w:p w14:paraId="0AA58F19">
      <w:pPr>
        <w:spacing w:line="640" w:lineRule="exact"/>
        <w:ind w:firstLine="640"/>
        <w:jc w:val="both"/>
        <w:outlineLvl w:val="2"/>
      </w:pPr>
      <w:r>
        <w:rPr>
          <w:rFonts w:ascii="黑体" w:hAnsi="黑体" w:eastAsia="黑体"/>
          <w:sz w:val="32"/>
        </w:rPr>
        <w:t>十一、预算绩效的情况说明</w:t>
      </w:r>
    </w:p>
    <w:p w14:paraId="51C54F6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3,576.80万元，实际执行总额3,576.80万元；预算绩效评价项目2个，全年预算数156.00万元，全年执行数147.29万元。预算绩效管理取得的成效：一是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二是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w:t>
      </w:r>
      <w:r>
        <w:rPr>
          <w:rFonts w:hint="eastAsia" w:ascii="仿宋_GB2312" w:hAnsi="仿宋_GB2312" w:eastAsia="仿宋_GB2312"/>
          <w:b w:val="0"/>
          <w:sz w:val="32"/>
          <w:lang w:eastAsia="zh-CN"/>
        </w:rPr>
        <w:t>有效</w:t>
      </w:r>
      <w:r>
        <w:rPr>
          <w:rFonts w:ascii="仿宋_GB2312" w:hAnsi="仿宋_GB2312" w:eastAsia="仿宋_GB2312"/>
          <w:b w:val="0"/>
          <w:sz w:val="32"/>
        </w:rPr>
        <w:t>降低资金偏离政策目标的风险，提高了资金使用效益。发现的问题及原因：一是因项目前期确定资金使用范围内人员身份识别不精准等原因，导致项目资金支付滞缓，影响了项目实施的进度，造成了部分资金未及时充分发挥效益；二是支出资金时发现实际支出与年初预算数有偏差，未控制好支出费用，年初预算编制不充分、不准确、不合理的现象；三是对项目实施过程中遇到的实际问题准备不充分，导致项目招投标、采购、验收等工作存在不连贯、不熟练的现象，需加强相关人员的业务及操作能力培训。下一步改进措施：一是做好年初预算，避免年初预算编制不充分、不准确、不合理的现象出现；二是加强相关人员的培训，提升干部对绩效管理工作的认识；三是持续细化预算编制工作，认真</w:t>
      </w:r>
      <w:r>
        <w:rPr>
          <w:rFonts w:hint="eastAsia" w:ascii="仿宋_GB2312" w:hAnsi="仿宋_GB2312" w:eastAsia="仿宋_GB2312"/>
          <w:b w:val="0"/>
          <w:sz w:val="32"/>
          <w:lang w:eastAsia="zh-CN"/>
        </w:rPr>
        <w:t>做好</w:t>
      </w:r>
      <w:r>
        <w:rPr>
          <w:rFonts w:ascii="仿宋_GB2312" w:hAnsi="仿宋_GB2312" w:eastAsia="仿宋_GB2312"/>
          <w:b w:val="0"/>
          <w:sz w:val="32"/>
        </w:rPr>
        <w:t>年度年初预算的编制，通过加强乡政府各部门的预算管理意识，严格按照预算编制相关制度和要求进行预算编制，确保年初预算的全面性、准确性、科学性；四是持续加强财务管理，加快资金支付力度。在支付报账时，严格按照预算规定的项目范围、用途及使用规则审核支付，坚决杜绝超支现象的发生；五是持续加强项目开展情况的跟踪监控，严格按照项目进度及时拨付资金，使资金使用效益最大化，减少不必要的浪费，节约成本。具体附整体支出绩效自评表，项目支出绩效自评表。</w:t>
      </w:r>
    </w:p>
    <w:p w14:paraId="5CF42C1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2910A40">
        <w:tblPrEx>
          <w:tblCellMar>
            <w:top w:w="0" w:type="dxa"/>
            <w:left w:w="108" w:type="dxa"/>
            <w:bottom w:w="0" w:type="dxa"/>
            <w:right w:w="108" w:type="dxa"/>
          </w:tblCellMar>
        </w:tblPrEx>
        <w:tc>
          <w:tcPr>
            <w:tcW w:w="8847" w:type="dxa"/>
            <w:gridSpan w:val="9"/>
            <w:vAlign w:val="center"/>
          </w:tcPr>
          <w:p w14:paraId="06247A82">
            <w:pPr>
              <w:jc w:val="center"/>
            </w:pPr>
            <w:r>
              <w:rPr>
                <w:rFonts w:ascii="宋体" w:hAnsi="宋体" w:eastAsia="宋体"/>
                <w:sz w:val="24"/>
              </w:rPr>
              <w:t>单位整体支出绩效自评表</w:t>
            </w:r>
          </w:p>
        </w:tc>
      </w:tr>
      <w:tr w14:paraId="5F5B9144">
        <w:tblPrEx>
          <w:tblCellMar>
            <w:top w:w="0" w:type="dxa"/>
            <w:left w:w="108" w:type="dxa"/>
            <w:bottom w:w="0" w:type="dxa"/>
            <w:right w:w="108" w:type="dxa"/>
          </w:tblCellMar>
        </w:tblPrEx>
        <w:tc>
          <w:tcPr>
            <w:tcW w:w="8847" w:type="dxa"/>
            <w:gridSpan w:val="9"/>
            <w:vAlign w:val="center"/>
          </w:tcPr>
          <w:p w14:paraId="1CDD8929">
            <w:pPr>
              <w:jc w:val="center"/>
            </w:pPr>
            <w:r>
              <w:rPr>
                <w:rFonts w:ascii="宋体" w:hAnsi="宋体" w:eastAsia="宋体"/>
                <w:sz w:val="24"/>
              </w:rPr>
              <w:t>（2024年度）</w:t>
            </w:r>
          </w:p>
        </w:tc>
      </w:tr>
      <w:tr w14:paraId="26CD17B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6DCF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21D7FE1">
            <w:pPr>
              <w:jc w:val="center"/>
            </w:pPr>
            <w:r>
              <w:rPr>
                <w:rFonts w:ascii="宋体" w:hAnsi="宋体" w:eastAsia="宋体"/>
                <w:sz w:val="16"/>
              </w:rPr>
              <w:t>叶城县西合休乡人民政府</w:t>
            </w:r>
          </w:p>
        </w:tc>
      </w:tr>
      <w:tr w14:paraId="2F798D1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0403B5">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36A47">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6365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AC251">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4B819">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B39C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9A569">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8DCA0">
            <w:pPr>
              <w:jc w:val="center"/>
            </w:pPr>
            <w:r>
              <w:rPr>
                <w:rFonts w:ascii="宋体" w:hAnsi="宋体" w:eastAsia="宋体"/>
                <w:sz w:val="16"/>
              </w:rPr>
              <w:t>得分</w:t>
            </w:r>
          </w:p>
        </w:tc>
      </w:tr>
      <w:tr w14:paraId="1D90CF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BD62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4E916">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493EE">
            <w:pPr>
              <w:jc w:val="center"/>
            </w:pPr>
            <w:r>
              <w:rPr>
                <w:rFonts w:ascii="宋体" w:hAnsi="宋体" w:eastAsia="宋体"/>
                <w:sz w:val="16"/>
              </w:rPr>
              <w:t>1,743.82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F60EA">
            <w:pPr>
              <w:jc w:val="center"/>
            </w:pPr>
            <w:r>
              <w:rPr>
                <w:rFonts w:ascii="宋体" w:hAnsi="宋体" w:eastAsia="宋体"/>
                <w:sz w:val="16"/>
              </w:rPr>
              <w:t>3,576.80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F54B6">
            <w:pPr>
              <w:jc w:val="center"/>
            </w:pPr>
            <w:r>
              <w:rPr>
                <w:rFonts w:ascii="宋体" w:hAnsi="宋体" w:eastAsia="宋体"/>
                <w:sz w:val="16"/>
              </w:rPr>
              <w:t>3,576.80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BBD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97583">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2E755">
            <w:pPr>
              <w:jc w:val="center"/>
            </w:pPr>
            <w:r>
              <w:rPr>
                <w:rFonts w:ascii="宋体" w:hAnsi="宋体" w:eastAsia="宋体"/>
                <w:sz w:val="16"/>
              </w:rPr>
              <w:t>10</w:t>
            </w:r>
          </w:p>
        </w:tc>
      </w:tr>
      <w:tr w14:paraId="300795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9EAC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B22E5">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09CD6">
            <w:pPr>
              <w:jc w:val="center"/>
            </w:pPr>
            <w:r>
              <w:rPr>
                <w:rFonts w:ascii="宋体" w:hAnsi="宋体" w:eastAsia="宋体"/>
                <w:sz w:val="16"/>
              </w:rPr>
              <w:t>28.86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441EC">
            <w:pPr>
              <w:jc w:val="center"/>
            </w:pPr>
            <w:r>
              <w:rPr>
                <w:rFonts w:ascii="宋体" w:hAnsi="宋体" w:eastAsia="宋体"/>
                <w:sz w:val="16"/>
              </w:rPr>
              <w:t>1,832.02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9B74C">
            <w:pPr>
              <w:jc w:val="center"/>
            </w:pPr>
            <w:r>
              <w:rPr>
                <w:rFonts w:ascii="宋体" w:hAnsi="宋体" w:eastAsia="宋体"/>
                <w:sz w:val="16"/>
              </w:rPr>
              <w:t>1,832.02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A0B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F8B9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44BB6">
            <w:pPr>
              <w:jc w:val="center"/>
            </w:pPr>
            <w:r>
              <w:rPr>
                <w:rFonts w:ascii="宋体" w:hAnsi="宋体" w:eastAsia="宋体"/>
                <w:sz w:val="16"/>
              </w:rPr>
              <w:t>—</w:t>
            </w:r>
          </w:p>
        </w:tc>
      </w:tr>
      <w:tr w14:paraId="6E52C4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F6DD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824F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6FC85">
            <w:pPr>
              <w:jc w:val="center"/>
            </w:pPr>
            <w:r>
              <w:rPr>
                <w:rFonts w:ascii="宋体" w:hAnsi="宋体" w:eastAsia="宋体"/>
                <w:sz w:val="16"/>
              </w:rPr>
              <w:t>1,714.96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33F6E">
            <w:pPr>
              <w:jc w:val="center"/>
            </w:pPr>
            <w:r>
              <w:rPr>
                <w:rFonts w:ascii="宋体" w:hAnsi="宋体" w:eastAsia="宋体"/>
                <w:sz w:val="16"/>
              </w:rPr>
              <w:t>1,744.78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F56AC">
            <w:pPr>
              <w:jc w:val="center"/>
            </w:pPr>
            <w:r>
              <w:rPr>
                <w:rFonts w:ascii="宋体" w:hAnsi="宋体" w:eastAsia="宋体"/>
                <w:sz w:val="16"/>
              </w:rPr>
              <w:t>1,744.78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0FC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3A91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706BB">
            <w:pPr>
              <w:jc w:val="center"/>
            </w:pPr>
            <w:r>
              <w:rPr>
                <w:rFonts w:ascii="宋体" w:hAnsi="宋体" w:eastAsia="宋体"/>
                <w:sz w:val="16"/>
              </w:rPr>
              <w:t>—</w:t>
            </w:r>
          </w:p>
        </w:tc>
      </w:tr>
      <w:tr w14:paraId="71EF4F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F848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D91FF">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C9DA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6882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12D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B7E2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B191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0B4A9">
            <w:pPr>
              <w:jc w:val="center"/>
            </w:pPr>
            <w:r>
              <w:rPr>
                <w:rFonts w:ascii="宋体" w:hAnsi="宋体" w:eastAsia="宋体"/>
                <w:sz w:val="16"/>
              </w:rPr>
              <w:t>—</w:t>
            </w:r>
          </w:p>
        </w:tc>
      </w:tr>
      <w:tr w14:paraId="39ED43A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9779B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FF416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1E5C51">
            <w:pPr>
              <w:jc w:val="center"/>
            </w:pPr>
            <w:r>
              <w:rPr>
                <w:rFonts w:ascii="宋体" w:hAnsi="宋体" w:eastAsia="宋体"/>
                <w:sz w:val="16"/>
              </w:rPr>
              <w:t>实际完成情况</w:t>
            </w:r>
          </w:p>
        </w:tc>
      </w:tr>
      <w:tr w14:paraId="710BFE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DE211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AF2713">
            <w:pPr>
              <w:jc w:val="both"/>
            </w:pPr>
            <w:r>
              <w:rPr>
                <w:rFonts w:ascii="宋体" w:hAnsi="宋体" w:eastAsia="宋体"/>
                <w:sz w:val="16"/>
              </w:rPr>
              <w:t>作为乡镇党政机关，其主要职能为：负责全乡党政行政管理事务，贯彻落实党的二十大、第三次中央新疆工作座谈会精神，以</w:t>
            </w:r>
            <w:r>
              <w:rPr>
                <w:rFonts w:hint="eastAsia" w:ascii="宋体" w:hAnsi="宋体"/>
                <w:sz w:val="16"/>
                <w:lang w:eastAsia="zh-CN"/>
              </w:rPr>
              <w:t>习近平总书记重要讲话精神</w:t>
            </w:r>
            <w:r>
              <w:rPr>
                <w:rFonts w:ascii="宋体" w:hAnsi="宋体" w:eastAsia="宋体"/>
                <w:sz w:val="16"/>
              </w:rPr>
              <w:t>、自治区、地委扩大会议要求为指导，坚决贯彻县委、县人民政府各项指示，负责全乡经济社会发展、社会事务管理、安全稳定、基层组织建设等全面工作。以乡村振兴为引领实现社会发展“总目标”，不断铸牢全乡经济社会发展基础，为全乡各族群众提供社会服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21D0AC">
            <w:pPr>
              <w:jc w:val="both"/>
            </w:pPr>
            <w:r>
              <w:rPr>
                <w:rFonts w:hint="eastAsia" w:ascii="宋体" w:hAnsi="宋体"/>
                <w:sz w:val="16"/>
                <w:lang w:eastAsia="zh-CN"/>
              </w:rPr>
              <w:t>截至2024</w:t>
            </w:r>
            <w:r>
              <w:rPr>
                <w:rFonts w:ascii="宋体" w:hAnsi="宋体" w:eastAsia="宋体"/>
                <w:sz w:val="16"/>
              </w:rPr>
              <w:t>年12月31日，已完成作为乡镇党政机关，其主要职能为：负责全乡党政行政管理事务，贯彻落实党的二十大、第三次中央新疆工作座谈会精神，以</w:t>
            </w:r>
            <w:r>
              <w:rPr>
                <w:rFonts w:hint="eastAsia" w:ascii="宋体" w:hAnsi="宋体"/>
                <w:sz w:val="16"/>
                <w:lang w:eastAsia="zh-CN"/>
              </w:rPr>
              <w:t>习近平总书记重要讲话精神</w:t>
            </w:r>
            <w:r>
              <w:rPr>
                <w:rFonts w:ascii="宋体" w:hAnsi="宋体" w:eastAsia="宋体"/>
                <w:sz w:val="16"/>
              </w:rPr>
              <w:t>、自治区、地委扩大会议要求为指导，坚决贯彻县委、县人民政府各项指示，负责全乡经济社会发展、社会事务管理、安全稳定、基层组织建设等全面工作。以乡村振兴为引领实现社会发展“总目标”，不断铸牢全乡经济社会发展基础，2024年完成发展党员11个，家禽存栏量3.5万只，存栏羊15万只，为全乡各族群众提供社会服务。</w:t>
            </w:r>
          </w:p>
        </w:tc>
      </w:tr>
      <w:tr w14:paraId="67204E5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7F85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6846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0CE0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C52A1">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70063">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2145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404B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DDED4">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22BBD">
            <w:pPr>
              <w:jc w:val="center"/>
            </w:pPr>
            <w:r>
              <w:rPr>
                <w:rFonts w:ascii="宋体" w:hAnsi="宋体" w:eastAsia="宋体"/>
                <w:sz w:val="16"/>
              </w:rPr>
              <w:t>得分</w:t>
            </w:r>
          </w:p>
        </w:tc>
      </w:tr>
      <w:tr w14:paraId="3006289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508E18">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68414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5F91F">
            <w:pPr>
              <w:jc w:val="center"/>
            </w:pPr>
            <w:r>
              <w:rPr>
                <w:rFonts w:ascii="宋体" w:hAnsi="宋体" w:eastAsia="宋体"/>
                <w:sz w:val="16"/>
              </w:rPr>
              <w:t>发展党员数量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C1D83">
            <w:pPr>
              <w:jc w:val="center"/>
            </w:pPr>
            <w:r>
              <w:rPr>
                <w:rFonts w:ascii="宋体" w:hAnsi="宋体" w:eastAsia="宋体"/>
                <w:sz w:val="16"/>
              </w:rPr>
              <w:t>&gt;=11个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AA080">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C8B8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2276E">
            <w:pPr>
              <w:jc w:val="center"/>
            </w:pPr>
            <w:r>
              <w:rPr>
                <w:rFonts w:ascii="宋体" w:hAnsi="宋体" w:eastAsia="宋体"/>
                <w:sz w:val="16"/>
              </w:rPr>
              <w:t>=11个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1A42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A0266">
            <w:pPr>
              <w:jc w:val="center"/>
            </w:pPr>
            <w:r>
              <w:rPr>
                <w:rFonts w:ascii="宋体" w:hAnsi="宋体" w:eastAsia="宋体"/>
                <w:sz w:val="16"/>
              </w:rPr>
              <w:t>18</w:t>
            </w:r>
          </w:p>
        </w:tc>
      </w:tr>
      <w:tr w14:paraId="533D4E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19EF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82074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1ED8C">
            <w:pPr>
              <w:jc w:val="center"/>
            </w:pPr>
            <w:r>
              <w:rPr>
                <w:rFonts w:ascii="宋体" w:hAnsi="宋体" w:eastAsia="宋体"/>
                <w:sz w:val="16"/>
              </w:rPr>
              <w:t>护边站信号网络全覆盖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6C85E">
            <w:pPr>
              <w:jc w:val="center"/>
            </w:pPr>
            <w:r>
              <w:rPr>
                <w:rFonts w:ascii="宋体" w:hAnsi="宋体" w:eastAsia="宋体"/>
                <w:sz w:val="16"/>
              </w:rPr>
              <w:t>=70个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82173">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586A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1707B">
            <w:pPr>
              <w:jc w:val="center"/>
            </w:pPr>
            <w:r>
              <w:rPr>
                <w:rFonts w:ascii="宋体" w:hAnsi="宋体" w:eastAsia="宋体"/>
                <w:sz w:val="16"/>
              </w:rPr>
              <w:t>=70个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CD4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214A9">
            <w:pPr>
              <w:jc w:val="center"/>
            </w:pPr>
            <w:r>
              <w:rPr>
                <w:rFonts w:ascii="宋体" w:hAnsi="宋体" w:eastAsia="宋体"/>
                <w:sz w:val="16"/>
              </w:rPr>
              <w:t>18</w:t>
            </w:r>
          </w:p>
        </w:tc>
      </w:tr>
      <w:tr w14:paraId="3799E5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27D3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6C13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51255">
            <w:pPr>
              <w:jc w:val="center"/>
            </w:pPr>
            <w:r>
              <w:rPr>
                <w:rFonts w:ascii="宋体" w:hAnsi="宋体" w:eastAsia="宋体"/>
                <w:sz w:val="16"/>
              </w:rPr>
              <w:t>实现家禽存栏量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86A3D">
            <w:pPr>
              <w:jc w:val="center"/>
            </w:pPr>
            <w:r>
              <w:rPr>
                <w:rFonts w:ascii="宋体" w:hAnsi="宋体" w:eastAsia="宋体"/>
                <w:sz w:val="16"/>
              </w:rPr>
              <w:t>&gt;=3.50万只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1CF98">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F376C">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5AFFD">
            <w:pPr>
              <w:jc w:val="center"/>
            </w:pPr>
            <w:r>
              <w:rPr>
                <w:rFonts w:ascii="宋体" w:hAnsi="宋体" w:eastAsia="宋体"/>
                <w:sz w:val="16"/>
              </w:rPr>
              <w:t>=3.5万只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0DE2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A6A12">
            <w:pPr>
              <w:jc w:val="center"/>
            </w:pPr>
            <w:r>
              <w:rPr>
                <w:rFonts w:ascii="宋体" w:hAnsi="宋体" w:eastAsia="宋体"/>
                <w:sz w:val="16"/>
              </w:rPr>
              <w:t>18</w:t>
            </w:r>
          </w:p>
        </w:tc>
      </w:tr>
      <w:tr w14:paraId="0A3A8F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93D6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5605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71E1F">
            <w:pPr>
              <w:jc w:val="center"/>
            </w:pPr>
            <w:r>
              <w:rPr>
                <w:rFonts w:ascii="宋体" w:hAnsi="宋体" w:eastAsia="宋体"/>
                <w:sz w:val="16"/>
              </w:rPr>
              <w:t>实现存栏羊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C036C">
            <w:pPr>
              <w:jc w:val="center"/>
            </w:pPr>
            <w:r>
              <w:rPr>
                <w:rFonts w:ascii="宋体" w:hAnsi="宋体" w:eastAsia="宋体"/>
                <w:sz w:val="16"/>
              </w:rPr>
              <w:t>=15万只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1349E">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EEB5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B46A1">
            <w:pPr>
              <w:jc w:val="center"/>
            </w:pPr>
            <w:r>
              <w:rPr>
                <w:rFonts w:ascii="宋体" w:hAnsi="宋体" w:eastAsia="宋体"/>
                <w:sz w:val="16"/>
              </w:rPr>
              <w:t>=15万只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9D4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432A8">
            <w:pPr>
              <w:jc w:val="center"/>
            </w:pPr>
            <w:r>
              <w:rPr>
                <w:rFonts w:ascii="宋体" w:hAnsi="宋体" w:eastAsia="宋体"/>
                <w:sz w:val="16"/>
              </w:rPr>
              <w:t>18</w:t>
            </w:r>
          </w:p>
        </w:tc>
      </w:tr>
      <w:tr w14:paraId="367667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D58C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AA47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CED3B">
            <w:pPr>
              <w:jc w:val="center"/>
            </w:pPr>
            <w:r>
              <w:rPr>
                <w:rFonts w:ascii="宋体" w:hAnsi="宋体" w:eastAsia="宋体"/>
                <w:sz w:val="16"/>
              </w:rPr>
              <w:t>保障幸福大院运转数量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43BA6">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6487A">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59CD4">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7C430">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2517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1EE4D">
            <w:pPr>
              <w:jc w:val="center"/>
            </w:pPr>
            <w:r>
              <w:rPr>
                <w:rFonts w:ascii="宋体" w:hAnsi="宋体" w:eastAsia="宋体"/>
                <w:sz w:val="16"/>
              </w:rPr>
              <w:t>18</w:t>
            </w:r>
          </w:p>
        </w:tc>
      </w:tr>
    </w:tbl>
    <w:p w14:paraId="2194411F">
      <w:r>
        <w:br w:type="page"/>
      </w:r>
    </w:p>
    <w:tbl>
      <w:tblPr>
        <w:tblStyle w:val="9"/>
        <w:tblW w:w="0" w:type="auto"/>
        <w:tblInd w:w="0" w:type="dxa"/>
        <w:tblLayout w:type="autofit"/>
        <w:tblCellMar>
          <w:top w:w="0" w:type="dxa"/>
          <w:left w:w="108" w:type="dxa"/>
          <w:bottom w:w="0" w:type="dxa"/>
          <w:right w:w="108" w:type="dxa"/>
        </w:tblCellMar>
      </w:tblPr>
      <w:tblGrid>
        <w:gridCol w:w="627"/>
        <w:gridCol w:w="618"/>
        <w:gridCol w:w="618"/>
        <w:gridCol w:w="696"/>
        <w:gridCol w:w="856"/>
        <w:gridCol w:w="618"/>
        <w:gridCol w:w="618"/>
        <w:gridCol w:w="622"/>
        <w:gridCol w:w="618"/>
        <w:gridCol w:w="618"/>
        <w:gridCol w:w="696"/>
        <w:gridCol w:w="631"/>
        <w:gridCol w:w="597"/>
        <w:gridCol w:w="627"/>
      </w:tblGrid>
      <w:tr w14:paraId="6E5DFE50">
        <w:tblPrEx>
          <w:tblCellMar>
            <w:top w:w="0" w:type="dxa"/>
            <w:left w:w="108" w:type="dxa"/>
            <w:bottom w:w="0" w:type="dxa"/>
            <w:right w:w="108" w:type="dxa"/>
          </w:tblCellMar>
        </w:tblPrEx>
        <w:tc>
          <w:tcPr>
            <w:tcW w:w="8848" w:type="dxa"/>
            <w:gridSpan w:val="14"/>
            <w:vAlign w:val="center"/>
          </w:tcPr>
          <w:p w14:paraId="53241567">
            <w:pPr>
              <w:jc w:val="center"/>
            </w:pPr>
            <w:r>
              <w:rPr>
                <w:rFonts w:ascii="宋体" w:hAnsi="宋体" w:eastAsia="宋体"/>
                <w:sz w:val="24"/>
              </w:rPr>
              <w:t>项目支出绩效自评表</w:t>
            </w:r>
          </w:p>
        </w:tc>
      </w:tr>
      <w:tr w14:paraId="48ECB982">
        <w:tblPrEx>
          <w:tblCellMar>
            <w:top w:w="0" w:type="dxa"/>
            <w:left w:w="108" w:type="dxa"/>
            <w:bottom w:w="0" w:type="dxa"/>
            <w:right w:w="108" w:type="dxa"/>
          </w:tblCellMar>
        </w:tblPrEx>
        <w:tc>
          <w:tcPr>
            <w:tcW w:w="8848" w:type="dxa"/>
            <w:gridSpan w:val="14"/>
            <w:vAlign w:val="center"/>
          </w:tcPr>
          <w:p w14:paraId="432BC13F">
            <w:pPr>
              <w:jc w:val="center"/>
            </w:pPr>
            <w:r>
              <w:rPr>
                <w:rFonts w:ascii="宋体" w:hAnsi="宋体" w:eastAsia="宋体"/>
                <w:sz w:val="24"/>
              </w:rPr>
              <w:t>(2024年度)</w:t>
            </w:r>
          </w:p>
        </w:tc>
      </w:tr>
      <w:tr w14:paraId="2225A1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5B52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A3D1E9">
            <w:pPr>
              <w:jc w:val="center"/>
            </w:pPr>
            <w:r>
              <w:rPr>
                <w:rFonts w:ascii="宋体" w:hAnsi="宋体" w:eastAsia="宋体"/>
                <w:sz w:val="16"/>
              </w:rPr>
              <w:t>叶城县西合休乡2024年县级专项公用经费项目</w:t>
            </w:r>
          </w:p>
        </w:tc>
      </w:tr>
      <w:tr w14:paraId="100CF3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D15F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42CAD9">
            <w:pPr>
              <w:jc w:val="center"/>
            </w:pPr>
            <w:r>
              <w:rPr>
                <w:rFonts w:ascii="宋体" w:hAnsi="宋体" w:eastAsia="宋体"/>
                <w:sz w:val="16"/>
              </w:rPr>
              <w:t>叶城县西合休乡人民政府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3DB6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CB7766">
            <w:pPr>
              <w:jc w:val="center"/>
            </w:pPr>
            <w:r>
              <w:rPr>
                <w:rFonts w:ascii="宋体" w:hAnsi="宋体" w:eastAsia="宋体"/>
                <w:sz w:val="16"/>
              </w:rPr>
              <w:t>叶城县西合休乡人民政府</w:t>
            </w:r>
          </w:p>
        </w:tc>
      </w:tr>
      <w:tr w14:paraId="7040CC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81605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1ACD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96D9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ED88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CCAA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355E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EA2F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12C9E">
            <w:pPr>
              <w:jc w:val="center"/>
            </w:pPr>
            <w:r>
              <w:rPr>
                <w:rFonts w:ascii="宋体" w:hAnsi="宋体" w:eastAsia="宋体"/>
                <w:sz w:val="16"/>
              </w:rPr>
              <w:t>得分</w:t>
            </w:r>
          </w:p>
        </w:tc>
      </w:tr>
      <w:tr w14:paraId="456BDA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24C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E40B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711CA">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F70CC">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C5934">
            <w:pPr>
              <w:jc w:val="center"/>
            </w:pPr>
            <w:r>
              <w:rPr>
                <w:rFonts w:ascii="宋体" w:hAnsi="宋体" w:eastAsia="宋体"/>
                <w:sz w:val="16"/>
              </w:rPr>
              <w:t>111.29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92B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A093E">
            <w:pPr>
              <w:jc w:val="center"/>
            </w:pPr>
            <w:r>
              <w:rPr>
                <w:rFonts w:ascii="宋体" w:hAnsi="宋体" w:eastAsia="宋体"/>
                <w:sz w:val="16"/>
              </w:rPr>
              <w:t>92.7%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0F700">
            <w:pPr>
              <w:jc w:val="center"/>
            </w:pPr>
            <w:r>
              <w:rPr>
                <w:rFonts w:ascii="宋体" w:hAnsi="宋体" w:eastAsia="宋体"/>
                <w:sz w:val="16"/>
              </w:rPr>
              <w:t>8.18分</w:t>
            </w:r>
          </w:p>
        </w:tc>
      </w:tr>
      <w:tr w14:paraId="580CD7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0BC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C008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CC271">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2BC0E">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9C615">
            <w:pPr>
              <w:jc w:val="center"/>
            </w:pPr>
            <w:r>
              <w:rPr>
                <w:rFonts w:ascii="宋体" w:hAnsi="宋体" w:eastAsia="宋体"/>
                <w:sz w:val="16"/>
              </w:rPr>
              <w:t>111.29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C8A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1CF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C863A">
            <w:pPr>
              <w:jc w:val="center"/>
            </w:pPr>
            <w:r>
              <w:rPr>
                <w:rFonts w:ascii="宋体" w:hAnsi="宋体" w:eastAsia="宋体"/>
                <w:sz w:val="16"/>
              </w:rPr>
              <w:t>—</w:t>
            </w:r>
          </w:p>
        </w:tc>
      </w:tr>
      <w:tr w14:paraId="263337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E75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62EC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137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A2F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2F9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255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1BF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57200">
            <w:pPr>
              <w:jc w:val="center"/>
            </w:pPr>
            <w:r>
              <w:rPr>
                <w:rFonts w:ascii="宋体" w:hAnsi="宋体" w:eastAsia="宋体"/>
                <w:sz w:val="16"/>
              </w:rPr>
              <w:t>—</w:t>
            </w:r>
          </w:p>
        </w:tc>
      </w:tr>
      <w:tr w14:paraId="3BE53C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F7043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226D6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346E20">
            <w:pPr>
              <w:jc w:val="center"/>
            </w:pPr>
            <w:r>
              <w:rPr>
                <w:rFonts w:ascii="宋体" w:hAnsi="宋体" w:eastAsia="宋体"/>
                <w:sz w:val="16"/>
              </w:rPr>
              <w:t>实际完成情况</w:t>
            </w:r>
          </w:p>
        </w:tc>
      </w:tr>
      <w:tr w14:paraId="05268C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2D6A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B71942">
            <w:pPr>
              <w:jc w:val="both"/>
            </w:pPr>
            <w:r>
              <w:rPr>
                <w:rFonts w:ascii="宋体" w:hAnsi="宋体" w:eastAsia="宋体"/>
                <w:sz w:val="16"/>
              </w:rPr>
              <w:t>该项目预算资金120万元，主要用于乡机关日常办公用品采购工作和根据实际情况支付乡本级往期各类费用，项目的实施有效保障乡镇机关日常为民服务能力，进一步提升辖区居民幸福感、满意度。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D5451B">
            <w:pPr>
              <w:jc w:val="both"/>
            </w:pPr>
            <w:r>
              <w:rPr>
                <w:rFonts w:ascii="宋体" w:hAnsi="宋体" w:eastAsia="宋体"/>
                <w:sz w:val="16"/>
              </w:rPr>
              <w:t>实际完成目标：</w:t>
            </w:r>
            <w:r>
              <w:rPr>
                <w:rFonts w:hint="eastAsia" w:ascii="宋体" w:hAnsi="宋体"/>
                <w:sz w:val="16"/>
                <w:lang w:eastAsia="zh-CN"/>
              </w:rPr>
              <w:t>截至2024</w:t>
            </w:r>
            <w:r>
              <w:rPr>
                <w:rFonts w:ascii="宋体" w:hAnsi="宋体" w:eastAsia="宋体"/>
                <w:sz w:val="16"/>
              </w:rPr>
              <w:t>年12月31日，该项目预算资金120万元，到位资金120万元，已支付111.29万元，项目用于乡机关日常办公用品采购工作和根据实际情况支付乡本级往期各类费用，项目的实施有效保障乡镇机关日常为民服务能力，进一步提升辖区居民幸福感、满意度，提升办事效率。</w:t>
            </w:r>
            <w:r>
              <w:rPr>
                <w:rFonts w:ascii="宋体" w:hAnsi="宋体" w:eastAsia="宋体"/>
                <w:sz w:val="16"/>
              </w:rPr>
              <w:br w:type="textWrapping"/>
            </w:r>
          </w:p>
        </w:tc>
      </w:tr>
      <w:tr w14:paraId="0FFF62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C46C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67AC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B723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97BC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EB03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D532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15F4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2659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B068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B4E5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C44F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D42E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F6CBC">
            <w:pPr>
              <w:jc w:val="center"/>
            </w:pPr>
            <w:r>
              <w:rPr>
                <w:rFonts w:ascii="宋体" w:hAnsi="宋体" w:eastAsia="宋体"/>
                <w:sz w:val="16"/>
              </w:rPr>
              <w:t>偏差原因分析及改进措施</w:t>
            </w:r>
          </w:p>
        </w:tc>
      </w:tr>
      <w:tr w14:paraId="197252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D6391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23993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D1DB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D63ED">
            <w:pPr>
              <w:jc w:val="center"/>
            </w:pPr>
            <w:r>
              <w:rPr>
                <w:rFonts w:ascii="宋体" w:hAnsi="宋体" w:eastAsia="宋体"/>
                <w:sz w:val="16"/>
              </w:rPr>
              <w:t>保障单位数量（个）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8091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13D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D0D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F7A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0C5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1C5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692D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691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4087B">
            <w:pPr>
              <w:jc w:val="center"/>
            </w:pPr>
          </w:p>
        </w:tc>
      </w:tr>
      <w:tr w14:paraId="061F7D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8C4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185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8FEEA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ED39C">
            <w:pPr>
              <w:jc w:val="center"/>
            </w:pPr>
            <w:r>
              <w:rPr>
                <w:rFonts w:ascii="宋体" w:hAnsi="宋体" w:eastAsia="宋体"/>
                <w:sz w:val="16"/>
              </w:rPr>
              <w:t>经费足额保障率（%）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717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B8B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F26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3EA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8A9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6F7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592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74E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E928F">
            <w:pPr>
              <w:jc w:val="center"/>
            </w:pPr>
            <w:r>
              <w:rPr>
                <w:rFonts w:ascii="宋体" w:hAnsi="宋体" w:eastAsia="宋体"/>
                <w:sz w:val="16"/>
              </w:rPr>
              <w:t>偏差原因：</w:t>
            </w:r>
            <w:r>
              <w:rPr>
                <w:rFonts w:hint="eastAsia" w:ascii="宋体" w:hAnsi="宋体"/>
                <w:sz w:val="16"/>
                <w:lang w:eastAsia="zh-CN"/>
              </w:rPr>
              <w:t>本着</w:t>
            </w:r>
            <w:r>
              <w:rPr>
                <w:rFonts w:ascii="宋体" w:hAnsi="宋体" w:eastAsia="宋体"/>
                <w:sz w:val="16"/>
              </w:rPr>
              <w:t>节约资金的原则，有效使用资金，取得更好的效果。整改措施：</w:t>
            </w:r>
          </w:p>
        </w:tc>
      </w:tr>
      <w:tr w14:paraId="7F874B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61E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148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ABA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07E59">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A89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E12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163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3E2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566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613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108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D83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876FC">
            <w:pPr>
              <w:jc w:val="center"/>
            </w:pPr>
          </w:p>
        </w:tc>
      </w:tr>
      <w:tr w14:paraId="35D592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A06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EAB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711E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3083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C13D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DA1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A05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592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F04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9F5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5385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0E8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0F3A5">
            <w:pPr>
              <w:jc w:val="center"/>
            </w:pPr>
          </w:p>
        </w:tc>
      </w:tr>
      <w:tr w14:paraId="44C4F9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EF0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AE764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F4C12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48A17">
            <w:pPr>
              <w:jc w:val="center"/>
            </w:pPr>
            <w:r>
              <w:rPr>
                <w:rFonts w:ascii="宋体" w:hAnsi="宋体" w:eastAsia="宋体"/>
                <w:sz w:val="16"/>
              </w:rPr>
              <w:t>办公公用经费（万元）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F6658">
            <w:pPr>
              <w:jc w:val="center"/>
            </w:pPr>
            <w:r>
              <w:rPr>
                <w:rFonts w:ascii="宋体" w:hAnsi="宋体" w:eastAsia="宋体"/>
                <w:sz w:val="16"/>
              </w:rPr>
              <w:t>&lt;=101.65万元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9868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278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88C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24B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1CD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F667">
            <w:pPr>
              <w:jc w:val="center"/>
            </w:pPr>
            <w:r>
              <w:rPr>
                <w:rFonts w:ascii="宋体" w:hAnsi="宋体" w:eastAsia="宋体"/>
                <w:sz w:val="16"/>
              </w:rPr>
              <w:t>=96.29万元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17C27">
            <w:pPr>
              <w:jc w:val="center"/>
            </w:pPr>
            <w:r>
              <w:rPr>
                <w:rFonts w:ascii="宋体" w:hAnsi="宋体" w:eastAsia="宋体"/>
                <w:sz w:val="16"/>
              </w:rPr>
              <w:t>8.68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F9643">
            <w:pPr>
              <w:jc w:val="center"/>
            </w:pPr>
            <w:r>
              <w:rPr>
                <w:rFonts w:ascii="宋体" w:hAnsi="宋体" w:eastAsia="宋体"/>
                <w:sz w:val="16"/>
              </w:rPr>
              <w:t>偏差原因：</w:t>
            </w:r>
            <w:r>
              <w:rPr>
                <w:rFonts w:hint="eastAsia" w:ascii="宋体" w:hAnsi="宋体"/>
                <w:sz w:val="16"/>
                <w:lang w:eastAsia="zh-CN"/>
              </w:rPr>
              <w:t>本着</w:t>
            </w:r>
            <w:r>
              <w:rPr>
                <w:rFonts w:ascii="宋体" w:hAnsi="宋体" w:eastAsia="宋体"/>
                <w:sz w:val="16"/>
              </w:rPr>
              <w:t>节约资金的原则，有效使用资金。整改措施：做好年初预算。</w:t>
            </w:r>
          </w:p>
        </w:tc>
      </w:tr>
      <w:tr w14:paraId="515FB8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30E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C1D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7FF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1B2B2">
            <w:pPr>
              <w:jc w:val="center"/>
            </w:pPr>
            <w:r>
              <w:rPr>
                <w:rFonts w:ascii="宋体" w:hAnsi="宋体" w:eastAsia="宋体"/>
                <w:sz w:val="16"/>
              </w:rPr>
              <w:t>用电费用（万元）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DFB3D">
            <w:pPr>
              <w:jc w:val="center"/>
            </w:pPr>
            <w:r>
              <w:rPr>
                <w:rFonts w:ascii="宋体" w:hAnsi="宋体" w:eastAsia="宋体"/>
                <w:sz w:val="16"/>
              </w:rPr>
              <w:t>&lt;=18.35万元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058F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D9F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21F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0D2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AEC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CBF02">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E66F">
            <w:pPr>
              <w:jc w:val="center"/>
            </w:pPr>
            <w:r>
              <w:rPr>
                <w:rFonts w:ascii="宋体" w:hAnsi="宋体" w:eastAsia="宋体"/>
                <w:sz w:val="16"/>
              </w:rPr>
              <w:t>5.43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71BAE">
            <w:pPr>
              <w:jc w:val="center"/>
            </w:pPr>
            <w:r>
              <w:rPr>
                <w:rFonts w:ascii="宋体" w:hAnsi="宋体" w:eastAsia="宋体"/>
                <w:sz w:val="16"/>
              </w:rPr>
              <w:t>偏差原因：</w:t>
            </w:r>
            <w:r>
              <w:rPr>
                <w:rFonts w:hint="eastAsia" w:ascii="宋体" w:hAnsi="宋体"/>
                <w:sz w:val="16"/>
                <w:lang w:eastAsia="zh-CN"/>
              </w:rPr>
              <w:t>本着</w:t>
            </w:r>
            <w:r>
              <w:rPr>
                <w:rFonts w:ascii="宋体" w:hAnsi="宋体" w:eastAsia="宋体"/>
                <w:sz w:val="16"/>
              </w:rPr>
              <w:t>节约资金的原则，有效使用资金。整改措施：做好年初预算。</w:t>
            </w:r>
          </w:p>
        </w:tc>
      </w:tr>
      <w:tr w14:paraId="37C97C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5E0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C528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FDD7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7869B">
            <w:pPr>
              <w:jc w:val="center"/>
            </w:pPr>
            <w:r>
              <w:rPr>
                <w:rFonts w:ascii="宋体" w:hAnsi="宋体" w:eastAsia="宋体"/>
                <w:sz w:val="16"/>
              </w:rPr>
              <w:t>保障单位正常运转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DD72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24D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90E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36A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5568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B912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8359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0DCD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5D986">
            <w:pPr>
              <w:jc w:val="center"/>
            </w:pPr>
          </w:p>
        </w:tc>
      </w:tr>
      <w:tr w14:paraId="144679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9D4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F1A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807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64EC">
            <w:pPr>
              <w:jc w:val="center"/>
            </w:pPr>
            <w:r>
              <w:rPr>
                <w:rFonts w:ascii="宋体" w:hAnsi="宋体" w:eastAsia="宋体"/>
                <w:sz w:val="16"/>
              </w:rPr>
              <w:t>单位工作人员满意度（%）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7B37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060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106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0F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FE8F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676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1214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476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7DD70">
            <w:pPr>
              <w:jc w:val="center"/>
            </w:pPr>
            <w:r>
              <w:rPr>
                <w:rFonts w:ascii="宋体" w:hAnsi="宋体" w:eastAsia="宋体"/>
                <w:sz w:val="16"/>
              </w:rPr>
              <w:t>偏差原因：</w:t>
            </w:r>
            <w:r>
              <w:rPr>
                <w:rFonts w:hint="eastAsia" w:ascii="宋体" w:hAnsi="宋体"/>
                <w:sz w:val="16"/>
                <w:lang w:eastAsia="zh-CN"/>
              </w:rPr>
              <w:t>本着</w:t>
            </w:r>
            <w:r>
              <w:rPr>
                <w:rFonts w:ascii="宋体" w:hAnsi="宋体" w:eastAsia="宋体"/>
                <w:sz w:val="16"/>
              </w:rPr>
              <w:t>节约资金的原则，有效使用资金。整改措施：做好年初预算。</w:t>
            </w:r>
          </w:p>
        </w:tc>
      </w:tr>
      <w:tr w14:paraId="737FD6A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EF8CC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A27F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E51A2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78F66">
            <w:pPr>
              <w:jc w:val="center"/>
            </w:pPr>
            <w:r>
              <w:rPr>
                <w:rFonts w:ascii="宋体" w:hAnsi="宋体" w:eastAsia="宋体"/>
                <w:sz w:val="16"/>
              </w:rPr>
              <w:t>92.29分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00E190D"/>
        </w:tc>
      </w:tr>
    </w:tbl>
    <w:p w14:paraId="3D532C3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6C3EF46">
        <w:tblPrEx>
          <w:tblCellMar>
            <w:top w:w="0" w:type="dxa"/>
            <w:left w:w="108" w:type="dxa"/>
            <w:bottom w:w="0" w:type="dxa"/>
            <w:right w:w="108" w:type="dxa"/>
          </w:tblCellMar>
        </w:tblPrEx>
        <w:tc>
          <w:tcPr>
            <w:tcW w:w="8848" w:type="dxa"/>
            <w:gridSpan w:val="14"/>
            <w:vAlign w:val="center"/>
          </w:tcPr>
          <w:p w14:paraId="662AE896">
            <w:pPr>
              <w:jc w:val="center"/>
            </w:pPr>
            <w:r>
              <w:rPr>
                <w:rFonts w:ascii="宋体" w:hAnsi="宋体" w:eastAsia="宋体"/>
                <w:sz w:val="24"/>
              </w:rPr>
              <w:t>项目支出绩效自评表</w:t>
            </w:r>
          </w:p>
        </w:tc>
      </w:tr>
      <w:tr w14:paraId="2487C985">
        <w:tblPrEx>
          <w:tblCellMar>
            <w:top w:w="0" w:type="dxa"/>
            <w:left w:w="108" w:type="dxa"/>
            <w:bottom w:w="0" w:type="dxa"/>
            <w:right w:w="108" w:type="dxa"/>
          </w:tblCellMar>
        </w:tblPrEx>
        <w:tc>
          <w:tcPr>
            <w:tcW w:w="8848" w:type="dxa"/>
            <w:gridSpan w:val="14"/>
            <w:vAlign w:val="center"/>
          </w:tcPr>
          <w:p w14:paraId="6FCA2746">
            <w:pPr>
              <w:jc w:val="center"/>
            </w:pPr>
            <w:r>
              <w:rPr>
                <w:rFonts w:ascii="宋体" w:hAnsi="宋体" w:eastAsia="宋体"/>
                <w:sz w:val="24"/>
              </w:rPr>
              <w:t>(2024年度)</w:t>
            </w:r>
          </w:p>
        </w:tc>
      </w:tr>
      <w:tr w14:paraId="64BA86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89C8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D27E8D">
            <w:pPr>
              <w:jc w:val="center"/>
            </w:pPr>
            <w:r>
              <w:rPr>
                <w:rFonts w:ascii="宋体" w:hAnsi="宋体" w:eastAsia="宋体"/>
                <w:sz w:val="16"/>
              </w:rPr>
              <w:t>西合休乡疾病防治工作经费</w:t>
            </w:r>
          </w:p>
        </w:tc>
      </w:tr>
      <w:tr w14:paraId="357D13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23CE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8FD449">
            <w:pPr>
              <w:jc w:val="center"/>
            </w:pPr>
            <w:r>
              <w:rPr>
                <w:rFonts w:ascii="宋体" w:hAnsi="宋体" w:eastAsia="宋体"/>
                <w:sz w:val="16"/>
              </w:rPr>
              <w:t>叶城县西合休乡人民政府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9976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C3CAA6">
            <w:pPr>
              <w:jc w:val="center"/>
            </w:pPr>
            <w:r>
              <w:rPr>
                <w:rFonts w:ascii="宋体" w:hAnsi="宋体" w:eastAsia="宋体"/>
                <w:sz w:val="16"/>
              </w:rPr>
              <w:t>叶城县西合休乡人民政府</w:t>
            </w:r>
          </w:p>
        </w:tc>
      </w:tr>
      <w:tr w14:paraId="221D79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55C23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A47A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131C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695F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DC53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E189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BB3D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59CBF">
            <w:pPr>
              <w:jc w:val="center"/>
            </w:pPr>
            <w:r>
              <w:rPr>
                <w:rFonts w:ascii="宋体" w:hAnsi="宋体" w:eastAsia="宋体"/>
                <w:sz w:val="16"/>
              </w:rPr>
              <w:t>得分</w:t>
            </w:r>
          </w:p>
        </w:tc>
      </w:tr>
      <w:tr w14:paraId="21771A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FD1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3346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7E5CB">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A6F1D">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91D1D">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BDD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9333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8BDF9">
            <w:pPr>
              <w:jc w:val="center"/>
            </w:pPr>
            <w:r>
              <w:rPr>
                <w:rFonts w:ascii="宋体" w:hAnsi="宋体" w:eastAsia="宋体"/>
                <w:sz w:val="16"/>
              </w:rPr>
              <w:t>10.00分</w:t>
            </w:r>
          </w:p>
        </w:tc>
      </w:tr>
      <w:tr w14:paraId="1EE060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D62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DADE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9EABF">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CDD65">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D4FF0">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BAD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7C0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27DA7">
            <w:pPr>
              <w:jc w:val="center"/>
            </w:pPr>
            <w:r>
              <w:rPr>
                <w:rFonts w:ascii="宋体" w:hAnsi="宋体" w:eastAsia="宋体"/>
                <w:sz w:val="16"/>
              </w:rPr>
              <w:t>—</w:t>
            </w:r>
          </w:p>
        </w:tc>
      </w:tr>
      <w:tr w14:paraId="4CA3BD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BCD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4B64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266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E7C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861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352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4D4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19124">
            <w:pPr>
              <w:jc w:val="center"/>
            </w:pPr>
            <w:r>
              <w:rPr>
                <w:rFonts w:ascii="宋体" w:hAnsi="宋体" w:eastAsia="宋体"/>
                <w:sz w:val="16"/>
              </w:rPr>
              <w:t>—</w:t>
            </w:r>
          </w:p>
        </w:tc>
      </w:tr>
      <w:tr w14:paraId="72FDF3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B486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34712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7B16CB">
            <w:pPr>
              <w:jc w:val="center"/>
            </w:pPr>
            <w:r>
              <w:rPr>
                <w:rFonts w:ascii="宋体" w:hAnsi="宋体" w:eastAsia="宋体"/>
                <w:sz w:val="16"/>
              </w:rPr>
              <w:t>实际完成情况</w:t>
            </w:r>
          </w:p>
        </w:tc>
      </w:tr>
      <w:tr w14:paraId="3395FF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7618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2D6433">
            <w:pPr>
              <w:jc w:val="both"/>
            </w:pPr>
            <w:r>
              <w:rPr>
                <w:rFonts w:ascii="宋体" w:hAnsi="宋体" w:eastAsia="宋体"/>
                <w:sz w:val="16"/>
              </w:rPr>
              <w:t>项目预算安排资金36万元，主要</w:t>
            </w:r>
            <w:r>
              <w:rPr>
                <w:rFonts w:hint="eastAsia" w:ascii="宋体" w:hAnsi="宋体"/>
                <w:sz w:val="16"/>
                <w:lang w:eastAsia="zh-CN"/>
              </w:rPr>
              <w:t>用于</w:t>
            </w:r>
            <w:r>
              <w:rPr>
                <w:rFonts w:ascii="宋体" w:hAnsi="宋体" w:eastAsia="宋体"/>
                <w:sz w:val="16"/>
              </w:rPr>
              <w:t>疾病防治，使群众生命安全得到保证。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C6A58F">
            <w:pPr>
              <w:jc w:val="both"/>
            </w:pPr>
            <w:r>
              <w:rPr>
                <w:rFonts w:ascii="宋体" w:hAnsi="宋体" w:eastAsia="宋体"/>
                <w:sz w:val="16"/>
              </w:rPr>
              <w:t>实际完成目标：</w:t>
            </w:r>
            <w:r>
              <w:rPr>
                <w:rFonts w:hint="eastAsia" w:ascii="宋体" w:hAnsi="宋体"/>
                <w:sz w:val="16"/>
                <w:lang w:eastAsia="zh-CN"/>
              </w:rPr>
              <w:t>截至</w:t>
            </w:r>
            <w:r>
              <w:rPr>
                <w:rFonts w:ascii="宋体" w:hAnsi="宋体" w:eastAsia="宋体"/>
                <w:sz w:val="16"/>
              </w:rPr>
              <w:t>2024年12月31日，项目预算安排资金36万元，到位资金36万元，实际支出36万元，主要</w:t>
            </w:r>
            <w:r>
              <w:rPr>
                <w:rFonts w:hint="eastAsia" w:ascii="宋体" w:hAnsi="宋体"/>
                <w:sz w:val="16"/>
                <w:lang w:eastAsia="zh-CN"/>
              </w:rPr>
              <w:t>用于</w:t>
            </w:r>
            <w:r>
              <w:rPr>
                <w:rFonts w:ascii="宋体" w:hAnsi="宋体" w:eastAsia="宋体"/>
                <w:sz w:val="16"/>
              </w:rPr>
              <w:t>疾病防治，使群众生命安全得到保证。项目实施后有效防止各类疾病。</w:t>
            </w:r>
          </w:p>
        </w:tc>
      </w:tr>
      <w:tr w14:paraId="21C771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0ABA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0687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455E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A645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44DA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9DEE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278D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903D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C8AA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8BF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F8B1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57D4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18F8F">
            <w:pPr>
              <w:jc w:val="center"/>
            </w:pPr>
            <w:r>
              <w:rPr>
                <w:rFonts w:ascii="宋体" w:hAnsi="宋体" w:eastAsia="宋体"/>
                <w:sz w:val="16"/>
              </w:rPr>
              <w:t>偏差原因分析及改进措施</w:t>
            </w:r>
          </w:p>
        </w:tc>
      </w:tr>
      <w:tr w14:paraId="1D8CBD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36382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CE2F0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8CFF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70BCF">
            <w:pPr>
              <w:jc w:val="center"/>
            </w:pPr>
            <w:r>
              <w:rPr>
                <w:rFonts w:ascii="宋体" w:hAnsi="宋体" w:eastAsia="宋体"/>
                <w:sz w:val="16"/>
              </w:rPr>
              <w:t>覆盖乡镇（个）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4C16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9E9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A4C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8FC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927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10B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B2DD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F7D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64E3D">
            <w:pPr>
              <w:jc w:val="center"/>
            </w:pPr>
          </w:p>
        </w:tc>
      </w:tr>
      <w:tr w14:paraId="083457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AFB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251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42B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AD098">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7B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231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4BF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52A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C90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1F9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919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B78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B004C">
            <w:pPr>
              <w:jc w:val="center"/>
            </w:pPr>
          </w:p>
        </w:tc>
      </w:tr>
      <w:tr w14:paraId="4FAB28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ADA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855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5F33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BC73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47A4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D8B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1CB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D6A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E0B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B8A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FA86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EAF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70357">
            <w:pPr>
              <w:jc w:val="center"/>
            </w:pPr>
          </w:p>
        </w:tc>
      </w:tr>
      <w:tr w14:paraId="5AE034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F19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C7F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E6D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1141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AC2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722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A1A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08C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C92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09D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580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07C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B0A6D">
            <w:pPr>
              <w:jc w:val="center"/>
            </w:pPr>
          </w:p>
        </w:tc>
      </w:tr>
      <w:tr w14:paraId="08F658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1A0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EB87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BB09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11E77">
            <w:pPr>
              <w:jc w:val="center"/>
            </w:pPr>
            <w:r>
              <w:rPr>
                <w:rFonts w:ascii="宋体" w:hAnsi="宋体" w:eastAsia="宋体"/>
                <w:sz w:val="16"/>
              </w:rPr>
              <w:t>项目经费金额（万元）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309FF">
            <w:pPr>
              <w:jc w:val="center"/>
            </w:pPr>
            <w:r>
              <w:rPr>
                <w:rFonts w:ascii="宋体" w:hAnsi="宋体" w:eastAsia="宋体"/>
                <w:sz w:val="16"/>
              </w:rPr>
              <w:t>&lt;=36万元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ECD3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07F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9EE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FF4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E1F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05A12">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E7A1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E57D8">
            <w:pPr>
              <w:jc w:val="center"/>
            </w:pPr>
          </w:p>
        </w:tc>
      </w:tr>
      <w:tr w14:paraId="4098C0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A2A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707F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6C5C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030BB">
            <w:pPr>
              <w:jc w:val="center"/>
            </w:pPr>
            <w:r>
              <w:rPr>
                <w:rFonts w:ascii="宋体" w:hAnsi="宋体" w:eastAsia="宋体"/>
                <w:sz w:val="16"/>
              </w:rPr>
              <w:t>进一步提升辖区村民幸福感、满意度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8D2C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4CD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C1B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892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744E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396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9018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D116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C4380">
            <w:pPr>
              <w:jc w:val="center"/>
            </w:pPr>
          </w:p>
        </w:tc>
      </w:tr>
      <w:tr w14:paraId="68B7B9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C93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FCB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22D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EA44D">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3A2E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1A1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F5F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EE9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949A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139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8CE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360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76E04">
            <w:pPr>
              <w:jc w:val="center"/>
            </w:pPr>
          </w:p>
        </w:tc>
      </w:tr>
      <w:tr w14:paraId="0B82167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D8D95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64C3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07893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C73A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E5E9865"/>
        </w:tc>
      </w:tr>
    </w:tbl>
    <w:p w14:paraId="24991809">
      <w:r>
        <w:br w:type="page"/>
      </w:r>
    </w:p>
    <w:p w14:paraId="30CBC57D">
      <w:pPr>
        <w:spacing w:line="640" w:lineRule="exact"/>
        <w:ind w:firstLine="640"/>
        <w:jc w:val="both"/>
        <w:outlineLvl w:val="2"/>
      </w:pPr>
      <w:r>
        <w:rPr>
          <w:rFonts w:ascii="黑体" w:hAnsi="黑体" w:eastAsia="黑体"/>
          <w:sz w:val="32"/>
        </w:rPr>
        <w:t>十二、其他需说明的事项</w:t>
      </w:r>
    </w:p>
    <w:p w14:paraId="166E8A12">
      <w:pPr>
        <w:spacing w:line="580" w:lineRule="exact"/>
        <w:ind w:firstLine="640"/>
        <w:jc w:val="both"/>
      </w:pPr>
      <w:r>
        <w:rPr>
          <w:rFonts w:ascii="仿宋_GB2312" w:hAnsi="仿宋_GB2312" w:eastAsia="仿宋_GB2312"/>
          <w:b w:val="0"/>
          <w:sz w:val="32"/>
        </w:rPr>
        <w:t>本单位无其他需说明的事项。</w:t>
      </w:r>
    </w:p>
    <w:p w14:paraId="50507003">
      <w:r>
        <w:br w:type="page"/>
      </w:r>
    </w:p>
    <w:p w14:paraId="470FA84F">
      <w:pPr>
        <w:spacing w:line="240" w:lineRule="auto"/>
        <w:jc w:val="center"/>
        <w:outlineLvl w:val="1"/>
      </w:pPr>
      <w:r>
        <w:rPr>
          <w:rFonts w:ascii="黑体" w:hAnsi="黑体" w:eastAsia="黑体"/>
          <w:sz w:val="32"/>
        </w:rPr>
        <w:t>第三部分 专业名词解释</w:t>
      </w:r>
    </w:p>
    <w:p w14:paraId="47168D5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B208D7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0C8320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12D179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3159B5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FC184E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67A325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230849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DC10B4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EAA204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AE88C7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DACFD5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1ED5A9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E16B61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B4E3A04">
      <w:r>
        <w:br w:type="page"/>
      </w:r>
    </w:p>
    <w:p w14:paraId="54AA32C1">
      <w:pPr>
        <w:spacing w:line="240" w:lineRule="auto"/>
        <w:jc w:val="center"/>
        <w:outlineLvl w:val="1"/>
      </w:pPr>
      <w:r>
        <w:rPr>
          <w:rFonts w:ascii="黑体" w:hAnsi="黑体" w:eastAsia="黑体"/>
          <w:sz w:val="32"/>
        </w:rPr>
        <w:t>第四部分 部门决算报表（见附表）</w:t>
      </w:r>
    </w:p>
    <w:p w14:paraId="7AB32F5B">
      <w:pPr>
        <w:spacing w:line="240" w:lineRule="auto"/>
        <w:ind w:firstLine="640"/>
        <w:jc w:val="both"/>
      </w:pPr>
      <w:r>
        <w:rPr>
          <w:rFonts w:ascii="仿宋_GB2312" w:hAnsi="仿宋_GB2312" w:eastAsia="仿宋_GB2312"/>
          <w:b w:val="0"/>
          <w:sz w:val="32"/>
        </w:rPr>
        <w:t>一、《收入支出决算总表》</w:t>
      </w:r>
    </w:p>
    <w:p w14:paraId="2AE269F7">
      <w:pPr>
        <w:spacing w:line="240" w:lineRule="auto"/>
        <w:ind w:firstLine="640"/>
        <w:jc w:val="both"/>
      </w:pPr>
      <w:r>
        <w:rPr>
          <w:rFonts w:ascii="仿宋_GB2312" w:hAnsi="仿宋_GB2312" w:eastAsia="仿宋_GB2312"/>
          <w:b w:val="0"/>
          <w:sz w:val="32"/>
        </w:rPr>
        <w:t>二、《收入决算表》</w:t>
      </w:r>
    </w:p>
    <w:p w14:paraId="227B31EF">
      <w:pPr>
        <w:spacing w:line="240" w:lineRule="auto"/>
        <w:ind w:firstLine="640"/>
        <w:jc w:val="both"/>
      </w:pPr>
      <w:r>
        <w:rPr>
          <w:rFonts w:ascii="仿宋_GB2312" w:hAnsi="仿宋_GB2312" w:eastAsia="仿宋_GB2312"/>
          <w:b w:val="0"/>
          <w:sz w:val="32"/>
        </w:rPr>
        <w:t>三、《支出决算表》</w:t>
      </w:r>
    </w:p>
    <w:p w14:paraId="795CB84C">
      <w:pPr>
        <w:spacing w:line="240" w:lineRule="auto"/>
        <w:ind w:firstLine="640"/>
        <w:jc w:val="both"/>
      </w:pPr>
      <w:r>
        <w:rPr>
          <w:rFonts w:ascii="仿宋_GB2312" w:hAnsi="仿宋_GB2312" w:eastAsia="仿宋_GB2312"/>
          <w:b w:val="0"/>
          <w:sz w:val="32"/>
        </w:rPr>
        <w:t>四、《财政拨款收入支出决算总表》</w:t>
      </w:r>
    </w:p>
    <w:p w14:paraId="19720659">
      <w:pPr>
        <w:spacing w:line="240" w:lineRule="auto"/>
        <w:ind w:firstLine="640"/>
        <w:jc w:val="both"/>
      </w:pPr>
      <w:r>
        <w:rPr>
          <w:rFonts w:ascii="仿宋_GB2312" w:hAnsi="仿宋_GB2312" w:eastAsia="仿宋_GB2312"/>
          <w:b w:val="0"/>
          <w:sz w:val="32"/>
        </w:rPr>
        <w:t>五、《一般公共预算财政拨款支出决算表》</w:t>
      </w:r>
    </w:p>
    <w:p w14:paraId="01104258">
      <w:pPr>
        <w:spacing w:line="240" w:lineRule="auto"/>
        <w:ind w:firstLine="640"/>
        <w:jc w:val="both"/>
      </w:pPr>
      <w:r>
        <w:rPr>
          <w:rFonts w:ascii="仿宋_GB2312" w:hAnsi="仿宋_GB2312" w:eastAsia="仿宋_GB2312"/>
          <w:b w:val="0"/>
          <w:sz w:val="32"/>
        </w:rPr>
        <w:t>六、《一般公共预算财政拨款基本支出决算表》</w:t>
      </w:r>
    </w:p>
    <w:p w14:paraId="4F2BFCC5">
      <w:pPr>
        <w:spacing w:line="240" w:lineRule="auto"/>
        <w:ind w:firstLine="640"/>
        <w:jc w:val="both"/>
      </w:pPr>
      <w:r>
        <w:rPr>
          <w:rFonts w:ascii="仿宋_GB2312" w:hAnsi="仿宋_GB2312" w:eastAsia="仿宋_GB2312"/>
          <w:b w:val="0"/>
          <w:sz w:val="32"/>
        </w:rPr>
        <w:t>七、《政府性基金预算财政拨款收入支出决算表》</w:t>
      </w:r>
    </w:p>
    <w:p w14:paraId="7C4F31DC">
      <w:pPr>
        <w:spacing w:line="240" w:lineRule="auto"/>
        <w:ind w:firstLine="640"/>
        <w:jc w:val="both"/>
      </w:pPr>
      <w:r>
        <w:rPr>
          <w:rFonts w:ascii="仿宋_GB2312" w:hAnsi="仿宋_GB2312" w:eastAsia="仿宋_GB2312"/>
          <w:b w:val="0"/>
          <w:sz w:val="32"/>
        </w:rPr>
        <w:t>八、《国有资本经营预算财政拨款收入支出决算表》</w:t>
      </w:r>
    </w:p>
    <w:p w14:paraId="76638350">
      <w:pPr>
        <w:spacing w:line="240" w:lineRule="auto"/>
        <w:ind w:firstLine="640"/>
        <w:jc w:val="both"/>
      </w:pPr>
      <w:r>
        <w:rPr>
          <w:rFonts w:ascii="仿宋_GB2312" w:hAnsi="仿宋_GB2312" w:eastAsia="仿宋_GB2312"/>
          <w:b w:val="0"/>
          <w:sz w:val="32"/>
        </w:rPr>
        <w:t>九、《财政拨款“三公”经费支出决算表》</w:t>
      </w:r>
    </w:p>
    <w:p w14:paraId="20FA19C0">
      <w:pPr>
        <w:spacing w:line="240" w:lineRule="auto"/>
        <w:ind w:firstLine="640"/>
        <w:jc w:val="both"/>
      </w:pPr>
    </w:p>
    <w:p w14:paraId="3A1CA691">
      <w:pPr>
        <w:spacing w:line="240" w:lineRule="auto"/>
        <w:ind w:firstLine="640"/>
        <w:jc w:val="both"/>
      </w:pPr>
    </w:p>
    <w:p w14:paraId="21A2711C">
      <w:pPr>
        <w:spacing w:line="240" w:lineRule="auto"/>
        <w:ind w:firstLine="640"/>
        <w:jc w:val="both"/>
      </w:pPr>
    </w:p>
    <w:p w14:paraId="7B7E4D39">
      <w:pPr>
        <w:spacing w:line="240" w:lineRule="auto"/>
        <w:ind w:firstLine="640"/>
        <w:jc w:val="both"/>
      </w:pPr>
    </w:p>
    <w:p w14:paraId="2123B58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76E8566-15FD-48FE-97D7-50FF56A3BCA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FFD9C2EA-9DBF-4E34-869D-7519932681CC}"/>
  </w:font>
  <w:font w:name="仿宋_GB2312">
    <w:panose1 w:val="02010609030101010101"/>
    <w:charset w:val="86"/>
    <w:family w:val="modern"/>
    <w:pitch w:val="default"/>
    <w:sig w:usb0="00000001" w:usb1="080E0000" w:usb2="00000000" w:usb3="00000000" w:csb0="00040000" w:csb1="00000000"/>
    <w:embedRegular r:id="rId3" w:fontKey="{37BA43A5-6646-4F4A-8AC6-50D9DD588614}"/>
  </w:font>
  <w:font w:name="楷体_GB2312">
    <w:panose1 w:val="02010609030101010101"/>
    <w:charset w:val="86"/>
    <w:family w:val="auto"/>
    <w:pitch w:val="default"/>
    <w:sig w:usb0="00000001" w:usb1="080E0000" w:usb2="00000000" w:usb3="00000000" w:csb0="00040000" w:csb1="00000000"/>
    <w:embedRegular r:id="rId4" w:fontKey="{6FB8AA39-C194-4C1F-A68A-199F39200A3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0C4434"/>
    <w:rsid w:val="326F0A17"/>
    <w:rsid w:val="3277581B"/>
    <w:rsid w:val="35CC6AA3"/>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7302</Words>
  <Characters>8513</Characters>
  <Lines>0</Lines>
  <Paragraphs>0</Paragraphs>
  <TotalTime>7</TotalTime>
  <ScaleCrop>false</ScaleCrop>
  <LinksUpToDate>false</LinksUpToDate>
  <CharactersWithSpaces>8521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2025-09-29T11:46:28Z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