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叶城县西城区片区管理委员会2024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97FFFD">
      <w:r>
        <w:br w:type="page"/>
      </w:r>
    </w:p>
    <w:p w14:paraId="3D176067">
      <w:pPr>
        <w:spacing w:line="640" w:lineRule="exact"/>
        <w:jc w:val="center"/>
        <w:outlineLvl w:val="1"/>
      </w:pPr>
      <w:r>
        <w:rPr>
          <w:rFonts w:ascii="黑体" w:hAnsi="黑体" w:eastAsia="黑体"/>
          <w:sz w:val="32"/>
        </w:rPr>
        <w:t>第一部分 单位概况</w:t>
      </w:r>
    </w:p>
    <w:p w14:paraId="78AD5499">
      <w:pPr>
        <w:spacing w:line="640" w:lineRule="exact"/>
        <w:ind w:firstLine="640"/>
        <w:jc w:val="both"/>
        <w:outlineLvl w:val="2"/>
      </w:pPr>
      <w:r>
        <w:rPr>
          <w:rFonts w:ascii="黑体" w:hAnsi="黑体" w:eastAsia="黑体"/>
          <w:sz w:val="32"/>
        </w:rPr>
        <w:t>一、主要职能</w:t>
      </w:r>
    </w:p>
    <w:p w14:paraId="6D616E4E">
      <w:pPr>
        <w:spacing w:line="580" w:lineRule="exact"/>
        <w:ind w:firstLine="640"/>
        <w:jc w:val="both"/>
      </w:pPr>
      <w:r>
        <w:rPr>
          <w:rFonts w:ascii="仿宋_GB2312" w:hAnsi="仿宋_GB2312" w:eastAsia="仿宋_GB2312"/>
          <w:sz w:val="32"/>
        </w:rPr>
        <w:t>负责全区党政行政管理事务坚决贯彻县委、县人民政府各项指示，负责全区经济社会发展、社会事务管理、基层组织建设等全面工作。以乡村振兴为引领实现社会发展“总目标”，不断铸牢全乡经济社会发展基础，为全区各族群众提供社会服务。</w:t>
      </w:r>
    </w:p>
    <w:p w14:paraId="3883DB4F">
      <w:pPr>
        <w:spacing w:line="640" w:lineRule="exact"/>
        <w:ind w:firstLine="640"/>
        <w:jc w:val="both"/>
        <w:outlineLvl w:val="2"/>
      </w:pPr>
      <w:r>
        <w:rPr>
          <w:rFonts w:ascii="黑体" w:hAnsi="黑体" w:eastAsia="黑体"/>
          <w:sz w:val="32"/>
        </w:rPr>
        <w:t>二、机构设置及人员情况</w:t>
      </w:r>
    </w:p>
    <w:p w14:paraId="503B1782">
      <w:pPr>
        <w:spacing w:line="580" w:lineRule="exact"/>
        <w:ind w:firstLine="640"/>
        <w:jc w:val="both"/>
      </w:pPr>
      <w:r>
        <w:rPr>
          <w:rFonts w:ascii="仿宋_GB2312" w:hAnsi="仿宋_GB2312" w:eastAsia="仿宋_GB2312"/>
          <w:sz w:val="32"/>
        </w:rPr>
        <w:t>叶城县西城区片区管理委员会2024年度，实有人数111人，其中：在职人员106人，减少8人；离休人员0人，增加0人；退休人员5人,增加3人。</w:t>
      </w:r>
    </w:p>
    <w:p w14:paraId="44326AF0">
      <w:pPr>
        <w:spacing w:line="580" w:lineRule="exact"/>
        <w:ind w:firstLine="640"/>
        <w:jc w:val="both"/>
      </w:pPr>
      <w:r>
        <w:rPr>
          <w:rFonts w:ascii="仿宋_GB2312" w:hAnsi="仿宋_GB2312" w:eastAsia="仿宋_GB2312"/>
          <w:sz w:val="32"/>
        </w:rPr>
        <w:t>叶城县西城区片区管理委员会无下属预算单位，下设5个科室，分别是：党政办、综治办、党建办、社会事务办、经济办。</w:t>
      </w:r>
    </w:p>
    <w:p w14:paraId="5471DDAB">
      <w:r>
        <w:br w:type="page"/>
      </w:r>
    </w:p>
    <w:p w14:paraId="29FD08F4">
      <w:pPr>
        <w:spacing w:line="240" w:lineRule="auto"/>
        <w:jc w:val="center"/>
        <w:outlineLvl w:val="1"/>
      </w:pPr>
      <w:r>
        <w:rPr>
          <w:rFonts w:ascii="黑体" w:hAnsi="黑体" w:eastAsia="黑体"/>
          <w:sz w:val="32"/>
        </w:rPr>
        <w:t>第二部分 部门决算情况说明</w:t>
      </w:r>
    </w:p>
    <w:p w14:paraId="584DE122">
      <w:pPr>
        <w:spacing w:line="640" w:lineRule="exact"/>
        <w:ind w:firstLine="640"/>
        <w:jc w:val="both"/>
        <w:outlineLvl w:val="2"/>
      </w:pPr>
      <w:r>
        <w:rPr>
          <w:rFonts w:ascii="黑体" w:hAnsi="黑体" w:eastAsia="黑体"/>
          <w:sz w:val="32"/>
        </w:rPr>
        <w:t>一、收入支出决算总体情况说明</w:t>
      </w:r>
    </w:p>
    <w:p w14:paraId="464E35B3">
      <w:pPr>
        <w:spacing w:line="580" w:lineRule="exact"/>
        <w:ind w:firstLine="640"/>
        <w:jc w:val="both"/>
      </w:pPr>
      <w:r>
        <w:rPr>
          <w:rFonts w:ascii="仿宋_GB2312" w:hAnsi="仿宋_GB2312" w:eastAsia="仿宋_GB2312"/>
          <w:b/>
          <w:sz w:val="32"/>
        </w:rPr>
        <w:t>2024年度收入总计2,417.14万元，</w:t>
      </w:r>
      <w:r>
        <w:rPr>
          <w:rFonts w:ascii="仿宋_GB2312" w:hAnsi="仿宋_GB2312" w:eastAsia="仿宋_GB2312"/>
          <w:b w:val="0"/>
          <w:sz w:val="32"/>
        </w:rPr>
        <w:t>其中：本年收入合计2,417.14万元，使用非财政拨款结余（含专用结余）0.00万元，年初结转和结余0.00万元。</w:t>
      </w:r>
    </w:p>
    <w:p w14:paraId="08B5246C">
      <w:pPr>
        <w:spacing w:line="580" w:lineRule="exact"/>
        <w:ind w:firstLine="640"/>
        <w:jc w:val="both"/>
      </w:pPr>
      <w:r>
        <w:rPr>
          <w:rFonts w:ascii="仿宋_GB2312" w:hAnsi="仿宋_GB2312" w:eastAsia="仿宋_GB2312"/>
          <w:b/>
          <w:sz w:val="32"/>
        </w:rPr>
        <w:t>2024年度支出总计2,417.14万元，</w:t>
      </w:r>
      <w:r>
        <w:rPr>
          <w:rFonts w:ascii="仿宋_GB2312" w:hAnsi="仿宋_GB2312" w:eastAsia="仿宋_GB2312"/>
          <w:b w:val="0"/>
          <w:sz w:val="32"/>
        </w:rPr>
        <w:t>其中：本年支出合计2,417.14万元，结余分配0.00万元，年末结转和结余0.00万元。</w:t>
      </w:r>
    </w:p>
    <w:p w14:paraId="58FAF27E">
      <w:pPr>
        <w:spacing w:line="580" w:lineRule="exact"/>
        <w:ind w:firstLine="640"/>
        <w:jc w:val="both"/>
      </w:pPr>
      <w:r>
        <w:rPr>
          <w:rFonts w:ascii="仿宋_GB2312" w:hAnsi="仿宋_GB2312" w:eastAsia="仿宋_GB2312"/>
          <w:b w:val="0"/>
          <w:sz w:val="32"/>
        </w:rPr>
        <w:t>收入支出总体与上年相比，减少38.71万元，下降1.58%，主要原因是：本年村级运转经费项目资金较上年减少。</w:t>
      </w:r>
    </w:p>
    <w:p w14:paraId="6C0C5F2E">
      <w:pPr>
        <w:spacing w:line="640" w:lineRule="exact"/>
        <w:ind w:firstLine="640"/>
        <w:jc w:val="both"/>
        <w:outlineLvl w:val="2"/>
      </w:pPr>
      <w:r>
        <w:rPr>
          <w:rFonts w:ascii="黑体" w:hAnsi="黑体" w:eastAsia="黑体"/>
          <w:sz w:val="32"/>
        </w:rPr>
        <w:t>二、收入决算情况说明</w:t>
      </w:r>
    </w:p>
    <w:p w14:paraId="115E4E2E">
      <w:pPr>
        <w:spacing w:line="580" w:lineRule="exact"/>
        <w:ind w:firstLine="640"/>
        <w:jc w:val="both"/>
      </w:pPr>
      <w:r>
        <w:rPr>
          <w:rFonts w:ascii="仿宋_GB2312" w:hAnsi="仿宋_GB2312" w:eastAsia="仿宋_GB2312"/>
          <w:b/>
          <w:sz w:val="32"/>
        </w:rPr>
        <w:t>本年收入2,417.14万元，</w:t>
      </w:r>
      <w:r>
        <w:rPr>
          <w:rFonts w:ascii="仿宋_GB2312" w:hAnsi="仿宋_GB2312" w:eastAsia="仿宋_GB2312"/>
          <w:b w:val="0"/>
          <w:sz w:val="32"/>
        </w:rPr>
        <w:t>其中：财政拨款收入2,417.14万元，占100.00%；上级补助收入0.00万元，占0.00%；事业收入0.00万元，占0.00%；经营收入0.00万元，占0.00%；附属单位上缴收入0.00万元，占0.00%；其他收入0.00万元，占0.00%。</w:t>
      </w:r>
    </w:p>
    <w:p w14:paraId="346D4A52">
      <w:pPr>
        <w:spacing w:line="640" w:lineRule="exact"/>
        <w:ind w:firstLine="640"/>
        <w:jc w:val="both"/>
        <w:outlineLvl w:val="2"/>
      </w:pPr>
      <w:r>
        <w:rPr>
          <w:rFonts w:ascii="黑体" w:hAnsi="黑体" w:eastAsia="黑体"/>
          <w:sz w:val="32"/>
        </w:rPr>
        <w:t>三、支出决算情况说明</w:t>
      </w:r>
    </w:p>
    <w:p w14:paraId="78BF7D71">
      <w:pPr>
        <w:spacing w:line="580" w:lineRule="exact"/>
        <w:ind w:firstLine="640"/>
        <w:jc w:val="both"/>
      </w:pPr>
      <w:r>
        <w:rPr>
          <w:rFonts w:ascii="仿宋_GB2312" w:hAnsi="仿宋_GB2312" w:eastAsia="仿宋_GB2312"/>
          <w:b/>
          <w:sz w:val="32"/>
        </w:rPr>
        <w:t>本年支出2,417.14万元，</w:t>
      </w:r>
      <w:r>
        <w:rPr>
          <w:rFonts w:ascii="仿宋_GB2312" w:hAnsi="仿宋_GB2312" w:eastAsia="仿宋_GB2312"/>
          <w:b w:val="0"/>
          <w:sz w:val="32"/>
        </w:rPr>
        <w:t>其中：基本支出2,300.73万元，占95.18%；项目支出116.42万元，占4.82%；上缴上级支出0.00万元，占0.00%；经营支出0.00万元，占0.00%；对附属单位补助支出0.00万元，占0.00%。</w:t>
      </w:r>
    </w:p>
    <w:p w14:paraId="59156A2F">
      <w:pPr>
        <w:spacing w:line="640" w:lineRule="exact"/>
        <w:ind w:firstLine="640"/>
        <w:jc w:val="both"/>
        <w:outlineLvl w:val="2"/>
      </w:pPr>
      <w:r>
        <w:rPr>
          <w:rFonts w:ascii="黑体" w:hAnsi="黑体" w:eastAsia="黑体"/>
          <w:sz w:val="32"/>
        </w:rPr>
        <w:t>四、财政拨款收入支出决算总体情况说明</w:t>
      </w:r>
    </w:p>
    <w:p w14:paraId="05592362">
      <w:pPr>
        <w:spacing w:line="580" w:lineRule="exact"/>
        <w:ind w:firstLine="640"/>
        <w:jc w:val="both"/>
      </w:pPr>
      <w:r>
        <w:rPr>
          <w:rFonts w:ascii="仿宋_GB2312" w:hAnsi="仿宋_GB2312" w:eastAsia="仿宋_GB2312"/>
          <w:b/>
          <w:sz w:val="32"/>
        </w:rPr>
        <w:t>2024年度财政拨款收入总计2,417.14万元，</w:t>
      </w:r>
      <w:r>
        <w:rPr>
          <w:rFonts w:ascii="仿宋_GB2312" w:hAnsi="仿宋_GB2312" w:eastAsia="仿宋_GB2312"/>
          <w:b w:val="0"/>
          <w:sz w:val="32"/>
        </w:rPr>
        <w:t>其中：年初财政拨款结转和结余0.00万元，本年财政拨款收入2,417.14万元。</w:t>
      </w:r>
      <w:r>
        <w:rPr>
          <w:rFonts w:ascii="仿宋_GB2312" w:hAnsi="仿宋_GB2312" w:eastAsia="仿宋_GB2312"/>
          <w:b/>
          <w:sz w:val="32"/>
        </w:rPr>
        <w:t>财政拨款支出总计2,417.14万元，</w:t>
      </w:r>
      <w:r>
        <w:rPr>
          <w:rFonts w:ascii="仿宋_GB2312" w:hAnsi="仿宋_GB2312" w:eastAsia="仿宋_GB2312"/>
          <w:b w:val="0"/>
          <w:sz w:val="32"/>
        </w:rPr>
        <w:t>其中：年末财政拨款结转和结余0.00万元，本年财政拨款支出2,417.14万元。</w:t>
      </w:r>
    </w:p>
    <w:p w14:paraId="4423AFC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减少38.71万元，下降1.58%，主要原因是：本年村级运转经费项目资金较上年减少。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年初预算数2,440.64万元，决算数2,417.14万元，预决算差异率-0.96%，主要原因是：本年在职人员减少，年中调减人员经费，导致预决算存在差异。</w:t>
      </w:r>
    </w:p>
    <w:p w14:paraId="701E302D">
      <w:pPr>
        <w:spacing w:line="640" w:lineRule="exact"/>
        <w:ind w:firstLine="640"/>
        <w:jc w:val="both"/>
        <w:outlineLvl w:val="2"/>
      </w:pPr>
      <w:r>
        <w:rPr>
          <w:rFonts w:ascii="黑体" w:hAnsi="黑体" w:eastAsia="黑体"/>
          <w:sz w:val="32"/>
        </w:rPr>
        <w:t>五、一般公共预算财政拨款支出决算情况说明</w:t>
      </w:r>
    </w:p>
    <w:p w14:paraId="73D64254">
      <w:pPr>
        <w:spacing w:line="640" w:lineRule="exact"/>
        <w:ind w:firstLine="640"/>
        <w:jc w:val="both"/>
        <w:outlineLvl w:val="3"/>
      </w:pPr>
      <w:r>
        <w:rPr>
          <w:rFonts w:ascii="楷体_GB2312" w:hAnsi="楷体_GB2312" w:eastAsia="楷体_GB2312"/>
          <w:b/>
          <w:sz w:val="32"/>
        </w:rPr>
        <w:t>（一）一般公共预算财政拨款支出决算总体情况</w:t>
      </w:r>
    </w:p>
    <w:p w14:paraId="3B9AA7F2">
      <w:pPr>
        <w:spacing w:line="580" w:lineRule="exact"/>
        <w:ind w:firstLine="640"/>
        <w:jc w:val="both"/>
      </w:pPr>
      <w:r>
        <w:rPr>
          <w:rFonts w:ascii="仿宋_GB2312" w:hAnsi="仿宋_GB2312" w:eastAsia="仿宋_GB2312"/>
          <w:b/>
          <w:sz w:val="32"/>
        </w:rPr>
        <w:t>2024年度一般公共预算财政拨款支出2,416.94万元，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减少38.65万元，下降1.57%，主要原因是：本年村级运转经费项目资金较上年减少。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年初预算数2,440.43万元，决算数2,416.94万元，预决算差异率-0.96%，主要原因是：本年在职人员减少，年中调减人员经费，导致预决算存在差异。</w:t>
      </w:r>
    </w:p>
    <w:p w14:paraId="0BF01408">
      <w:pPr>
        <w:spacing w:line="640" w:lineRule="exact"/>
        <w:ind w:firstLine="640"/>
        <w:jc w:val="both"/>
        <w:outlineLvl w:val="3"/>
      </w:pPr>
      <w:r>
        <w:rPr>
          <w:rFonts w:ascii="楷体_GB2312" w:hAnsi="楷体_GB2312" w:eastAsia="楷体_GB2312"/>
          <w:b/>
          <w:sz w:val="32"/>
        </w:rPr>
        <w:t>（二）一般公共预算财政拨款支出决算结构情况</w:t>
      </w:r>
    </w:p>
    <w:p w14:paraId="53014479">
      <w:pPr>
        <w:spacing w:line="580" w:lineRule="exact"/>
        <w:ind w:firstLine="640"/>
        <w:jc w:val="both"/>
      </w:pPr>
      <w:r>
        <w:rPr>
          <w:rFonts w:ascii="仿宋_GB2312" w:hAnsi="仿宋_GB2312" w:eastAsia="仿宋_GB2312"/>
          <w:b w:val="0"/>
          <w:sz w:val="32"/>
        </w:rPr>
        <w:t>1.一般公共服务支出(类)1,861.89万元,占77.04%。</w:t>
      </w:r>
    </w:p>
    <w:p w14:paraId="6479EC07">
      <w:pPr>
        <w:spacing w:line="580" w:lineRule="exact"/>
        <w:ind w:firstLine="640"/>
        <w:jc w:val="both"/>
      </w:pPr>
      <w:r>
        <w:rPr>
          <w:rFonts w:ascii="仿宋_GB2312" w:hAnsi="仿宋_GB2312" w:eastAsia="仿宋_GB2312"/>
          <w:b w:val="0"/>
          <w:sz w:val="32"/>
        </w:rPr>
        <w:t>2.公共安全支出(类)3.45万元,占0.14%。</w:t>
      </w:r>
    </w:p>
    <w:p w14:paraId="1A19B386">
      <w:pPr>
        <w:spacing w:line="580" w:lineRule="exact"/>
        <w:ind w:firstLine="640"/>
        <w:jc w:val="both"/>
      </w:pPr>
      <w:r>
        <w:rPr>
          <w:rFonts w:ascii="仿宋_GB2312" w:hAnsi="仿宋_GB2312" w:eastAsia="仿宋_GB2312"/>
          <w:b w:val="0"/>
          <w:sz w:val="32"/>
        </w:rPr>
        <w:t>3.社会保障和就业支出(类)242.50万元,占10.03%。</w:t>
      </w:r>
    </w:p>
    <w:p w14:paraId="2FD478C4">
      <w:pPr>
        <w:spacing w:line="580" w:lineRule="exact"/>
        <w:ind w:firstLine="640"/>
        <w:jc w:val="both"/>
      </w:pPr>
      <w:r>
        <w:rPr>
          <w:rFonts w:ascii="仿宋_GB2312" w:hAnsi="仿宋_GB2312" w:eastAsia="仿宋_GB2312"/>
          <w:b w:val="0"/>
          <w:sz w:val="32"/>
        </w:rPr>
        <w:t>4.卫生健康支出(类)118.94万元,占4.92%。</w:t>
      </w:r>
    </w:p>
    <w:p w14:paraId="6AB132D3">
      <w:pPr>
        <w:spacing w:line="580" w:lineRule="exact"/>
        <w:ind w:firstLine="640"/>
        <w:jc w:val="both"/>
      </w:pPr>
      <w:r>
        <w:rPr>
          <w:rFonts w:ascii="仿宋_GB2312" w:hAnsi="仿宋_GB2312" w:eastAsia="仿宋_GB2312"/>
          <w:b w:val="0"/>
          <w:sz w:val="32"/>
        </w:rPr>
        <w:t>5.住房保障支出(类)190.17万元,占7.87%。</w:t>
      </w:r>
    </w:p>
    <w:p w14:paraId="6C6D6080">
      <w:pPr>
        <w:spacing w:line="640" w:lineRule="exact"/>
        <w:ind w:firstLine="640"/>
        <w:jc w:val="both"/>
        <w:outlineLvl w:val="3"/>
      </w:pPr>
      <w:r>
        <w:rPr>
          <w:rFonts w:ascii="楷体_GB2312" w:hAnsi="楷体_GB2312" w:eastAsia="楷体_GB2312"/>
          <w:b/>
          <w:sz w:val="32"/>
        </w:rPr>
        <w:t>（三）一般公共预算财政拨款支出决算具体情况</w:t>
      </w:r>
    </w:p>
    <w:p w14:paraId="1572A305">
      <w:pPr>
        <w:spacing w:line="580" w:lineRule="exact"/>
        <w:ind w:firstLine="640"/>
        <w:jc w:val="both"/>
      </w:pPr>
      <w:r>
        <w:rPr>
          <w:rFonts w:ascii="仿宋_GB2312" w:hAnsi="仿宋_GB2312" w:eastAsia="仿宋_GB2312"/>
          <w:b w:val="0"/>
          <w:sz w:val="32"/>
        </w:rPr>
        <w:t>1.一般公共服务支出(类)人大事务(款)代表工作(项):支出决算数为0.00万元，比上年决算减少1.49万元，下降100.00%,主要原因是：本年度人大事务经费项目资金支出减少。</w:t>
      </w:r>
    </w:p>
    <w:p w14:paraId="646A07D7">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2.一般公共服务支出(类)人大事务(款)其他人大事务支出(项):支出决算数为0.00万元，比上年决算减少0.93万元，下降100.00%,主要原因是：本年减少自治区人大补助资金。</w:t>
      </w:r>
    </w:p>
    <w:p w14:paraId="2DA9B37C">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3.一般公共服务支出(类)政府办公厅（室）及相关机构事务(款)行政运行(项):支出决算数为1,749.12万元，比上年决算减少119.19万元，下降6.38%,主要原因是：本年在职人员减少，相应人员经费较上年减少。</w:t>
      </w:r>
    </w:p>
    <w:p w14:paraId="1E9170A4">
      <w:pPr>
        <w:spacing w:line="580" w:lineRule="exact"/>
        <w:ind w:firstLine="640"/>
        <w:jc w:val="both"/>
      </w:pPr>
      <w:r>
        <w:rPr>
          <w:rFonts w:ascii="仿宋_GB2312" w:hAnsi="仿宋_GB2312" w:eastAsia="仿宋_GB2312"/>
          <w:b w:val="0"/>
          <w:sz w:val="32"/>
        </w:rPr>
        <w:t>4.一般公共服务支出(类)政府办公厅（室）及相关机构事务(款)信访事务(项):支出决算数为0.00万元，比上年决算减少2.50万元，下降100.00%,主要原因是：本年减少信访工作经费。</w:t>
      </w:r>
    </w:p>
    <w:p w14:paraId="6B97DF67">
      <w:pPr>
        <w:spacing w:line="580" w:lineRule="exact"/>
        <w:ind w:firstLine="640"/>
        <w:jc w:val="both"/>
      </w:pPr>
      <w:r>
        <w:rPr>
          <w:rFonts w:ascii="仿宋_GB2312" w:hAnsi="仿宋_GB2312" w:eastAsia="仿宋_GB2312"/>
          <w:b w:val="0"/>
          <w:sz w:val="32"/>
        </w:rPr>
        <w:t>5.一般公共服务支出(类)组织事务(款)其他组织事务支出(项):支出决算数为112.01万元，比上年决算减少37.99万元，下降25.33%,主要原因是：本年村级运转经费项目资金较上年度减少。</w:t>
      </w:r>
    </w:p>
    <w:p w14:paraId="488DF3E1">
      <w:pPr>
        <w:spacing w:line="580" w:lineRule="exact"/>
        <w:ind w:firstLine="640"/>
        <w:jc w:val="both"/>
      </w:pPr>
      <w:r>
        <w:rPr>
          <w:rFonts w:ascii="仿宋_GB2312" w:hAnsi="仿宋_GB2312" w:eastAsia="仿宋_GB2312"/>
          <w:b w:val="0"/>
          <w:sz w:val="32"/>
        </w:rPr>
        <w:t>6.一般公共服务支出(类)统战事务(款)其他统战事务支出(项):支出决算数为0.75万元，比上年决算减少8.25万元，下降91.67%,主要原因是：本年管委会经费项目资金较上年度减少。</w:t>
      </w:r>
    </w:p>
    <w:p w14:paraId="418E686E">
      <w:pPr>
        <w:spacing w:line="580" w:lineRule="exact"/>
        <w:ind w:firstLine="640"/>
        <w:jc w:val="both"/>
      </w:pPr>
      <w:r>
        <w:rPr>
          <w:rFonts w:ascii="仿宋_GB2312" w:hAnsi="仿宋_GB2312" w:eastAsia="仿宋_GB2312"/>
          <w:b w:val="0"/>
          <w:sz w:val="32"/>
        </w:rPr>
        <w:t>7.公共安全支出(类)其他公共安全支出(款)其他公共安全支出(项):支出决算数为3.45万元，比上年决算减少3.55万元，下降50.71%,主要原因是：本年度信息奖励经费项目资金较上年度减少。</w:t>
      </w:r>
    </w:p>
    <w:p w14:paraId="74D2B87F">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8.社会保障和就业支出(类)行政事业单位养老支出(款)行政单位离退休(项):支出决算数为3.55万元，比上年决算增加1.59万元，增长81.12%,主要原因是：本年退休人员增加，退休费支出增加。</w:t>
      </w:r>
    </w:p>
    <w:p w14:paraId="3325178C">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238.95万元，比上年决算增加65.55万元，增长37.80%,主要原因是：本年在职人员工资基数调增，养老缴费基数上涨，相应支出增加。</w:t>
      </w:r>
    </w:p>
    <w:p w14:paraId="4C3C1131">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10.社会保障和就业支出(类)行政事业单位养老支出(款)机关事业单位职业年金缴费支出(项):支出决算数为0.00万元，比上年决算减少7.34万元，下降100.00%,主要原因是：本年未安排职业年金缴费。</w:t>
      </w:r>
    </w:p>
    <w:p w14:paraId="0C3E8C6E">
      <w:pPr>
        <w:spacing w:line="580" w:lineRule="exact"/>
        <w:ind w:firstLine="640"/>
        <w:jc w:val="both"/>
      </w:pPr>
      <w:r>
        <w:rPr>
          <w:rFonts w:ascii="仿宋_GB2312" w:hAnsi="仿宋_GB2312" w:eastAsia="仿宋_GB2312"/>
          <w:b w:val="0"/>
          <w:sz w:val="32"/>
        </w:rPr>
        <w:t>11.卫生健康支出(类)行政事业单位医疗(款)行政单位医疗(项):支出决算数为101.55万元，比上年决算增加27.82万元，增长37.73%,主要原因是：本年在职人员工资基数调增，医疗缴费基数上涨，相应支出增加。</w:t>
      </w:r>
    </w:p>
    <w:p w14:paraId="0B965F7F">
      <w:pPr>
        <w:spacing w:line="580" w:lineRule="exact"/>
        <w:ind w:firstLine="640"/>
        <w:jc w:val="both"/>
      </w:pPr>
      <w:r>
        <w:rPr>
          <w:rFonts w:ascii="仿宋_GB2312" w:hAnsi="仿宋_GB2312" w:eastAsia="仿宋_GB2312"/>
          <w:b w:val="0"/>
          <w:sz w:val="32"/>
        </w:rPr>
        <w:t>12.卫生健康支出(类)行政事业单位医疗(款)公务员医疗补助(项):支出决算数为17.39万元，比上年决算增加3.47万元，增长24.93%,主要原因是：本年在职人员工资基数调增，公务员医疗补助缴费基数上涨，相应支出增加。</w:t>
      </w:r>
    </w:p>
    <w:p w14:paraId="77167F09">
      <w:pPr>
        <w:spacing w:line="580" w:lineRule="exact"/>
        <w:ind w:firstLine="640"/>
        <w:jc w:val="both"/>
      </w:pPr>
      <w:r>
        <w:rPr>
          <w:rFonts w:ascii="仿宋_GB2312" w:hAnsi="仿宋_GB2312" w:eastAsia="仿宋_GB2312"/>
          <w:b w:val="0"/>
          <w:sz w:val="32"/>
        </w:rPr>
        <w:t>13.农林水支出(类)农业农村(款)行政运行(项):支出决算数为0.00万元，比上年决算减少16.01万元，下降100.00%,主要原因是：上年度畜牧工作站人员津贴补贴在本科目列支，本年调整至一般公共服务支出(类)政府办公厅（室）及相关机构事务(款)行政运行(项)。</w:t>
      </w:r>
    </w:p>
    <w:p w14:paraId="6D50838C">
      <w:pPr>
        <w:spacing w:line="580" w:lineRule="exact"/>
        <w:ind w:firstLine="640"/>
        <w:jc w:val="both"/>
      </w:pPr>
      <w:r>
        <w:rPr>
          <w:rFonts w:ascii="仿宋_GB2312" w:hAnsi="仿宋_GB2312" w:eastAsia="仿宋_GB2312"/>
          <w:b w:val="0"/>
          <w:sz w:val="32"/>
        </w:rPr>
        <w:t>14.住房保障支出(类)住房改革支出(款)住房公积金(项):支出决算数为190.17万元，比上年决算增加60.16万元，增长46.27%,主要原因是：本年在职人员工资基数调增，公积金缴费基数上涨，相应支出增加。</w:t>
      </w:r>
    </w:p>
    <w:p w14:paraId="1429E4FB">
      <w:pPr>
        <w:spacing w:line="640" w:lineRule="exact"/>
        <w:ind w:firstLine="640"/>
        <w:jc w:val="both"/>
        <w:outlineLvl w:val="2"/>
      </w:pPr>
      <w:r>
        <w:rPr>
          <w:rFonts w:ascii="黑体" w:hAnsi="黑体" w:eastAsia="黑体"/>
          <w:sz w:val="32"/>
        </w:rPr>
        <w:t>六、一般公共预算财政拨款基本支出决算情况说明</w:t>
      </w:r>
    </w:p>
    <w:p w14:paraId="56693B8E">
      <w:pPr>
        <w:spacing w:line="580" w:lineRule="exact"/>
        <w:ind w:firstLine="640"/>
        <w:jc w:val="both"/>
      </w:pPr>
      <w:r>
        <w:rPr>
          <w:rFonts w:ascii="仿宋_GB2312" w:hAnsi="仿宋_GB2312" w:eastAsia="仿宋_GB2312"/>
          <w:b w:val="0"/>
          <w:sz w:val="32"/>
        </w:rPr>
        <w:t>2024年度一般公共预算财政拨款基本支出2,300.73万元，其中：</w:t>
      </w:r>
      <w:r>
        <w:rPr>
          <w:rFonts w:ascii="仿宋_GB2312" w:hAnsi="仿宋_GB2312" w:eastAsia="仿宋_GB2312"/>
          <w:b/>
          <w:sz w:val="32"/>
        </w:rPr>
        <w:t>人员经费2,259.57万元，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包括：基本工资、津贴补贴、奖金、绩效工资、机关事业单位基本养老保险缴费、职工基本医疗保险缴费、公务员医疗补助缴费、其他社会保障缴费、住房公积金、退休费、奖励金。</w:t>
      </w:r>
    </w:p>
    <w:p w14:paraId="64940AD1">
      <w:pPr>
        <w:spacing w:line="580" w:lineRule="exact"/>
        <w:ind w:firstLine="640"/>
        <w:jc w:val="both"/>
      </w:pPr>
      <w:r>
        <w:rPr>
          <w:rFonts w:ascii="仿宋_GB2312" w:hAnsi="仿宋_GB2312" w:eastAsia="仿宋_GB2312"/>
          <w:b/>
          <w:sz w:val="32"/>
        </w:rPr>
        <w:t>公用经费41.16万元，</w:t>
      </w:r>
      <w:r>
        <w:rPr>
          <w:rFonts w:ascii="仿宋_GB2312" w:hAnsi="仿宋_GB2312" w:eastAsia="仿宋_GB2312"/>
          <w:b w:val="0"/>
          <w:sz w:val="32"/>
        </w:rPr>
        <w:t>包括：办公费、水费、电费、邮电费、取暖费、维修（护）费、劳务费、公务用车运行维护费。</w:t>
      </w:r>
    </w:p>
    <w:p w14:paraId="3B4C4EE9">
      <w:pPr>
        <w:spacing w:line="640" w:lineRule="exact"/>
        <w:ind w:firstLine="640"/>
        <w:jc w:val="both"/>
        <w:outlineLvl w:val="2"/>
      </w:pPr>
      <w:r>
        <w:rPr>
          <w:rFonts w:ascii="黑体" w:hAnsi="黑体" w:eastAsia="黑体"/>
          <w:sz w:val="32"/>
        </w:rPr>
        <w:t>七、政府性基金预算财政拨款收入支出决算情况说明</w:t>
      </w:r>
    </w:p>
    <w:p w14:paraId="021ADF0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31C6E57">
      <w:pPr>
        <w:spacing w:line="640" w:lineRule="exact"/>
        <w:ind w:firstLine="640"/>
        <w:jc w:val="both"/>
        <w:outlineLvl w:val="2"/>
      </w:pPr>
      <w:r>
        <w:rPr>
          <w:rFonts w:ascii="黑体" w:hAnsi="黑体" w:eastAsia="黑体"/>
          <w:sz w:val="32"/>
        </w:rPr>
        <w:t>八、国有资本经营预算财政拨款收入支出决算情况说明</w:t>
      </w:r>
    </w:p>
    <w:p w14:paraId="71D626C3">
      <w:pPr>
        <w:spacing w:line="580" w:lineRule="exact"/>
        <w:ind w:firstLine="640"/>
        <w:jc w:val="both"/>
      </w:pPr>
      <w:r>
        <w:rPr>
          <w:rFonts w:ascii="仿宋_GB2312" w:hAnsi="仿宋_GB2312" w:eastAsia="仿宋_GB2312"/>
          <w:b/>
          <w:sz w:val="32"/>
        </w:rPr>
        <w:t>2024年度国有资本经营预算财政拨款收入总计0.21万元，</w:t>
      </w:r>
      <w:r>
        <w:rPr>
          <w:rFonts w:ascii="仿宋_GB2312" w:hAnsi="仿宋_GB2312" w:eastAsia="仿宋_GB2312"/>
          <w:b w:val="0"/>
          <w:sz w:val="32"/>
        </w:rPr>
        <w:t>其中：年初结转和结余0.00万元，本年收入0.21万元。</w:t>
      </w:r>
      <w:r>
        <w:rPr>
          <w:rFonts w:ascii="仿宋_GB2312" w:hAnsi="仿宋_GB2312" w:eastAsia="仿宋_GB2312"/>
          <w:b/>
          <w:sz w:val="32"/>
        </w:rPr>
        <w:t>国有资本经营预算财政拨款支出总计0.21万元，</w:t>
      </w:r>
      <w:r>
        <w:rPr>
          <w:rFonts w:ascii="仿宋_GB2312" w:hAnsi="仿宋_GB2312" w:eastAsia="仿宋_GB2312"/>
          <w:b w:val="0"/>
          <w:sz w:val="32"/>
        </w:rPr>
        <w:t>其中：年末结转和结余0.00万元，本年支出0.21万元。</w:t>
      </w:r>
    </w:p>
    <w:p w14:paraId="699F29AE">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减少0.05万元，下降19.23%，主要原因是：本年度因国有企业退休人员迁移到其他辖区居住，国有企业退休人员社会化管理补助资金较上年减少。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年初预算数0.21万元，决算数0.21万元，预决算差异率0.00%，主要原因是：严格按照预算执行，预决算无差异。</w:t>
      </w:r>
    </w:p>
    <w:p w14:paraId="38C3E10B">
      <w:pPr>
        <w:spacing w:line="580" w:lineRule="exact"/>
        <w:ind w:firstLine="640"/>
        <w:jc w:val="both"/>
      </w:pPr>
      <w:r>
        <w:rPr>
          <w:rFonts w:ascii="仿宋_GB2312" w:hAnsi="仿宋_GB2312" w:eastAsia="仿宋_GB2312"/>
          <w:sz w:val="32"/>
        </w:rPr>
        <w:t>国有资本经营预算财政拨款支出0.21万元。</w:t>
      </w:r>
    </w:p>
    <w:p w14:paraId="2834E8A8">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0.21万元，比上年决算减少0.05万元，下降19.23%,主要原因是：本年度因国有企业退休人员迁移到其他辖区居住，国有企业退休人员社会化管理补助资金较上年减少。</w:t>
      </w:r>
    </w:p>
    <w:p w14:paraId="058678C0">
      <w:pPr>
        <w:spacing w:line="640" w:lineRule="exact"/>
        <w:ind w:firstLine="640"/>
        <w:jc w:val="both"/>
        <w:outlineLvl w:val="2"/>
      </w:pPr>
      <w:r>
        <w:rPr>
          <w:rFonts w:ascii="黑体" w:hAnsi="黑体" w:eastAsia="黑体"/>
          <w:sz w:val="32"/>
        </w:rPr>
        <w:t>九、财政拨款“三公”经费支出决算情况说明</w:t>
      </w:r>
    </w:p>
    <w:p w14:paraId="513C9ECA">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减少0.06万元，下降4.05%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1.42万元，占100.00%，比上年减少0.06万元，下降4.05%，主要原因是：严格落实中央八项规定精神，厉行节约，减少公务用车运行维护费。公务接待费支出0.00万元，占0.00%，比上年增加0.00万元，增长0.00%，主要原因是：2023年与2024年均未安排公务接待费支出。</w:t>
      </w:r>
    </w:p>
    <w:p w14:paraId="21606BC8">
      <w:pPr>
        <w:spacing w:line="580" w:lineRule="exact"/>
        <w:ind w:firstLine="640"/>
        <w:jc w:val="both"/>
      </w:pPr>
      <w:r>
        <w:rPr>
          <w:rFonts w:ascii="仿宋_GB2312" w:hAnsi="仿宋_GB2312" w:eastAsia="仿宋_GB2312"/>
          <w:b/>
          <w:sz w:val="32"/>
        </w:rPr>
        <w:t>具体情况如下：</w:t>
      </w:r>
    </w:p>
    <w:p w14:paraId="0295BAD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BDFEAFE">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公务用车购置及运行维护费1.42万元，其中：公务用车购置费0.00万元，公务用车运行维护费1.42万元。公务用车运行维护费开支内容包括车辆维护修理费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燃油费</w:t>
      </w:r>
      <w:r>
        <w:rPr>
          <w:rFonts w:ascii="仿宋_GB2312" w:hAnsi="仿宋_GB2312" w:eastAsia="仿宋_GB2312"/>
          <w:b w:val="0"/>
          <w:sz w:val="32"/>
        </w:rPr>
        <w:t>。公务用车购置数0辆，公务用车保有量1辆。国有资产占用情况中固定资产车辆0辆，与公务用车保有量差异原因是：</w:t>
      </w:r>
      <w:r>
        <w:rPr>
          <w:rFonts w:hint="eastAsia" w:ascii="仿宋_GB2312" w:hAnsi="仿宋_GB2312" w:eastAsia="仿宋_GB2312"/>
          <w:b w:val="0"/>
          <w:sz w:val="32"/>
          <w:lang w:val="en-US" w:eastAsia="zh-CN"/>
        </w:rPr>
        <w:t>差异车辆为使用</w:t>
      </w:r>
      <w:r>
        <w:rPr>
          <w:rFonts w:ascii="仿宋_GB2312" w:hAnsi="仿宋_GB2312" w:eastAsia="仿宋_GB2312"/>
          <w:b w:val="0"/>
          <w:sz w:val="32"/>
        </w:rPr>
        <w:t>其他单位车辆，车辆费用由本单位</w:t>
      </w:r>
      <w:r>
        <w:rPr>
          <w:rFonts w:hint="eastAsia" w:ascii="仿宋_GB2312" w:hAnsi="仿宋_GB2312" w:eastAsia="仿宋_GB2312"/>
          <w:b w:val="0"/>
          <w:sz w:val="32"/>
          <w:lang w:val="en-US" w:eastAsia="zh-CN"/>
        </w:rPr>
        <w:t>公务用车运行维护费</w:t>
      </w:r>
      <w:r>
        <w:rPr>
          <w:rFonts w:ascii="仿宋_GB2312" w:hAnsi="仿宋_GB2312" w:eastAsia="仿宋_GB2312"/>
          <w:b w:val="0"/>
          <w:sz w:val="32"/>
        </w:rPr>
        <w:t>支付。</w:t>
      </w:r>
    </w:p>
    <w:p w14:paraId="716F569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604C3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0850E793">
      <w:pPr>
        <w:spacing w:line="640" w:lineRule="exact"/>
        <w:ind w:firstLine="640"/>
        <w:jc w:val="both"/>
        <w:outlineLvl w:val="2"/>
      </w:pPr>
      <w:r>
        <w:rPr>
          <w:rFonts w:ascii="黑体" w:hAnsi="黑体" w:eastAsia="黑体"/>
          <w:sz w:val="32"/>
        </w:rPr>
        <w:t>十、其他重要事项的情况说明</w:t>
      </w:r>
    </w:p>
    <w:p w14:paraId="040C18D6">
      <w:pPr>
        <w:spacing w:line="640" w:lineRule="exact"/>
        <w:ind w:firstLine="640"/>
        <w:jc w:val="both"/>
        <w:outlineLvl w:val="3"/>
      </w:pPr>
      <w:r>
        <w:rPr>
          <w:rFonts w:ascii="楷体_GB2312" w:hAnsi="楷体_GB2312" w:eastAsia="楷体_GB2312"/>
          <w:b/>
          <w:sz w:val="32"/>
        </w:rPr>
        <w:t>（一）机关运行经费及公用经费支出情况</w:t>
      </w:r>
    </w:p>
    <w:p w14:paraId="7B9DB221">
      <w:pPr>
        <w:spacing w:line="580" w:lineRule="exact"/>
        <w:ind w:firstLine="640"/>
        <w:jc w:val="both"/>
      </w:pPr>
      <w:r>
        <w:rPr>
          <w:rFonts w:ascii="仿宋_GB2312" w:hAnsi="仿宋_GB2312" w:eastAsia="仿宋_GB2312"/>
          <w:b w:val="0"/>
          <w:sz w:val="32"/>
        </w:rPr>
        <w:t>2024年度叶城县西城区片区管理委员会（行政单位和参照公务员法管理事业单位）机关运行经费支出41.16万元，比上年增加5.69万元，增长16.04%，主要原因是：本年业务量增加，办公等经费增加。</w:t>
      </w:r>
    </w:p>
    <w:p w14:paraId="004403A5">
      <w:pPr>
        <w:spacing w:line="640" w:lineRule="exact"/>
        <w:ind w:firstLine="640"/>
        <w:jc w:val="both"/>
        <w:outlineLvl w:val="3"/>
      </w:pPr>
      <w:r>
        <w:rPr>
          <w:rFonts w:ascii="楷体_GB2312" w:hAnsi="楷体_GB2312" w:eastAsia="楷体_GB2312"/>
          <w:b/>
          <w:sz w:val="32"/>
        </w:rPr>
        <w:t>（二）政府采购情况</w:t>
      </w:r>
    </w:p>
    <w:p w14:paraId="6D6A1C09">
      <w:pPr>
        <w:spacing w:line="580" w:lineRule="exact"/>
        <w:ind w:firstLine="640"/>
        <w:jc w:val="both"/>
      </w:pPr>
      <w:r>
        <w:rPr>
          <w:rFonts w:ascii="仿宋_GB2312" w:hAnsi="仿宋_GB2312" w:eastAsia="仿宋_GB2312"/>
          <w:b w:val="0"/>
          <w:sz w:val="32"/>
        </w:rPr>
        <w:t>2024年度政府采购支出总额17.07万元，其中：政府采购货物支出11.85万元、政府采购工程支出0.00万元、政府采购服务支出5.22万元。</w:t>
      </w:r>
    </w:p>
    <w:p w14:paraId="35A3D8DA">
      <w:pPr>
        <w:spacing w:line="580" w:lineRule="exact"/>
        <w:ind w:firstLine="640"/>
        <w:jc w:val="both"/>
      </w:pPr>
      <w:r>
        <w:rPr>
          <w:rFonts w:ascii="仿宋_GB2312" w:hAnsi="仿宋_GB2312" w:eastAsia="仿宋_GB2312"/>
          <w:b w:val="0"/>
          <w:sz w:val="32"/>
        </w:rPr>
        <w:t>授予中小企业合同金额16.35万元，占政府采购支出总额的95.78%，其中：授予小微企业合同金额16.35万元，占政府采购支出总额的95.78%。</w:t>
      </w:r>
    </w:p>
    <w:p w14:paraId="0FD627B6">
      <w:pPr>
        <w:spacing w:line="640" w:lineRule="exact"/>
        <w:ind w:firstLine="640"/>
        <w:jc w:val="both"/>
        <w:outlineLvl w:val="3"/>
      </w:pPr>
      <w:r>
        <w:rPr>
          <w:rFonts w:ascii="楷体_GB2312" w:hAnsi="楷体_GB2312" w:eastAsia="楷体_GB2312"/>
          <w:b/>
          <w:sz w:val="32"/>
        </w:rPr>
        <w:t>（三）国有资产占用情况说明</w:t>
      </w:r>
    </w:p>
    <w:p w14:paraId="2620974F">
      <w:pPr>
        <w:spacing w:line="580" w:lineRule="exact"/>
        <w:ind w:firstLine="640"/>
        <w:jc w:val="both"/>
      </w:pPr>
      <w:r>
        <w:rPr>
          <w:rFonts w:ascii="仿宋_GB2312" w:hAnsi="仿宋_GB2312" w:eastAsia="仿宋_GB2312"/>
          <w:b w:val="0"/>
          <w:sz w:val="32"/>
        </w:rPr>
        <w:t>截至2024年12月31日，房屋8,135.58平方米，价值1,233.25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AC8862E">
      <w:pPr>
        <w:spacing w:line="640" w:lineRule="exact"/>
        <w:ind w:firstLine="640"/>
        <w:jc w:val="both"/>
        <w:outlineLvl w:val="2"/>
      </w:pPr>
      <w:r>
        <w:rPr>
          <w:rFonts w:ascii="黑体" w:hAnsi="黑体" w:eastAsia="黑体"/>
          <w:sz w:val="32"/>
        </w:rPr>
        <w:t>十一、预算绩效的情况说明</w:t>
      </w:r>
    </w:p>
    <w:p w14:paraId="1718E9C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2,431.65万元，实际执行总额2,417.14万元；预算绩效评价项目3个，全年预算数49.19万元，全年执行数49.19万元。预算绩效管理取得的成效：一是健全管理制度，本单位为加强预算管理，规范财务行为已制定《叶城县西城区预算绩效管理工作实施办法》《叶城县西城区财务管理制度》等健全完整的各项管理制度，有效保障了我单位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我单位预算资金规范运行。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7577A4C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7E97D3">
        <w:tblPrEx>
          <w:tblCellMar>
            <w:top w:w="0" w:type="dxa"/>
            <w:left w:w="108" w:type="dxa"/>
            <w:bottom w:w="0" w:type="dxa"/>
            <w:right w:w="108" w:type="dxa"/>
          </w:tblCellMar>
        </w:tblPrEx>
        <w:tc>
          <w:tcPr>
            <w:tcW w:w="8847" w:type="dxa"/>
            <w:gridSpan w:val="9"/>
            <w:vAlign w:val="center"/>
          </w:tcPr>
          <w:p w14:paraId="381E67B0">
            <w:pPr>
              <w:jc w:val="center"/>
            </w:pPr>
            <w:r>
              <w:rPr>
                <w:rFonts w:ascii="宋体" w:hAnsi="宋体" w:eastAsia="宋体"/>
                <w:sz w:val="24"/>
              </w:rPr>
              <w:t>单位整体支出绩效自评表</w:t>
            </w:r>
          </w:p>
        </w:tc>
      </w:tr>
      <w:tr w14:paraId="31F8D30D">
        <w:tblPrEx>
          <w:tblCellMar>
            <w:top w:w="0" w:type="dxa"/>
            <w:left w:w="108" w:type="dxa"/>
            <w:bottom w:w="0" w:type="dxa"/>
            <w:right w:w="108" w:type="dxa"/>
          </w:tblCellMar>
        </w:tblPrEx>
        <w:tc>
          <w:tcPr>
            <w:tcW w:w="8847" w:type="dxa"/>
            <w:gridSpan w:val="9"/>
            <w:vAlign w:val="center"/>
          </w:tcPr>
          <w:p w14:paraId="4BBD0392">
            <w:pPr>
              <w:jc w:val="center"/>
            </w:pPr>
            <w:r>
              <w:rPr>
                <w:rFonts w:ascii="宋体" w:hAnsi="宋体" w:eastAsia="宋体"/>
                <w:sz w:val="24"/>
              </w:rPr>
              <w:t>（2024年度）</w:t>
            </w:r>
          </w:p>
        </w:tc>
      </w:tr>
      <w:tr w14:paraId="4774F3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57D9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E8E48F">
            <w:pPr>
              <w:jc w:val="center"/>
            </w:pPr>
            <w:r>
              <w:rPr>
                <w:rFonts w:ascii="宋体" w:hAnsi="宋体" w:eastAsia="宋体"/>
                <w:sz w:val="16"/>
              </w:rPr>
              <w:t>叶城县西城区片区管理委员会</w:t>
            </w:r>
          </w:p>
        </w:tc>
      </w:tr>
      <w:tr w14:paraId="559623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2179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1A66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8082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07C5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EE56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032A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8532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301AD">
            <w:pPr>
              <w:jc w:val="center"/>
            </w:pPr>
            <w:r>
              <w:rPr>
                <w:rFonts w:ascii="宋体" w:hAnsi="宋体" w:eastAsia="宋体"/>
                <w:sz w:val="16"/>
              </w:rPr>
              <w:t>得分</w:t>
            </w:r>
          </w:p>
        </w:tc>
      </w:tr>
      <w:tr w14:paraId="0FD47F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B03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AE4A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518C0">
            <w:pPr>
              <w:jc w:val="center"/>
            </w:pPr>
            <w:r>
              <w:rPr>
                <w:rFonts w:ascii="宋体" w:hAnsi="宋体" w:eastAsia="宋体"/>
                <w:sz w:val="16"/>
              </w:rPr>
              <w:t>2,440.64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7D2A5">
            <w:pPr>
              <w:jc w:val="center"/>
            </w:pPr>
            <w:r>
              <w:rPr>
                <w:rFonts w:ascii="宋体" w:hAnsi="宋体" w:eastAsia="宋体"/>
                <w:sz w:val="16"/>
              </w:rPr>
              <w:t>2,431.65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421CE">
            <w:pPr>
              <w:jc w:val="center"/>
            </w:pPr>
            <w:r>
              <w:rPr>
                <w:rFonts w:ascii="宋体" w:hAnsi="宋体" w:eastAsia="宋体"/>
                <w:sz w:val="16"/>
              </w:rPr>
              <w:t>2,417.14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733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A3827">
            <w:pPr>
              <w:jc w:val="center"/>
            </w:pPr>
            <w:r>
              <w:rPr>
                <w:rFonts w:ascii="宋体" w:hAnsi="宋体" w:eastAsia="宋体"/>
                <w:sz w:val="16"/>
              </w:rPr>
              <w:t>99.40%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529B0">
            <w:pPr>
              <w:jc w:val="center"/>
            </w:pPr>
            <w:r>
              <w:rPr>
                <w:rFonts w:ascii="宋体" w:hAnsi="宋体" w:eastAsia="宋体"/>
                <w:sz w:val="16"/>
              </w:rPr>
              <w:t>10</w:t>
            </w:r>
          </w:p>
        </w:tc>
      </w:tr>
      <w:tr w14:paraId="0B105F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1F8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7D21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1D60">
            <w:pPr>
              <w:jc w:val="center"/>
            </w:pPr>
            <w:r>
              <w:rPr>
                <w:rFonts w:ascii="宋体" w:hAnsi="宋体" w:eastAsia="宋体"/>
                <w:sz w:val="16"/>
              </w:rPr>
              <w:t>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125DA">
            <w:pPr>
              <w:jc w:val="center"/>
            </w:pPr>
            <w:r>
              <w:rPr>
                <w:rFonts w:ascii="宋体" w:hAnsi="宋体" w:eastAsia="宋体"/>
                <w:sz w:val="16"/>
              </w:rPr>
              <w:t>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AFB6B">
            <w:pPr>
              <w:jc w:val="center"/>
            </w:pPr>
            <w:r>
              <w:rPr>
                <w:rFonts w:ascii="宋体" w:hAnsi="宋体" w:eastAsia="宋体"/>
                <w:sz w:val="16"/>
              </w:rPr>
              <w:t>116.30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18E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9783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B51C6">
            <w:pPr>
              <w:jc w:val="center"/>
            </w:pPr>
            <w:r>
              <w:rPr>
                <w:rFonts w:ascii="宋体" w:hAnsi="宋体" w:eastAsia="宋体"/>
                <w:sz w:val="16"/>
              </w:rPr>
              <w:t>—</w:t>
            </w:r>
          </w:p>
        </w:tc>
      </w:tr>
      <w:tr w14:paraId="3128A0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EB6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F20E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6D682">
            <w:pPr>
              <w:jc w:val="center"/>
            </w:pPr>
            <w:r>
              <w:rPr>
                <w:rFonts w:ascii="宋体" w:hAnsi="宋体" w:eastAsia="宋体"/>
                <w:sz w:val="16"/>
              </w:rPr>
              <w:t>2,439.68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70116">
            <w:pPr>
              <w:jc w:val="center"/>
            </w:pPr>
            <w:r>
              <w:rPr>
                <w:rFonts w:ascii="宋体" w:hAnsi="宋体" w:eastAsia="宋体"/>
                <w:sz w:val="16"/>
              </w:rPr>
              <w:t>2,430.69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7C76">
            <w:pPr>
              <w:jc w:val="center"/>
            </w:pPr>
            <w:r>
              <w:rPr>
                <w:rFonts w:ascii="宋体" w:hAnsi="宋体" w:eastAsia="宋体"/>
                <w:sz w:val="16"/>
              </w:rPr>
              <w:t>2,300.84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699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AA41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046EB">
            <w:pPr>
              <w:jc w:val="center"/>
            </w:pPr>
            <w:r>
              <w:rPr>
                <w:rFonts w:ascii="宋体" w:hAnsi="宋体" w:eastAsia="宋体"/>
                <w:sz w:val="16"/>
              </w:rPr>
              <w:t>—</w:t>
            </w:r>
          </w:p>
        </w:tc>
      </w:tr>
      <w:tr w14:paraId="3FFD35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089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431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2F3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762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DE1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14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FC86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9041D">
            <w:pPr>
              <w:jc w:val="center"/>
            </w:pPr>
            <w:r>
              <w:rPr>
                <w:rFonts w:ascii="宋体" w:hAnsi="宋体" w:eastAsia="宋体"/>
                <w:sz w:val="16"/>
              </w:rPr>
              <w:t>—</w:t>
            </w:r>
          </w:p>
        </w:tc>
      </w:tr>
      <w:tr w14:paraId="2DA2D4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61A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2652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5EF9D3">
            <w:pPr>
              <w:jc w:val="center"/>
            </w:pPr>
            <w:r>
              <w:rPr>
                <w:rFonts w:ascii="宋体" w:hAnsi="宋体" w:eastAsia="宋体"/>
                <w:sz w:val="16"/>
              </w:rPr>
              <w:t>实际完成情况</w:t>
            </w:r>
          </w:p>
        </w:tc>
      </w:tr>
      <w:tr w14:paraId="31BE15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9ECB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A75530">
            <w:pPr>
              <w:jc w:val="both"/>
            </w:pPr>
            <w:r>
              <w:rPr>
                <w:rFonts w:ascii="宋体" w:hAnsi="宋体" w:eastAsia="宋体"/>
                <w:sz w:val="16"/>
              </w:rPr>
              <w:t>目标1：保障叶城县西城区片区管理</w:t>
            </w:r>
            <w:r>
              <w:rPr>
                <w:rFonts w:hint="eastAsia" w:ascii="宋体" w:hAnsi="宋体"/>
                <w:sz w:val="16"/>
                <w:lang w:eastAsia="zh-CN"/>
              </w:rPr>
              <w:t>委员会</w:t>
            </w:r>
            <w:r>
              <w:rPr>
                <w:rFonts w:ascii="宋体" w:hAnsi="宋体" w:eastAsia="宋体"/>
                <w:sz w:val="16"/>
              </w:rPr>
              <w:t>在职117人（其中3人是在职退休人员）工资正常发放，社保、医保、公积金正常缴纳。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目标2：保障叶城县西城区片区管理</w:t>
            </w:r>
            <w:r>
              <w:rPr>
                <w:rFonts w:hint="eastAsia" w:ascii="宋体" w:hAnsi="宋体"/>
                <w:sz w:val="16"/>
                <w:lang w:eastAsia="zh-CN"/>
              </w:rPr>
              <w:t>委员会</w:t>
            </w:r>
            <w:r>
              <w:rPr>
                <w:rFonts w:ascii="宋体" w:hAnsi="宋体" w:eastAsia="宋体"/>
                <w:sz w:val="16"/>
              </w:rPr>
              <w:t>退休2人补助正常发放。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目标3：保障叶城县西城区片区管理</w:t>
            </w:r>
            <w:r>
              <w:rPr>
                <w:rFonts w:hint="eastAsia" w:ascii="宋体" w:hAnsi="宋体"/>
                <w:sz w:val="16"/>
                <w:lang w:eastAsia="zh-CN"/>
              </w:rPr>
              <w:t>委员会</w:t>
            </w:r>
            <w:r>
              <w:rPr>
                <w:rFonts w:ascii="宋体" w:hAnsi="宋体" w:eastAsia="宋体"/>
                <w:sz w:val="16"/>
              </w:rPr>
              <w:t>全年正常运转。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目标4：国有企业退休人员社会化管理项目正常开展。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目标5：2023年</w:t>
            </w:r>
            <w:r>
              <w:rPr>
                <w:rFonts w:hint="eastAsia" w:ascii="宋体" w:hAnsi="宋体"/>
                <w:sz w:val="16"/>
                <w:lang w:eastAsia="zh-CN"/>
              </w:rPr>
              <w:t>ZCGS</w:t>
            </w:r>
            <w:r>
              <w:rPr>
                <w:rFonts w:ascii="宋体" w:hAnsi="宋体" w:eastAsia="宋体"/>
                <w:sz w:val="16"/>
              </w:rPr>
              <w:t>管委会经费项目正常开展。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坚持“一社区一品牌”工作思路，在实用性、长效性上下功夫。不断优化党群服务中心综合使用率，推进“两新”组织、物业服务和物业服务企业党建全覆盖。以贯彻落实党的二十大精神，以习近平新时代中国特色社会主义思想为指导，坚决贯彻执行党</w:t>
            </w:r>
            <w:bookmarkStart w:id="0" w:name="_GoBack"/>
            <w:r>
              <w:rPr>
                <w:rFonts w:ascii="宋体" w:hAnsi="宋体" w:eastAsia="宋体"/>
                <w:sz w:val="16"/>
              </w:rPr>
              <w:t>中央</w:t>
            </w:r>
            <w:bookmarkEnd w:id="0"/>
            <w:r>
              <w:rPr>
                <w:rFonts w:ascii="宋体" w:hAnsi="宋体" w:eastAsia="宋体"/>
                <w:sz w:val="16"/>
              </w:rPr>
              <w:t>、国务院、自治区、地区及县委、县人民政府的有关方面政策指示，把党的各项优惠政策落实到实处，负责全区经济社会发展、社会事务管理、安全、基层组织建设等全面工作。以全面建设社会主义新社区为根本出发点，不断深化美丽社区建设为总目标，不断铸牢全区经济社会发展基础，为全区各族群众提供社会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5390D">
            <w:pPr>
              <w:jc w:val="both"/>
            </w:pPr>
            <w:r>
              <w:rPr>
                <w:rFonts w:hint="eastAsia" w:ascii="宋体" w:hAnsi="宋体"/>
                <w:sz w:val="16"/>
                <w:lang w:eastAsia="zh-CN"/>
              </w:rPr>
              <w:t>截至2024</w:t>
            </w:r>
            <w:r>
              <w:rPr>
                <w:rFonts w:ascii="宋体" w:hAnsi="宋体" w:eastAsia="宋体"/>
                <w:sz w:val="16"/>
              </w:rPr>
              <w:t>年12月31</w:t>
            </w:r>
            <w:r>
              <w:rPr>
                <w:rFonts w:hint="eastAsia" w:ascii="宋体" w:hAnsi="宋体"/>
                <w:sz w:val="16"/>
                <w:lang w:eastAsia="zh-CN"/>
              </w:rPr>
              <w:t>日</w:t>
            </w:r>
            <w:r>
              <w:rPr>
                <w:rFonts w:ascii="宋体" w:hAnsi="宋体" w:eastAsia="宋体"/>
                <w:sz w:val="16"/>
              </w:rPr>
              <w:t>，通过西城区党校，利用各类媒体、党课、同台竞技等方式对89名楼栋长、9名三岗十八级人员、36名全岗通人员开展专题培训，开展“擂台大比武，能力大提升”活动6次，切实提高党员干部的政治理论素养。组织各支部开展集中学习360余场次、“党旗映天山”主题党日活动108场次。深入开展党纪</w:t>
            </w:r>
            <w:r>
              <w:rPr>
                <w:rFonts w:hint="eastAsia" w:ascii="宋体" w:hAnsi="宋体"/>
                <w:sz w:val="16"/>
                <w:lang w:eastAsia="zh-CN"/>
              </w:rPr>
              <w:t>主题</w:t>
            </w:r>
            <w:r>
              <w:rPr>
                <w:rFonts w:ascii="宋体" w:hAnsi="宋体" w:eastAsia="宋体"/>
                <w:sz w:val="16"/>
              </w:rPr>
              <w:t>教育，围绕党的“六大纪律”开展专题研讨4场次，研讨发言180余人次，受教育人数达到2324人次，提升了党员干部的工作能力和执行力。新发展党员23名，按期转正党员26名，新发展团员9名，团员推优入党7名，培养社区后备干部36名。召开党建工作例会11场次。创建地区级、县级“五个好”标准化规范化基层党支部示范点各1个。以“八进社区”为目标，打造石榴籽服务站示范点2个。组织各团支部开展文体活动72场次、主题团日活动108场次，引导团员积极向党组织靠拢。聚焦群众身边不正之风和腐败问题集中整治，召开专题作风建设推进会2场次，通报干部作风问题9条，整改9条，问题线索3条，责令检查1人，给予党纪处分2人。</w:t>
            </w:r>
          </w:p>
        </w:tc>
      </w:tr>
      <w:tr w14:paraId="347534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1F27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34EA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3CA6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A61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B6AF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A5E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D584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A288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58EDB">
            <w:pPr>
              <w:jc w:val="center"/>
            </w:pPr>
            <w:r>
              <w:rPr>
                <w:rFonts w:ascii="宋体" w:hAnsi="宋体" w:eastAsia="宋体"/>
                <w:sz w:val="16"/>
              </w:rPr>
              <w:t>得分</w:t>
            </w:r>
          </w:p>
        </w:tc>
      </w:tr>
      <w:tr w14:paraId="6529CA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59E5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7569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844A4">
            <w:pPr>
              <w:jc w:val="center"/>
            </w:pPr>
            <w:r>
              <w:rPr>
                <w:rFonts w:ascii="宋体" w:hAnsi="宋体" w:eastAsia="宋体"/>
                <w:sz w:val="16"/>
              </w:rPr>
              <w:t>保障在职人员</w:t>
            </w:r>
            <w:r>
              <w:rPr>
                <w:rFonts w:hint="eastAsia" w:ascii="宋体" w:hAnsi="宋体"/>
                <w:sz w:val="16"/>
                <w:lang w:eastAsia="zh-CN"/>
              </w:rPr>
              <w:t>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1389D">
            <w:pPr>
              <w:jc w:val="center"/>
            </w:pPr>
            <w:r>
              <w:rPr>
                <w:rFonts w:ascii="宋体" w:hAnsi="宋体" w:eastAsia="宋体"/>
                <w:sz w:val="16"/>
              </w:rPr>
              <w:t>&gt;=114个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AC20D">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9DDE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811FA">
            <w:pPr>
              <w:jc w:val="center"/>
            </w:pPr>
            <w:r>
              <w:rPr>
                <w:rFonts w:ascii="宋体" w:hAnsi="宋体" w:eastAsia="宋体"/>
                <w:sz w:val="16"/>
              </w:rPr>
              <w:t>=106个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C1F3D">
            <w:pPr>
              <w:jc w:val="center"/>
            </w:pPr>
            <w:r>
              <w:rPr>
                <w:rFonts w:ascii="宋体" w:hAnsi="宋体" w:eastAsia="宋体"/>
                <w:sz w:val="16"/>
              </w:rPr>
              <w:t>92.9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1E73F">
            <w:pPr>
              <w:jc w:val="center"/>
            </w:pPr>
            <w:r>
              <w:rPr>
                <w:rFonts w:ascii="宋体" w:hAnsi="宋体" w:eastAsia="宋体"/>
                <w:sz w:val="16"/>
              </w:rPr>
              <w:t>13.9</w:t>
            </w:r>
          </w:p>
        </w:tc>
      </w:tr>
      <w:tr w14:paraId="5E8C46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CF9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C62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C0EB1">
            <w:pPr>
              <w:jc w:val="center"/>
            </w:pPr>
            <w:r>
              <w:rPr>
                <w:rFonts w:ascii="宋体" w:hAnsi="宋体" w:eastAsia="宋体"/>
                <w:sz w:val="16"/>
              </w:rPr>
              <w:t>保障退休人员人数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390CC">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1334">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5A7B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48DE2">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9C02">
            <w:pPr>
              <w:jc w:val="center"/>
            </w:pPr>
            <w:r>
              <w:rPr>
                <w:rFonts w:ascii="宋体" w:hAnsi="宋体" w:eastAsia="宋体"/>
                <w:sz w:val="16"/>
              </w:rPr>
              <w:t>166.67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D92A7">
            <w:pPr>
              <w:jc w:val="center"/>
            </w:pPr>
            <w:r>
              <w:rPr>
                <w:rFonts w:ascii="宋体" w:hAnsi="宋体" w:eastAsia="宋体"/>
                <w:sz w:val="16"/>
              </w:rPr>
              <w:t>15</w:t>
            </w:r>
          </w:p>
        </w:tc>
      </w:tr>
      <w:tr w14:paraId="65E354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4E8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196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6AEE0">
            <w:pPr>
              <w:jc w:val="center"/>
            </w:pPr>
            <w:r>
              <w:rPr>
                <w:rFonts w:ascii="宋体" w:hAnsi="宋体" w:eastAsia="宋体"/>
                <w:sz w:val="16"/>
              </w:rPr>
              <w:t>收集化解困难诉求数量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BE65D">
            <w:pPr>
              <w:jc w:val="center"/>
            </w:pPr>
            <w:r>
              <w:rPr>
                <w:rFonts w:ascii="宋体" w:hAnsi="宋体" w:eastAsia="宋体"/>
                <w:sz w:val="16"/>
              </w:rPr>
              <w:t>&gt;=120条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86719">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C649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402FC">
            <w:pPr>
              <w:jc w:val="center"/>
            </w:pPr>
            <w:r>
              <w:rPr>
                <w:rFonts w:ascii="宋体" w:hAnsi="宋体" w:eastAsia="宋体"/>
                <w:sz w:val="16"/>
              </w:rPr>
              <w:t>=120条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9F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7D6A3">
            <w:pPr>
              <w:jc w:val="center"/>
            </w:pPr>
            <w:r>
              <w:rPr>
                <w:rFonts w:ascii="宋体" w:hAnsi="宋体" w:eastAsia="宋体"/>
                <w:sz w:val="16"/>
              </w:rPr>
              <w:t>15</w:t>
            </w:r>
          </w:p>
        </w:tc>
      </w:tr>
      <w:tr w14:paraId="7F172F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C75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70E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B6CEE">
            <w:pPr>
              <w:jc w:val="center"/>
            </w:pPr>
            <w:r>
              <w:rPr>
                <w:rFonts w:ascii="宋体" w:hAnsi="宋体" w:eastAsia="宋体"/>
                <w:sz w:val="16"/>
              </w:rPr>
              <w:t>组织学习宣讲活动次数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053A">
            <w:pPr>
              <w:jc w:val="center"/>
            </w:pPr>
            <w:r>
              <w:rPr>
                <w:rFonts w:ascii="宋体" w:hAnsi="宋体" w:eastAsia="宋体"/>
                <w:sz w:val="16"/>
              </w:rPr>
              <w:t>&gt;=130场次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A9A00">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3CA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4F923">
            <w:pPr>
              <w:jc w:val="center"/>
            </w:pPr>
            <w:r>
              <w:rPr>
                <w:rFonts w:ascii="宋体" w:hAnsi="宋体" w:eastAsia="宋体"/>
                <w:sz w:val="16"/>
              </w:rPr>
              <w:t>=130场次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CEC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488B0">
            <w:pPr>
              <w:jc w:val="center"/>
            </w:pPr>
            <w:r>
              <w:rPr>
                <w:rFonts w:ascii="宋体" w:hAnsi="宋体" w:eastAsia="宋体"/>
                <w:sz w:val="16"/>
              </w:rPr>
              <w:t>15</w:t>
            </w:r>
          </w:p>
        </w:tc>
      </w:tr>
      <w:tr w14:paraId="7EDEE0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026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F0F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34AB4">
            <w:pPr>
              <w:jc w:val="center"/>
            </w:pPr>
            <w:r>
              <w:rPr>
                <w:rFonts w:ascii="宋体" w:hAnsi="宋体" w:eastAsia="宋体"/>
                <w:sz w:val="16"/>
              </w:rPr>
              <w:t>保障救助群体人数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5525F">
            <w:pPr>
              <w:jc w:val="center"/>
            </w:pPr>
            <w:r>
              <w:rPr>
                <w:rFonts w:ascii="宋体" w:hAnsi="宋体" w:eastAsia="宋体"/>
                <w:sz w:val="16"/>
              </w:rPr>
              <w:t>&gt;=100人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57F97">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24D4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ADE33">
            <w:pPr>
              <w:jc w:val="center"/>
            </w:pPr>
            <w:r>
              <w:rPr>
                <w:rFonts w:ascii="宋体" w:hAnsi="宋体" w:eastAsia="宋体"/>
                <w:sz w:val="16"/>
              </w:rPr>
              <w: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C97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BB312">
            <w:pPr>
              <w:jc w:val="center"/>
            </w:pPr>
            <w:r>
              <w:rPr>
                <w:rFonts w:ascii="宋体" w:hAnsi="宋体" w:eastAsia="宋体"/>
                <w:sz w:val="16"/>
              </w:rPr>
              <w:t>15</w:t>
            </w:r>
          </w:p>
        </w:tc>
      </w:tr>
      <w:tr w14:paraId="286FCE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428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919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AB5E3">
            <w:pPr>
              <w:jc w:val="center"/>
            </w:pPr>
            <w:r>
              <w:rPr>
                <w:rFonts w:ascii="宋体" w:hAnsi="宋体" w:eastAsia="宋体"/>
                <w:sz w:val="16"/>
              </w:rPr>
              <w:t>保障公车运行数量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0F1A0">
            <w:pPr>
              <w:jc w:val="center"/>
            </w:pPr>
            <w:r>
              <w:rPr>
                <w:rFonts w:ascii="宋体" w:hAnsi="宋体" w:eastAsia="宋体"/>
                <w:sz w:val="16"/>
              </w:rPr>
              <w:t>&gt;=1辆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2677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60BF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9C098">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898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62CE6">
            <w:pPr>
              <w:jc w:val="center"/>
            </w:pPr>
            <w:r>
              <w:rPr>
                <w:rFonts w:ascii="宋体" w:hAnsi="宋体" w:eastAsia="宋体"/>
                <w:sz w:val="16"/>
              </w:rPr>
              <w:t>15</w:t>
            </w:r>
          </w:p>
        </w:tc>
      </w:tr>
    </w:tbl>
    <w:p w14:paraId="33CA43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F41EC5F">
        <w:tblPrEx>
          <w:tblCellMar>
            <w:top w:w="0" w:type="dxa"/>
            <w:left w:w="108" w:type="dxa"/>
            <w:bottom w:w="0" w:type="dxa"/>
            <w:right w:w="108" w:type="dxa"/>
          </w:tblCellMar>
        </w:tblPrEx>
        <w:tc>
          <w:tcPr>
            <w:tcW w:w="8848" w:type="dxa"/>
            <w:gridSpan w:val="14"/>
            <w:vAlign w:val="center"/>
          </w:tcPr>
          <w:p w14:paraId="3AB1E5BA">
            <w:pPr>
              <w:jc w:val="center"/>
            </w:pPr>
            <w:r>
              <w:rPr>
                <w:rFonts w:ascii="宋体" w:hAnsi="宋体" w:eastAsia="宋体"/>
                <w:sz w:val="24"/>
              </w:rPr>
              <w:t>项目支出绩效自评表</w:t>
            </w:r>
          </w:p>
        </w:tc>
      </w:tr>
      <w:tr w14:paraId="778F6F11">
        <w:tblPrEx>
          <w:tblCellMar>
            <w:top w:w="0" w:type="dxa"/>
            <w:left w:w="108" w:type="dxa"/>
            <w:bottom w:w="0" w:type="dxa"/>
            <w:right w:w="108" w:type="dxa"/>
          </w:tblCellMar>
        </w:tblPrEx>
        <w:tc>
          <w:tcPr>
            <w:tcW w:w="8848" w:type="dxa"/>
            <w:gridSpan w:val="14"/>
            <w:vAlign w:val="center"/>
          </w:tcPr>
          <w:p w14:paraId="1BEEB286">
            <w:pPr>
              <w:jc w:val="center"/>
            </w:pPr>
            <w:r>
              <w:rPr>
                <w:rFonts w:ascii="宋体" w:hAnsi="宋体" w:eastAsia="宋体"/>
                <w:sz w:val="24"/>
              </w:rPr>
              <w:t>(2024年度)</w:t>
            </w:r>
          </w:p>
        </w:tc>
      </w:tr>
      <w:tr w14:paraId="137622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37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96FE94">
            <w:pPr>
              <w:jc w:val="center"/>
            </w:pPr>
            <w:r>
              <w:rPr>
                <w:rFonts w:ascii="宋体" w:hAnsi="宋体" w:eastAsia="宋体"/>
                <w:sz w:val="16"/>
              </w:rPr>
              <w:t>叶城县西城区疾病防治经费（整改）项目</w:t>
            </w:r>
          </w:p>
        </w:tc>
      </w:tr>
      <w:tr w14:paraId="391EC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61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DFAEE1">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6B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15452F">
            <w:pPr>
              <w:jc w:val="center"/>
            </w:pPr>
            <w:r>
              <w:rPr>
                <w:rFonts w:ascii="宋体" w:hAnsi="宋体" w:eastAsia="宋体"/>
                <w:sz w:val="16"/>
              </w:rPr>
              <w:t>叶城县西城区片区管理委员会</w:t>
            </w:r>
          </w:p>
        </w:tc>
      </w:tr>
      <w:tr w14:paraId="141DB7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875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C4B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542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7A9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E18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E05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A4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6D74">
            <w:pPr>
              <w:jc w:val="center"/>
            </w:pPr>
            <w:r>
              <w:rPr>
                <w:rFonts w:ascii="宋体" w:hAnsi="宋体" w:eastAsia="宋体"/>
                <w:sz w:val="16"/>
              </w:rPr>
              <w:t>得分</w:t>
            </w:r>
          </w:p>
        </w:tc>
      </w:tr>
      <w:tr w14:paraId="27E70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697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69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B7630">
            <w:pPr>
              <w:jc w:val="center"/>
            </w:pPr>
            <w:r>
              <w:rPr>
                <w:rFonts w:ascii="宋体" w:hAnsi="宋体" w:eastAsia="宋体"/>
                <w:sz w:val="16"/>
              </w:rPr>
              <w:t>8.98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834D4">
            <w:pPr>
              <w:jc w:val="center"/>
            </w:pPr>
            <w:r>
              <w:rPr>
                <w:rFonts w:ascii="宋体" w:hAnsi="宋体" w:eastAsia="宋体"/>
                <w:sz w:val="16"/>
              </w:rPr>
              <w:t>8.98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D7E08">
            <w:pPr>
              <w:jc w:val="center"/>
            </w:pPr>
            <w:r>
              <w:rPr>
                <w:rFonts w:ascii="宋体" w:hAnsi="宋体" w:eastAsia="宋体"/>
                <w:sz w:val="16"/>
              </w:rPr>
              <w:t>8.98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755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BD7C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8959">
            <w:pPr>
              <w:jc w:val="center"/>
            </w:pPr>
            <w:r>
              <w:rPr>
                <w:rFonts w:ascii="宋体" w:hAnsi="宋体" w:eastAsia="宋体"/>
                <w:sz w:val="16"/>
              </w:rPr>
              <w:t>10.00分</w:t>
            </w:r>
          </w:p>
        </w:tc>
      </w:tr>
      <w:tr w14:paraId="6A158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9DF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A1F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6AC2C">
            <w:pPr>
              <w:jc w:val="center"/>
            </w:pPr>
            <w:r>
              <w:rPr>
                <w:rFonts w:ascii="宋体" w:hAnsi="宋体" w:eastAsia="宋体"/>
                <w:sz w:val="16"/>
              </w:rPr>
              <w:t>8.98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E423C">
            <w:pPr>
              <w:jc w:val="center"/>
            </w:pPr>
            <w:r>
              <w:rPr>
                <w:rFonts w:ascii="宋体" w:hAnsi="宋体" w:eastAsia="宋体"/>
                <w:sz w:val="16"/>
              </w:rPr>
              <w:t>8.98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0A48">
            <w:pPr>
              <w:jc w:val="center"/>
            </w:pPr>
            <w:r>
              <w:rPr>
                <w:rFonts w:ascii="宋体" w:hAnsi="宋体" w:eastAsia="宋体"/>
                <w:sz w:val="16"/>
              </w:rPr>
              <w:t>8.98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9D6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3FE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33FC">
            <w:pPr>
              <w:jc w:val="center"/>
            </w:pPr>
            <w:r>
              <w:rPr>
                <w:rFonts w:ascii="宋体" w:hAnsi="宋体" w:eastAsia="宋体"/>
                <w:sz w:val="16"/>
              </w:rPr>
              <w:t>—</w:t>
            </w:r>
          </w:p>
        </w:tc>
      </w:tr>
      <w:tr w14:paraId="134C6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48D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C3B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C0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4BD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D1A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064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99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159B">
            <w:pPr>
              <w:jc w:val="center"/>
            </w:pPr>
            <w:r>
              <w:rPr>
                <w:rFonts w:ascii="宋体" w:hAnsi="宋体" w:eastAsia="宋体"/>
                <w:sz w:val="16"/>
              </w:rPr>
              <w:t>—</w:t>
            </w:r>
          </w:p>
        </w:tc>
      </w:tr>
      <w:tr w14:paraId="73E10E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1DC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580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FCA8A4">
            <w:pPr>
              <w:jc w:val="center"/>
            </w:pPr>
            <w:r>
              <w:rPr>
                <w:rFonts w:ascii="宋体" w:hAnsi="宋体" w:eastAsia="宋体"/>
                <w:sz w:val="16"/>
              </w:rPr>
              <w:t>实际完成情况</w:t>
            </w:r>
          </w:p>
        </w:tc>
      </w:tr>
      <w:tr w14:paraId="11B3E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2DF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080F0">
            <w:pPr>
              <w:jc w:val="both"/>
            </w:pPr>
            <w:r>
              <w:rPr>
                <w:rFonts w:ascii="宋体" w:hAnsi="宋体" w:eastAsia="宋体"/>
                <w:sz w:val="16"/>
              </w:rPr>
              <w:t>叶城县</w:t>
            </w:r>
            <w:r>
              <w:rPr>
                <w:rFonts w:hint="eastAsia" w:ascii="宋体" w:hAnsi="宋体"/>
                <w:sz w:val="16"/>
                <w:lang w:eastAsia="zh-CN"/>
              </w:rPr>
              <w:t>YQ</w:t>
            </w:r>
            <w:r>
              <w:rPr>
                <w:rFonts w:ascii="宋体" w:hAnsi="宋体" w:eastAsia="宋体"/>
                <w:sz w:val="16"/>
              </w:rPr>
              <w:t>防控工作经费8.98万元，用于保障</w:t>
            </w:r>
            <w:r>
              <w:rPr>
                <w:rFonts w:hint="eastAsia" w:ascii="宋体" w:hAnsi="宋体"/>
                <w:sz w:val="16"/>
                <w:lang w:eastAsia="zh-CN"/>
              </w:rPr>
              <w:t>YQ</w:t>
            </w:r>
            <w:r>
              <w:rPr>
                <w:rFonts w:ascii="宋体" w:hAnsi="宋体" w:eastAsia="宋体"/>
                <w:sz w:val="16"/>
              </w:rPr>
              <w:t>防控，防止</w:t>
            </w:r>
            <w:r>
              <w:rPr>
                <w:rFonts w:hint="eastAsia" w:ascii="宋体" w:hAnsi="宋体"/>
                <w:sz w:val="16"/>
                <w:lang w:eastAsia="zh-CN"/>
              </w:rPr>
              <w:t>YQ</w:t>
            </w:r>
            <w:r>
              <w:rPr>
                <w:rFonts w:ascii="宋体" w:hAnsi="宋体" w:eastAsia="宋体"/>
                <w:sz w:val="16"/>
              </w:rPr>
              <w:t>扩散，群众生命安全得到保障。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D166B6">
            <w:pPr>
              <w:jc w:val="both"/>
            </w:pPr>
            <w:r>
              <w:rPr>
                <w:rFonts w:hint="eastAsia" w:ascii="宋体" w:hAnsi="宋体"/>
                <w:sz w:val="16"/>
                <w:lang w:eastAsia="zh-CN"/>
              </w:rPr>
              <w:t>截至</w:t>
            </w:r>
            <w:r>
              <w:rPr>
                <w:rFonts w:ascii="宋体" w:hAnsi="宋体" w:eastAsia="宋体"/>
                <w:sz w:val="16"/>
              </w:rPr>
              <w:t>2024年8月31日，该项目预算资金8.98万元，到位资金8.98万元，资金到位率100%，已支付8.98万元，资金执行率100%，主要用于保障</w:t>
            </w:r>
            <w:r>
              <w:rPr>
                <w:rFonts w:hint="eastAsia" w:ascii="宋体" w:hAnsi="宋体"/>
                <w:sz w:val="16"/>
                <w:lang w:eastAsia="zh-CN"/>
              </w:rPr>
              <w:t>YQ</w:t>
            </w:r>
            <w:r>
              <w:rPr>
                <w:rFonts w:ascii="宋体" w:hAnsi="宋体" w:eastAsia="宋体"/>
                <w:sz w:val="16"/>
              </w:rPr>
              <w:t>防控，防止</w:t>
            </w:r>
            <w:r>
              <w:rPr>
                <w:rFonts w:hint="eastAsia" w:ascii="宋体" w:hAnsi="宋体"/>
                <w:sz w:val="16"/>
                <w:lang w:eastAsia="zh-CN"/>
              </w:rPr>
              <w:t>YQ</w:t>
            </w:r>
            <w:r>
              <w:rPr>
                <w:rFonts w:ascii="宋体" w:hAnsi="宋体" w:eastAsia="宋体"/>
                <w:sz w:val="16"/>
              </w:rPr>
              <w:t>扩散，项目的实施有效保障群众生命安全。</w:t>
            </w:r>
          </w:p>
        </w:tc>
      </w:tr>
      <w:tr w14:paraId="6BAAD5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7D49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CC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5B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9A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FA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D8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89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FB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10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0B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A7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9E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079E">
            <w:pPr>
              <w:jc w:val="center"/>
            </w:pPr>
            <w:r>
              <w:rPr>
                <w:rFonts w:ascii="宋体" w:hAnsi="宋体" w:eastAsia="宋体"/>
                <w:sz w:val="16"/>
              </w:rPr>
              <w:t>偏差原因分析及改进措施</w:t>
            </w:r>
          </w:p>
        </w:tc>
      </w:tr>
      <w:tr w14:paraId="27319B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628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67B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01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FBEB">
            <w:pPr>
              <w:jc w:val="center"/>
            </w:pPr>
            <w:r>
              <w:rPr>
                <w:rFonts w:ascii="宋体" w:hAnsi="宋体" w:eastAsia="宋体"/>
                <w:sz w:val="16"/>
              </w:rPr>
              <w:t>覆盖社区（个）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167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6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5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97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B1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3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078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7B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03204">
            <w:pPr>
              <w:jc w:val="center"/>
            </w:pPr>
          </w:p>
        </w:tc>
      </w:tr>
      <w:tr w14:paraId="7F541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44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03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1A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B2DA">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9E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6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38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2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4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3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4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05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2FE0">
            <w:pPr>
              <w:jc w:val="center"/>
            </w:pPr>
          </w:p>
        </w:tc>
      </w:tr>
      <w:tr w14:paraId="21AA4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78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4D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DF4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D4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F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B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0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C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9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A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6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B5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A8153">
            <w:pPr>
              <w:jc w:val="center"/>
            </w:pPr>
          </w:p>
        </w:tc>
      </w:tr>
      <w:tr w14:paraId="35922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F7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C4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D4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E5B5">
            <w:pPr>
              <w:jc w:val="center"/>
            </w:pPr>
            <w:r>
              <w:rPr>
                <w:rFonts w:ascii="宋体" w:hAnsi="宋体" w:eastAsia="宋体"/>
                <w:sz w:val="16"/>
              </w:rPr>
              <w:t>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B067">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6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2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B3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99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72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2D4E">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26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3018D">
            <w:pPr>
              <w:jc w:val="center"/>
            </w:pPr>
          </w:p>
        </w:tc>
      </w:tr>
      <w:tr w14:paraId="2572D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1F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E5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36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AC0C">
            <w:pPr>
              <w:jc w:val="center"/>
            </w:pPr>
            <w:r>
              <w:rPr>
                <w:rFonts w:ascii="宋体" w:hAnsi="宋体" w:eastAsia="宋体"/>
                <w:sz w:val="16"/>
              </w:rPr>
              <w:t>保障乡镇（区）疾病防治支出成本（万元）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1EF7">
            <w:pPr>
              <w:jc w:val="center"/>
            </w:pPr>
            <w:r>
              <w:rPr>
                <w:rFonts w:ascii="宋体" w:hAnsi="宋体" w:eastAsia="宋体"/>
                <w:sz w:val="16"/>
              </w:rPr>
              <w:t>&lt;=8.98万元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47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B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E2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0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C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0F08">
            <w:pPr>
              <w:jc w:val="center"/>
            </w:pPr>
            <w:r>
              <w:rPr>
                <w:rFonts w:ascii="宋体" w:hAnsi="宋体" w:eastAsia="宋体"/>
                <w:sz w:val="16"/>
              </w:rPr>
              <w:t>=8.98万元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1F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5A9CD">
            <w:pPr>
              <w:jc w:val="center"/>
            </w:pPr>
          </w:p>
        </w:tc>
      </w:tr>
      <w:tr w14:paraId="3A73C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81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D6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CD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B2DB">
            <w:pPr>
              <w:jc w:val="center"/>
            </w:pPr>
            <w:r>
              <w:rPr>
                <w:rFonts w:ascii="宋体" w:hAnsi="宋体" w:eastAsia="宋体"/>
                <w:sz w:val="16"/>
              </w:rPr>
              <w:t>保障辖区居民群众生命安全和身体健康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89D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C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69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3C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1E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FE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CE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D7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A1167">
            <w:pPr>
              <w:jc w:val="center"/>
            </w:pPr>
          </w:p>
        </w:tc>
      </w:tr>
      <w:tr w14:paraId="71FFF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A9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9409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880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776F">
            <w:pPr>
              <w:jc w:val="center"/>
            </w:pPr>
            <w:r>
              <w:rPr>
                <w:rFonts w:ascii="宋体" w:hAnsi="宋体" w:eastAsia="宋体"/>
                <w:sz w:val="16"/>
              </w:rPr>
              <w:t>受益辖区群众满意度（%）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EB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5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6E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A3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95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19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1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A5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BA432">
            <w:pPr>
              <w:jc w:val="center"/>
            </w:pPr>
            <w:r>
              <w:rPr>
                <w:rFonts w:ascii="宋体" w:hAnsi="宋体" w:eastAsia="宋体"/>
                <w:sz w:val="16"/>
              </w:rPr>
              <w:t>偏差原因：受益辖区群众对该项目的实施总体是满意的，改进措施：做好年初预算分析。</w:t>
            </w:r>
          </w:p>
        </w:tc>
      </w:tr>
      <w:tr w14:paraId="42EC4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02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19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EC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3DB1">
            <w:pPr>
              <w:jc w:val="center"/>
            </w:pPr>
            <w:r>
              <w:rPr>
                <w:rFonts w:ascii="宋体" w:hAnsi="宋体" w:eastAsia="宋体"/>
                <w:sz w:val="16"/>
              </w:rPr>
              <w:t>受益医护人员满意度（%）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C9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B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9B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FA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05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5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8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43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11F05">
            <w:pPr>
              <w:jc w:val="center"/>
            </w:pPr>
            <w:r>
              <w:rPr>
                <w:rFonts w:ascii="宋体" w:hAnsi="宋体" w:eastAsia="宋体"/>
                <w:sz w:val="16"/>
              </w:rPr>
              <w:t>偏差原因：受益辖区群众对该项目的实施总体是满意的，改进措施：做好年初预算分析。</w:t>
            </w:r>
          </w:p>
        </w:tc>
      </w:tr>
      <w:tr w14:paraId="7442571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EFE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E84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20D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77E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B59651E"/>
        </w:tc>
      </w:tr>
    </w:tbl>
    <w:p w14:paraId="2061C6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1B4F001">
        <w:tblPrEx>
          <w:tblCellMar>
            <w:top w:w="0" w:type="dxa"/>
            <w:left w:w="108" w:type="dxa"/>
            <w:bottom w:w="0" w:type="dxa"/>
            <w:right w:w="108" w:type="dxa"/>
          </w:tblCellMar>
        </w:tblPrEx>
        <w:tc>
          <w:tcPr>
            <w:tcW w:w="8848" w:type="dxa"/>
            <w:gridSpan w:val="14"/>
            <w:vAlign w:val="center"/>
          </w:tcPr>
          <w:p w14:paraId="1A55068F">
            <w:pPr>
              <w:jc w:val="center"/>
            </w:pPr>
            <w:r>
              <w:rPr>
                <w:rFonts w:ascii="宋体" w:hAnsi="宋体" w:eastAsia="宋体"/>
                <w:sz w:val="24"/>
              </w:rPr>
              <w:t>项目支出绩效自评表</w:t>
            </w:r>
          </w:p>
        </w:tc>
      </w:tr>
      <w:tr w14:paraId="4FC28FD4">
        <w:tblPrEx>
          <w:tblCellMar>
            <w:top w:w="0" w:type="dxa"/>
            <w:left w:w="108" w:type="dxa"/>
            <w:bottom w:w="0" w:type="dxa"/>
            <w:right w:w="108" w:type="dxa"/>
          </w:tblCellMar>
        </w:tblPrEx>
        <w:tc>
          <w:tcPr>
            <w:tcW w:w="8848" w:type="dxa"/>
            <w:gridSpan w:val="14"/>
            <w:vAlign w:val="center"/>
          </w:tcPr>
          <w:p w14:paraId="250B2FAF">
            <w:pPr>
              <w:jc w:val="center"/>
            </w:pPr>
            <w:r>
              <w:rPr>
                <w:rFonts w:ascii="宋体" w:hAnsi="宋体" w:eastAsia="宋体"/>
                <w:sz w:val="24"/>
              </w:rPr>
              <w:t>(2024年度)</w:t>
            </w:r>
          </w:p>
        </w:tc>
      </w:tr>
      <w:tr w14:paraId="73C9C2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CE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43A672">
            <w:pPr>
              <w:jc w:val="center"/>
            </w:pPr>
            <w:r>
              <w:rPr>
                <w:rFonts w:ascii="宋体" w:hAnsi="宋体" w:eastAsia="宋体"/>
                <w:sz w:val="16"/>
              </w:rPr>
              <w:t>国有企业退休人员社会化管理补助资金项目</w:t>
            </w:r>
          </w:p>
        </w:tc>
      </w:tr>
      <w:tr w14:paraId="28CB59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29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99E4F">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DA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1EB086">
            <w:pPr>
              <w:jc w:val="center"/>
            </w:pPr>
            <w:r>
              <w:rPr>
                <w:rFonts w:ascii="宋体" w:hAnsi="宋体" w:eastAsia="宋体"/>
                <w:sz w:val="16"/>
              </w:rPr>
              <w:t>叶城县西城区片区管理委员会</w:t>
            </w:r>
          </w:p>
        </w:tc>
      </w:tr>
      <w:tr w14:paraId="2D40DB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9CE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13A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85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9BA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B6C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62A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9AA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CB8C">
            <w:pPr>
              <w:jc w:val="center"/>
            </w:pPr>
            <w:r>
              <w:rPr>
                <w:rFonts w:ascii="宋体" w:hAnsi="宋体" w:eastAsia="宋体"/>
                <w:sz w:val="16"/>
              </w:rPr>
              <w:t>得分</w:t>
            </w:r>
          </w:p>
        </w:tc>
      </w:tr>
      <w:tr w14:paraId="71AD9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CE9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B0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4168">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74E2">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2A16D">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516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8EF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A0F5">
            <w:pPr>
              <w:jc w:val="center"/>
            </w:pPr>
            <w:r>
              <w:rPr>
                <w:rFonts w:ascii="宋体" w:hAnsi="宋体" w:eastAsia="宋体"/>
                <w:sz w:val="16"/>
              </w:rPr>
              <w:t>10.00分</w:t>
            </w:r>
          </w:p>
        </w:tc>
      </w:tr>
      <w:tr w14:paraId="24D28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B53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4B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408E">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E343">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019AE">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D05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800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2D83">
            <w:pPr>
              <w:jc w:val="center"/>
            </w:pPr>
            <w:r>
              <w:rPr>
                <w:rFonts w:ascii="宋体" w:hAnsi="宋体" w:eastAsia="宋体"/>
                <w:sz w:val="16"/>
              </w:rPr>
              <w:t>—</w:t>
            </w:r>
          </w:p>
        </w:tc>
      </w:tr>
      <w:tr w14:paraId="08C9C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4DA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DC0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684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C74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85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1E8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3C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C2A8">
            <w:pPr>
              <w:jc w:val="center"/>
            </w:pPr>
            <w:r>
              <w:rPr>
                <w:rFonts w:ascii="宋体" w:hAnsi="宋体" w:eastAsia="宋体"/>
                <w:sz w:val="16"/>
              </w:rPr>
              <w:t>—</w:t>
            </w:r>
          </w:p>
        </w:tc>
      </w:tr>
      <w:tr w14:paraId="25F17A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525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CD6E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FDF6A6">
            <w:pPr>
              <w:jc w:val="center"/>
            </w:pPr>
            <w:r>
              <w:rPr>
                <w:rFonts w:ascii="宋体" w:hAnsi="宋体" w:eastAsia="宋体"/>
                <w:sz w:val="16"/>
              </w:rPr>
              <w:t>实际完成情况</w:t>
            </w:r>
          </w:p>
        </w:tc>
      </w:tr>
      <w:tr w14:paraId="775C3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2B7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D4FFB1">
            <w:pPr>
              <w:jc w:val="both"/>
            </w:pPr>
            <w:r>
              <w:rPr>
                <w:rFonts w:ascii="宋体" w:hAnsi="宋体" w:eastAsia="宋体"/>
                <w:sz w:val="16"/>
              </w:rPr>
              <w:t>项目总投资0.21万元，国有企业退休社会化管理保障人数8人，按每人260元的标准发放补助； 1.国有企业已退休人员管理</w:t>
            </w:r>
            <w:r>
              <w:rPr>
                <w:rFonts w:hint="eastAsia" w:ascii="宋体" w:hAnsi="宋体"/>
                <w:sz w:val="16"/>
                <w:lang w:eastAsia="zh-CN"/>
              </w:rPr>
              <w:t>服务</w:t>
            </w:r>
            <w:r>
              <w:rPr>
                <w:rFonts w:ascii="宋体" w:hAnsi="宋体" w:eastAsia="宋体"/>
                <w:sz w:val="16"/>
              </w:rPr>
              <w:t>工作与原企业分离。 2.国有企业不承担移交后的退休人员社会化管理服务费用。 3.国有企业新办退休人员管理服务工作与原企业分离。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8326C0">
            <w:pPr>
              <w:jc w:val="both"/>
            </w:pPr>
            <w:r>
              <w:rPr>
                <w:rFonts w:hint="eastAsia" w:ascii="宋体" w:hAnsi="宋体"/>
                <w:sz w:val="16"/>
                <w:lang w:eastAsia="zh-CN"/>
              </w:rPr>
              <w:t>截至</w:t>
            </w:r>
            <w:r>
              <w:rPr>
                <w:rFonts w:ascii="宋体" w:hAnsi="宋体" w:eastAsia="宋体"/>
                <w:sz w:val="16"/>
              </w:rPr>
              <w:t>2024年8月31日，该项目预算资金0.21万元，到位资金0.21万元，资金到位率100%，已支付0.21万元，资金支付率100%，主要用于国有企业退休社会化管理保障人数8人，按每人260元的标准发放补助，项目的实施进一步保障企业退休人员晚年生活。</w:t>
            </w:r>
          </w:p>
        </w:tc>
      </w:tr>
      <w:tr w14:paraId="797C42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213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34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C3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D6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8C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AE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CF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D7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A6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7F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F4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23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D6400">
            <w:pPr>
              <w:jc w:val="center"/>
            </w:pPr>
            <w:r>
              <w:rPr>
                <w:rFonts w:ascii="宋体" w:hAnsi="宋体" w:eastAsia="宋体"/>
                <w:sz w:val="16"/>
              </w:rPr>
              <w:t>偏差原因分析及改进措施</w:t>
            </w:r>
          </w:p>
        </w:tc>
      </w:tr>
      <w:tr w14:paraId="7A557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AB2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208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C32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A0DA">
            <w:pPr>
              <w:jc w:val="center"/>
            </w:pPr>
            <w:r>
              <w:rPr>
                <w:rFonts w:ascii="宋体" w:hAnsi="宋体" w:eastAsia="宋体"/>
                <w:sz w:val="16"/>
              </w:rPr>
              <w:t>国有企业退休社会化管理保障人数（人）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92E2">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A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9154">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09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0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D2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0A34">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6E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26438">
            <w:pPr>
              <w:jc w:val="center"/>
            </w:pPr>
          </w:p>
        </w:tc>
      </w:tr>
      <w:tr w14:paraId="5EE52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72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99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92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06A4">
            <w:pPr>
              <w:jc w:val="center"/>
            </w:pPr>
            <w:r>
              <w:rPr>
                <w:rFonts w:ascii="宋体" w:hAnsi="宋体" w:eastAsia="宋体"/>
                <w:sz w:val="16"/>
              </w:rPr>
              <w:t>国有企业已退休人员管理服务工作与原企业分离的比例（%）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9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3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A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38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FD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2B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9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653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695CB">
            <w:pPr>
              <w:jc w:val="center"/>
            </w:pPr>
          </w:p>
        </w:tc>
      </w:tr>
      <w:tr w14:paraId="20B0B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13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B3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BF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59C4">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9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9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E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A9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5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3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5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1D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7C2F">
            <w:pPr>
              <w:jc w:val="center"/>
            </w:pPr>
          </w:p>
        </w:tc>
      </w:tr>
      <w:tr w14:paraId="1265D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5F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89A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E16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9A66">
            <w:pPr>
              <w:jc w:val="center"/>
            </w:pPr>
            <w:r>
              <w:rPr>
                <w:rFonts w:ascii="宋体" w:hAnsi="宋体" w:eastAsia="宋体"/>
                <w:sz w:val="16"/>
              </w:rPr>
              <w:t>资金下拨及时率（%）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9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C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A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E9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7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4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C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D4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F7B09">
            <w:pPr>
              <w:jc w:val="center"/>
            </w:pPr>
          </w:p>
        </w:tc>
      </w:tr>
      <w:tr w14:paraId="68EFB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9E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A0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C6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863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A72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5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4969">
            <w:pPr>
              <w:jc w:val="center"/>
            </w:pPr>
            <w:r>
              <w:rPr>
                <w:rFonts w:ascii="宋体" w:hAnsi="宋体" w:eastAsia="宋体"/>
                <w:sz w:val="16"/>
              </w:rPr>
              <w:t>2023年5月24日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BF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B3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9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AC4E">
            <w:pPr>
              <w:jc w:val="center"/>
            </w:pPr>
            <w:r>
              <w:rPr>
                <w:rFonts w:ascii="宋体" w:hAnsi="宋体" w:eastAsia="宋体"/>
                <w:sz w:val="16"/>
              </w:rPr>
              <w:t>2023年8月31日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2A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AF834">
            <w:pPr>
              <w:jc w:val="center"/>
            </w:pPr>
          </w:p>
        </w:tc>
      </w:tr>
      <w:tr w14:paraId="77B31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EB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2D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05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FC33">
            <w:pPr>
              <w:jc w:val="center"/>
            </w:pPr>
            <w:r>
              <w:rPr>
                <w:rFonts w:ascii="宋体" w:hAnsi="宋体" w:eastAsia="宋体"/>
                <w:sz w:val="16"/>
              </w:rPr>
              <w:t>人均补助费用（元/人）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4FEE">
            <w:pPr>
              <w:jc w:val="center"/>
            </w:pPr>
            <w:r>
              <w:rPr>
                <w:rFonts w:ascii="宋体" w:hAnsi="宋体" w:eastAsia="宋体"/>
                <w:sz w:val="16"/>
              </w:rPr>
              <w:t>&lt;=260元/人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33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F71D">
            <w:pPr>
              <w:jc w:val="center"/>
            </w:pPr>
            <w:r>
              <w:rPr>
                <w:rFonts w:ascii="宋体" w:hAnsi="宋体" w:eastAsia="宋体"/>
                <w:sz w:val="16"/>
              </w:rPr>
              <w: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87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E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E5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0704">
            <w:pPr>
              <w:jc w:val="center"/>
            </w:pPr>
            <w:r>
              <w:rPr>
                <w:rFonts w:ascii="宋体" w:hAnsi="宋体" w:eastAsia="宋体"/>
                <w:sz w:val="16"/>
              </w:rPr>
              <w: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E1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53614">
            <w:pPr>
              <w:jc w:val="center"/>
            </w:pPr>
          </w:p>
        </w:tc>
      </w:tr>
      <w:tr w14:paraId="68793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68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A5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28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EDEB">
            <w:pPr>
              <w:jc w:val="center"/>
            </w:pPr>
            <w:r>
              <w:rPr>
                <w:rFonts w:ascii="宋体" w:hAnsi="宋体" w:eastAsia="宋体"/>
                <w:sz w:val="16"/>
              </w:rPr>
              <w:t>进一步保障企业退休人员晚年生活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13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0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6BE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52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1B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2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DF1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54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F81B5">
            <w:pPr>
              <w:jc w:val="center"/>
            </w:pPr>
          </w:p>
        </w:tc>
      </w:tr>
      <w:tr w14:paraId="1B156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2E8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57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62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D19A">
            <w:pPr>
              <w:jc w:val="center"/>
            </w:pPr>
            <w:r>
              <w:rPr>
                <w:rFonts w:ascii="宋体" w:hAnsi="宋体" w:eastAsia="宋体"/>
                <w:sz w:val="16"/>
              </w:rPr>
              <w:t>国有企业退休人员满意度（%）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CA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A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B082">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E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62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CDB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F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D2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4CE6A">
            <w:pPr>
              <w:jc w:val="center"/>
            </w:pPr>
            <w:r>
              <w:rPr>
                <w:rFonts w:ascii="宋体" w:hAnsi="宋体" w:eastAsia="宋体"/>
                <w:sz w:val="16"/>
              </w:rPr>
              <w:t>偏差原因：受益国有企业退休人员对该项目的实施总体是满意的，改进措施：做好年初预算分析。</w:t>
            </w:r>
          </w:p>
        </w:tc>
      </w:tr>
      <w:tr w14:paraId="40E0D41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78E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844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AC02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B93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BD2F33"/>
        </w:tc>
      </w:tr>
    </w:tbl>
    <w:p w14:paraId="4440C2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855CAD4">
        <w:tblPrEx>
          <w:tblCellMar>
            <w:top w:w="0" w:type="dxa"/>
            <w:left w:w="108" w:type="dxa"/>
            <w:bottom w:w="0" w:type="dxa"/>
            <w:right w:w="108" w:type="dxa"/>
          </w:tblCellMar>
        </w:tblPrEx>
        <w:tc>
          <w:tcPr>
            <w:tcW w:w="8848" w:type="dxa"/>
            <w:gridSpan w:val="14"/>
            <w:vAlign w:val="center"/>
          </w:tcPr>
          <w:p w14:paraId="7B03A0C7">
            <w:pPr>
              <w:jc w:val="center"/>
            </w:pPr>
            <w:r>
              <w:rPr>
                <w:rFonts w:ascii="宋体" w:hAnsi="宋体" w:eastAsia="宋体"/>
                <w:sz w:val="24"/>
              </w:rPr>
              <w:t>项目支出绩效自评表</w:t>
            </w:r>
          </w:p>
        </w:tc>
      </w:tr>
      <w:tr w14:paraId="16A5F690">
        <w:tblPrEx>
          <w:tblCellMar>
            <w:top w:w="0" w:type="dxa"/>
            <w:left w:w="108" w:type="dxa"/>
            <w:bottom w:w="0" w:type="dxa"/>
            <w:right w:w="108" w:type="dxa"/>
          </w:tblCellMar>
        </w:tblPrEx>
        <w:tc>
          <w:tcPr>
            <w:tcW w:w="8848" w:type="dxa"/>
            <w:gridSpan w:val="14"/>
            <w:vAlign w:val="center"/>
          </w:tcPr>
          <w:p w14:paraId="2526034F">
            <w:pPr>
              <w:jc w:val="center"/>
            </w:pPr>
            <w:r>
              <w:rPr>
                <w:rFonts w:ascii="宋体" w:hAnsi="宋体" w:eastAsia="宋体"/>
                <w:sz w:val="24"/>
              </w:rPr>
              <w:t>(2024年度)</w:t>
            </w:r>
          </w:p>
        </w:tc>
      </w:tr>
      <w:tr w14:paraId="61C303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2A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795BC3">
            <w:pPr>
              <w:jc w:val="center"/>
            </w:pPr>
            <w:r>
              <w:rPr>
                <w:rFonts w:ascii="宋体" w:hAnsi="宋体" w:eastAsia="宋体"/>
                <w:sz w:val="16"/>
              </w:rPr>
              <w:t>基层组织建设资金项目</w:t>
            </w:r>
          </w:p>
        </w:tc>
      </w:tr>
      <w:tr w14:paraId="26538D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7B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3762E">
            <w:pPr>
              <w:jc w:val="center"/>
            </w:pPr>
            <w:r>
              <w:rPr>
                <w:rFonts w:ascii="宋体" w:hAnsi="宋体" w:eastAsia="宋体"/>
                <w:sz w:val="16"/>
              </w:rPr>
              <w:t>叶城县西城区片区管理委员会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EF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0394FB">
            <w:pPr>
              <w:jc w:val="center"/>
            </w:pPr>
            <w:r>
              <w:rPr>
                <w:rFonts w:ascii="宋体" w:hAnsi="宋体" w:eastAsia="宋体"/>
                <w:sz w:val="16"/>
              </w:rPr>
              <w:t>叶城县西城区片区管理委员会</w:t>
            </w:r>
          </w:p>
        </w:tc>
      </w:tr>
      <w:tr w14:paraId="05ACCA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A7E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74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360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84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D2B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AB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023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7328">
            <w:pPr>
              <w:jc w:val="center"/>
            </w:pPr>
            <w:r>
              <w:rPr>
                <w:rFonts w:ascii="宋体" w:hAnsi="宋体" w:eastAsia="宋体"/>
                <w:sz w:val="16"/>
              </w:rPr>
              <w:t>得分</w:t>
            </w:r>
          </w:p>
        </w:tc>
      </w:tr>
      <w:tr w14:paraId="557EC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712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5F2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0618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5588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F34B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B05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325A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0A9D">
            <w:pPr>
              <w:jc w:val="center"/>
            </w:pPr>
            <w:r>
              <w:rPr>
                <w:rFonts w:ascii="宋体" w:hAnsi="宋体" w:eastAsia="宋体"/>
                <w:sz w:val="16"/>
              </w:rPr>
              <w:t>10.00分</w:t>
            </w:r>
          </w:p>
        </w:tc>
      </w:tr>
      <w:tr w14:paraId="4FDD1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E9C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585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4A1C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02C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CFC8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C4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3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4410">
            <w:pPr>
              <w:jc w:val="center"/>
            </w:pPr>
            <w:r>
              <w:rPr>
                <w:rFonts w:ascii="宋体" w:hAnsi="宋体" w:eastAsia="宋体"/>
                <w:sz w:val="16"/>
              </w:rPr>
              <w:t>—</w:t>
            </w:r>
          </w:p>
        </w:tc>
      </w:tr>
      <w:tr w14:paraId="0CAFE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EE8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49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A55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C1E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B1F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F9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DC3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7A36">
            <w:pPr>
              <w:jc w:val="center"/>
            </w:pPr>
            <w:r>
              <w:rPr>
                <w:rFonts w:ascii="宋体" w:hAnsi="宋体" w:eastAsia="宋体"/>
                <w:sz w:val="16"/>
              </w:rPr>
              <w:t>—</w:t>
            </w:r>
          </w:p>
        </w:tc>
      </w:tr>
      <w:tr w14:paraId="08B199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B5D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D07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F76331">
            <w:pPr>
              <w:jc w:val="center"/>
            </w:pPr>
            <w:r>
              <w:rPr>
                <w:rFonts w:ascii="宋体" w:hAnsi="宋体" w:eastAsia="宋体"/>
                <w:sz w:val="16"/>
              </w:rPr>
              <w:t>实际完成情况</w:t>
            </w:r>
          </w:p>
        </w:tc>
      </w:tr>
      <w:tr w14:paraId="7916F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8A0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D0808">
            <w:pPr>
              <w:jc w:val="both"/>
            </w:pPr>
            <w:r>
              <w:rPr>
                <w:rFonts w:ascii="宋体" w:hAnsi="宋体" w:eastAsia="宋体"/>
                <w:sz w:val="16"/>
              </w:rPr>
              <w:t>西城区实施基层组织建设资金项目资金总金额40万元，主要是有力保障2社区阵地建设费，不断强化经费保障,夯实基层基础，不断加强基层党组织建设治理，提高干部队伍建设，提高基层党组织服务群众能力。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26DD8C">
            <w:pPr>
              <w:jc w:val="both"/>
            </w:pPr>
            <w:r>
              <w:rPr>
                <w:rFonts w:ascii="宋体" w:hAnsi="宋体" w:eastAsia="宋体"/>
                <w:sz w:val="16"/>
              </w:rPr>
              <w:t>实际完成目标：西城区实施基层组织建设资金项目资金总金额40万元，到位资金40万元，实际支出40万元，主要是有力保障2社区阵地建设费，不断强化经费保障,夯实基层基础，不断加强基层党组织建设治理，提高干部队伍建设，提高基层党组织服务群众能力，提高办事效率，提高群众幸福感。</w:t>
            </w:r>
          </w:p>
        </w:tc>
      </w:tr>
      <w:tr w14:paraId="6EDE3D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AEC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B7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2D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28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3B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B2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56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28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57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38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B0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C3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B25B0">
            <w:pPr>
              <w:jc w:val="center"/>
            </w:pPr>
            <w:r>
              <w:rPr>
                <w:rFonts w:ascii="宋体" w:hAnsi="宋体" w:eastAsia="宋体"/>
                <w:sz w:val="16"/>
              </w:rPr>
              <w:t>偏差原因分析及改进措施</w:t>
            </w:r>
          </w:p>
        </w:tc>
      </w:tr>
      <w:tr w14:paraId="3355D1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A81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168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58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521E">
            <w:pPr>
              <w:jc w:val="center"/>
            </w:pPr>
            <w:r>
              <w:rPr>
                <w:rFonts w:ascii="宋体" w:hAnsi="宋体" w:eastAsia="宋体"/>
                <w:sz w:val="16"/>
              </w:rPr>
              <w:t>涉及社区数量（个）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E39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5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12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31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7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4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0B2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62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E908F">
            <w:pPr>
              <w:jc w:val="center"/>
            </w:pPr>
          </w:p>
        </w:tc>
      </w:tr>
      <w:tr w14:paraId="60C92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3D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E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4C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D05D">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8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2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BC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B6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D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06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A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5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AE76">
            <w:pPr>
              <w:jc w:val="center"/>
            </w:pPr>
          </w:p>
        </w:tc>
      </w:tr>
      <w:tr w14:paraId="1D612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00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D2A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B56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23E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F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5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C5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90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7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83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2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05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8B6C9">
            <w:pPr>
              <w:jc w:val="center"/>
            </w:pPr>
          </w:p>
        </w:tc>
      </w:tr>
      <w:tr w14:paraId="1FC84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4C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FD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52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2F6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33D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D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1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E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6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70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F4E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0E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A5771">
            <w:pPr>
              <w:jc w:val="center"/>
            </w:pPr>
          </w:p>
        </w:tc>
      </w:tr>
      <w:tr w14:paraId="3F8F1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12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D1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5B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A446">
            <w:pPr>
              <w:jc w:val="center"/>
            </w:pPr>
            <w:r>
              <w:rPr>
                <w:rFonts w:ascii="宋体" w:hAnsi="宋体" w:eastAsia="宋体"/>
                <w:sz w:val="16"/>
              </w:rPr>
              <w:t>每个社区平均建设成本（万元）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FF5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6B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5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A2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E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14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BB6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27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C016">
            <w:pPr>
              <w:jc w:val="center"/>
            </w:pPr>
          </w:p>
        </w:tc>
      </w:tr>
      <w:tr w14:paraId="2EC75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F5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21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D4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8B7C">
            <w:pPr>
              <w:jc w:val="center"/>
            </w:pPr>
            <w:r>
              <w:rPr>
                <w:rFonts w:ascii="宋体" w:hAnsi="宋体" w:eastAsia="宋体"/>
                <w:sz w:val="16"/>
              </w:rPr>
              <w:t>提高为民服务办事效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32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E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60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D0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CB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6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079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F1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ABC21">
            <w:pPr>
              <w:jc w:val="center"/>
            </w:pPr>
          </w:p>
        </w:tc>
      </w:tr>
      <w:tr w14:paraId="6330D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19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AB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F4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C187">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4F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4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1A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9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25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3A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F4F4">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99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97CD1">
            <w:pPr>
              <w:jc w:val="center"/>
            </w:pPr>
          </w:p>
        </w:tc>
      </w:tr>
      <w:tr w14:paraId="344E7CB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7D0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1D2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667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EAA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E64303"/>
        </w:tc>
      </w:tr>
    </w:tbl>
    <w:p w14:paraId="56B95D2F">
      <w:r>
        <w:br w:type="page"/>
      </w:r>
    </w:p>
    <w:p w14:paraId="06A8E9DF">
      <w:pPr>
        <w:spacing w:line="640" w:lineRule="exact"/>
        <w:ind w:firstLine="640"/>
        <w:jc w:val="both"/>
        <w:outlineLvl w:val="2"/>
      </w:pPr>
      <w:r>
        <w:rPr>
          <w:rFonts w:ascii="黑体" w:hAnsi="黑体" w:eastAsia="黑体"/>
          <w:sz w:val="32"/>
        </w:rPr>
        <w:t>十二、其他需说明的事项</w:t>
      </w:r>
    </w:p>
    <w:p w14:paraId="41D7DE05">
      <w:pPr>
        <w:spacing w:line="580" w:lineRule="exact"/>
        <w:ind w:firstLine="640"/>
        <w:jc w:val="both"/>
      </w:pPr>
      <w:r>
        <w:rPr>
          <w:rFonts w:ascii="仿宋_GB2312" w:hAnsi="仿宋_GB2312" w:eastAsia="仿宋_GB2312"/>
          <w:b w:val="0"/>
          <w:sz w:val="32"/>
        </w:rPr>
        <w:t>本单位无其他需说明的事项。</w:t>
      </w:r>
    </w:p>
    <w:p w14:paraId="6FEBB651">
      <w:r>
        <w:br w:type="page"/>
      </w:r>
    </w:p>
    <w:p w14:paraId="255CB45A">
      <w:pPr>
        <w:spacing w:line="240" w:lineRule="auto"/>
        <w:jc w:val="center"/>
        <w:outlineLvl w:val="1"/>
      </w:pPr>
      <w:r>
        <w:rPr>
          <w:rFonts w:ascii="黑体" w:hAnsi="黑体" w:eastAsia="黑体"/>
          <w:sz w:val="32"/>
        </w:rPr>
        <w:t>第三部分 专业名词解释</w:t>
      </w:r>
    </w:p>
    <w:p w14:paraId="0F3D8F3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F8A9D1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5EA44F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2E66A9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B7B32A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2864D0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7DE39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E2235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52C3C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8536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CA5F6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88CFA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61EE42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1D197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1369ED">
      <w:r>
        <w:br w:type="page"/>
      </w:r>
    </w:p>
    <w:p w14:paraId="3464794A">
      <w:pPr>
        <w:spacing w:line="240" w:lineRule="auto"/>
        <w:jc w:val="center"/>
        <w:outlineLvl w:val="1"/>
      </w:pPr>
      <w:r>
        <w:rPr>
          <w:rFonts w:ascii="黑体" w:hAnsi="黑体" w:eastAsia="黑体"/>
          <w:sz w:val="32"/>
        </w:rPr>
        <w:t>第四部分 部门决算报表（见附表）</w:t>
      </w:r>
    </w:p>
    <w:p w14:paraId="128EC373">
      <w:pPr>
        <w:spacing w:line="240" w:lineRule="auto"/>
        <w:ind w:firstLine="640"/>
        <w:jc w:val="both"/>
      </w:pPr>
      <w:r>
        <w:rPr>
          <w:rFonts w:ascii="仿宋_GB2312" w:hAnsi="仿宋_GB2312" w:eastAsia="仿宋_GB2312"/>
          <w:b w:val="0"/>
          <w:sz w:val="32"/>
        </w:rPr>
        <w:t>一、《收入支出决算总表》</w:t>
      </w:r>
    </w:p>
    <w:p w14:paraId="185219E2">
      <w:pPr>
        <w:spacing w:line="240" w:lineRule="auto"/>
        <w:ind w:firstLine="640"/>
        <w:jc w:val="both"/>
      </w:pPr>
      <w:r>
        <w:rPr>
          <w:rFonts w:ascii="仿宋_GB2312" w:hAnsi="仿宋_GB2312" w:eastAsia="仿宋_GB2312"/>
          <w:b w:val="0"/>
          <w:sz w:val="32"/>
        </w:rPr>
        <w:t>二、《收入决算表》</w:t>
      </w:r>
    </w:p>
    <w:p w14:paraId="6DF7F4D3">
      <w:pPr>
        <w:spacing w:line="240" w:lineRule="auto"/>
        <w:ind w:firstLine="640"/>
        <w:jc w:val="both"/>
      </w:pPr>
      <w:r>
        <w:rPr>
          <w:rFonts w:ascii="仿宋_GB2312" w:hAnsi="仿宋_GB2312" w:eastAsia="仿宋_GB2312"/>
          <w:b w:val="0"/>
          <w:sz w:val="32"/>
        </w:rPr>
        <w:t>三、《支出决算表》</w:t>
      </w:r>
    </w:p>
    <w:p w14:paraId="26DFFB4B">
      <w:pPr>
        <w:spacing w:line="240" w:lineRule="auto"/>
        <w:ind w:firstLine="640"/>
        <w:jc w:val="both"/>
      </w:pPr>
      <w:r>
        <w:rPr>
          <w:rFonts w:ascii="仿宋_GB2312" w:hAnsi="仿宋_GB2312" w:eastAsia="仿宋_GB2312"/>
          <w:b w:val="0"/>
          <w:sz w:val="32"/>
        </w:rPr>
        <w:t>四、《财政拨款收入支出决算总表》</w:t>
      </w:r>
    </w:p>
    <w:p w14:paraId="0D044D68">
      <w:pPr>
        <w:spacing w:line="240" w:lineRule="auto"/>
        <w:ind w:firstLine="640"/>
        <w:jc w:val="both"/>
      </w:pPr>
      <w:r>
        <w:rPr>
          <w:rFonts w:ascii="仿宋_GB2312" w:hAnsi="仿宋_GB2312" w:eastAsia="仿宋_GB2312"/>
          <w:b w:val="0"/>
          <w:sz w:val="32"/>
        </w:rPr>
        <w:t>五、《一般公共预算财政拨款支出决算表》</w:t>
      </w:r>
    </w:p>
    <w:p w14:paraId="1BF1BA80">
      <w:pPr>
        <w:spacing w:line="240" w:lineRule="auto"/>
        <w:ind w:firstLine="640"/>
        <w:jc w:val="both"/>
      </w:pPr>
      <w:r>
        <w:rPr>
          <w:rFonts w:ascii="仿宋_GB2312" w:hAnsi="仿宋_GB2312" w:eastAsia="仿宋_GB2312"/>
          <w:b w:val="0"/>
          <w:sz w:val="32"/>
        </w:rPr>
        <w:t>六、《一般公共预算财政拨款基本支出决算表》</w:t>
      </w:r>
    </w:p>
    <w:p w14:paraId="362C3B94">
      <w:pPr>
        <w:spacing w:line="240" w:lineRule="auto"/>
        <w:ind w:firstLine="640"/>
        <w:jc w:val="both"/>
      </w:pPr>
      <w:r>
        <w:rPr>
          <w:rFonts w:ascii="仿宋_GB2312" w:hAnsi="仿宋_GB2312" w:eastAsia="仿宋_GB2312"/>
          <w:b w:val="0"/>
          <w:sz w:val="32"/>
        </w:rPr>
        <w:t>七、《政府性基金预算财政拨款收入支出决算表》</w:t>
      </w:r>
    </w:p>
    <w:p w14:paraId="5DE58CF8">
      <w:pPr>
        <w:spacing w:line="240" w:lineRule="auto"/>
        <w:ind w:firstLine="640"/>
        <w:jc w:val="both"/>
      </w:pPr>
      <w:r>
        <w:rPr>
          <w:rFonts w:ascii="仿宋_GB2312" w:hAnsi="仿宋_GB2312" w:eastAsia="仿宋_GB2312"/>
          <w:b w:val="0"/>
          <w:sz w:val="32"/>
        </w:rPr>
        <w:t>八、《国有资本经营预算财政拨款收入支出决算表》</w:t>
      </w:r>
    </w:p>
    <w:p w14:paraId="76474B51">
      <w:pPr>
        <w:spacing w:line="240" w:lineRule="auto"/>
        <w:ind w:firstLine="640"/>
        <w:jc w:val="both"/>
      </w:pPr>
      <w:r>
        <w:rPr>
          <w:rFonts w:ascii="仿宋_GB2312" w:hAnsi="仿宋_GB2312" w:eastAsia="仿宋_GB2312"/>
          <w:b w:val="0"/>
          <w:sz w:val="32"/>
        </w:rPr>
        <w:t>九、《财政拨款“三公”经费支出决算表》</w:t>
      </w:r>
    </w:p>
    <w:p w14:paraId="59026782">
      <w:pPr>
        <w:spacing w:line="240" w:lineRule="auto"/>
        <w:ind w:firstLine="640"/>
        <w:jc w:val="both"/>
      </w:pPr>
    </w:p>
    <w:p w14:paraId="4CE1E01E">
      <w:pPr>
        <w:spacing w:line="240" w:lineRule="auto"/>
        <w:ind w:firstLine="640"/>
        <w:jc w:val="both"/>
      </w:pPr>
    </w:p>
    <w:p w14:paraId="5659063A">
      <w:pPr>
        <w:spacing w:line="240" w:lineRule="auto"/>
        <w:ind w:firstLine="640"/>
        <w:jc w:val="both"/>
      </w:pPr>
    </w:p>
    <w:p w14:paraId="5519C1E6">
      <w:pPr>
        <w:spacing w:line="240" w:lineRule="auto"/>
        <w:ind w:firstLine="640"/>
        <w:jc w:val="both"/>
      </w:pPr>
    </w:p>
    <w:p w14:paraId="3D5D666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ADD3D38"/>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4259B1"/>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5720</Words>
  <Characters>6589</Characters>
  <Lines>0</Lines>
  <Paragraphs>0</Paragraphs>
  <TotalTime>8</TotalTime>
  <ScaleCrop>false</ScaleCrop>
  <LinksUpToDate>false</LinksUpToDate>
  <CharactersWithSpaces>6597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2025-09-29T09:09:58Z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