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叶城县金果镇人民政府2024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A145D78">
      <w:r>
        <w:br w:type="page"/>
      </w:r>
    </w:p>
    <w:p w14:paraId="05D1EBD3">
      <w:pPr>
        <w:spacing w:line="640" w:lineRule="exact"/>
        <w:jc w:val="center"/>
        <w:outlineLvl w:val="1"/>
      </w:pPr>
      <w:r>
        <w:rPr>
          <w:rFonts w:ascii="黑体" w:hAnsi="黑体" w:eastAsia="黑体"/>
          <w:sz w:val="32"/>
        </w:rPr>
        <w:t>第一部分 单位概况</w:t>
      </w:r>
    </w:p>
    <w:p w14:paraId="3F1CF049">
      <w:pPr>
        <w:spacing w:line="640" w:lineRule="exact"/>
        <w:ind w:firstLine="640"/>
        <w:jc w:val="both"/>
        <w:outlineLvl w:val="2"/>
      </w:pPr>
      <w:r>
        <w:rPr>
          <w:rFonts w:ascii="黑体" w:hAnsi="黑体" w:eastAsia="黑体"/>
          <w:sz w:val="32"/>
        </w:rPr>
        <w:t>一、主要职能</w:t>
      </w:r>
    </w:p>
    <w:p w14:paraId="74692025">
      <w:pPr>
        <w:spacing w:line="580" w:lineRule="exact"/>
        <w:ind w:firstLine="640"/>
        <w:jc w:val="both"/>
      </w:pPr>
      <w:r>
        <w:rPr>
          <w:rFonts w:ascii="仿宋_GB2312" w:hAnsi="仿宋_GB2312" w:eastAsia="仿宋_GB2312"/>
          <w:sz w:val="32"/>
        </w:rPr>
        <w:t>作为乡镇党政机关，其主要职能为：负责全乡党政行政管理事务坚决贯彻县委、县人民政府各项指示，负责全乡经济社会发展、社会事务管理、基层组织建设等全面工作。以乡村振兴为引领实现社会发展“总目标”，不断铸牢全乡经济社会发展基础，为全乡各族群众提供社会服务。</w:t>
      </w:r>
    </w:p>
    <w:p w14:paraId="1682D230">
      <w:pPr>
        <w:spacing w:line="640" w:lineRule="exact"/>
        <w:ind w:firstLine="640"/>
        <w:jc w:val="both"/>
        <w:outlineLvl w:val="2"/>
      </w:pPr>
      <w:r>
        <w:rPr>
          <w:rFonts w:ascii="黑体" w:hAnsi="黑体" w:eastAsia="黑体"/>
          <w:sz w:val="32"/>
        </w:rPr>
        <w:t>二、机构设置及人员情况</w:t>
      </w:r>
    </w:p>
    <w:p w14:paraId="5B9A8E0C">
      <w:pPr>
        <w:spacing w:line="580" w:lineRule="exact"/>
        <w:ind w:firstLine="640"/>
        <w:jc w:val="both"/>
      </w:pPr>
      <w:r>
        <w:rPr>
          <w:rFonts w:ascii="仿宋_GB2312" w:hAnsi="仿宋_GB2312" w:eastAsia="仿宋_GB2312"/>
          <w:sz w:val="32"/>
        </w:rPr>
        <w:t>叶城县金果镇人民政府2024年度，实有人数122人，其中：在职人员100人，减少6人；离休人员0人，增加0人；退休人员22人,增加8人。</w:t>
      </w:r>
    </w:p>
    <w:p w14:paraId="1A2F2E7D">
      <w:pPr>
        <w:spacing w:line="580" w:lineRule="exact"/>
        <w:ind w:firstLine="640"/>
        <w:jc w:val="both"/>
      </w:pPr>
      <w:r>
        <w:rPr>
          <w:rFonts w:ascii="仿宋_GB2312" w:hAnsi="仿宋_GB2312" w:eastAsia="仿宋_GB2312"/>
          <w:sz w:val="32"/>
        </w:rPr>
        <w:t>叶城县金果镇人民政府无下属预算单位，下设5个科室，分别是：党政办、社会事务办、综治办、党建办、经济发展办。</w:t>
      </w:r>
    </w:p>
    <w:p w14:paraId="5465355C">
      <w:r>
        <w:br w:type="page"/>
      </w:r>
    </w:p>
    <w:p w14:paraId="70FC73BC">
      <w:pPr>
        <w:spacing w:line="240" w:lineRule="auto"/>
        <w:jc w:val="center"/>
        <w:outlineLvl w:val="1"/>
      </w:pPr>
      <w:r>
        <w:rPr>
          <w:rFonts w:ascii="黑体" w:hAnsi="黑体" w:eastAsia="黑体"/>
          <w:sz w:val="32"/>
        </w:rPr>
        <w:t>第二部分 部门决算情况说明</w:t>
      </w:r>
    </w:p>
    <w:p w14:paraId="7C77B52D">
      <w:pPr>
        <w:spacing w:line="640" w:lineRule="exact"/>
        <w:ind w:firstLine="640"/>
        <w:jc w:val="both"/>
        <w:outlineLvl w:val="2"/>
      </w:pPr>
      <w:r>
        <w:rPr>
          <w:rFonts w:ascii="黑体" w:hAnsi="黑体" w:eastAsia="黑体"/>
          <w:sz w:val="32"/>
        </w:rPr>
        <w:t>一、收入支出决算总体情况说明</w:t>
      </w:r>
    </w:p>
    <w:p w14:paraId="7D047A85">
      <w:pPr>
        <w:spacing w:line="580" w:lineRule="exact"/>
        <w:ind w:firstLine="640"/>
        <w:jc w:val="both"/>
      </w:pPr>
      <w:r>
        <w:rPr>
          <w:rFonts w:ascii="仿宋_GB2312" w:hAnsi="仿宋_GB2312" w:eastAsia="仿宋_GB2312"/>
          <w:b/>
          <w:sz w:val="32"/>
        </w:rPr>
        <w:t>2024年度收入总计9,446.77万元，</w:t>
      </w:r>
      <w:r>
        <w:rPr>
          <w:rFonts w:ascii="仿宋_GB2312" w:hAnsi="仿宋_GB2312" w:eastAsia="仿宋_GB2312"/>
          <w:b w:val="0"/>
          <w:sz w:val="32"/>
        </w:rPr>
        <w:t>其中：本年收入合计9,446.77万元，使用非财政拨款结余（含专用结余）0.00万元，年初结转和结余0.00万元。</w:t>
      </w:r>
    </w:p>
    <w:p w14:paraId="070B24AE">
      <w:pPr>
        <w:spacing w:line="580" w:lineRule="exact"/>
        <w:ind w:firstLine="640"/>
        <w:jc w:val="both"/>
      </w:pPr>
      <w:r>
        <w:rPr>
          <w:rFonts w:ascii="仿宋_GB2312" w:hAnsi="仿宋_GB2312" w:eastAsia="仿宋_GB2312"/>
          <w:b/>
          <w:sz w:val="32"/>
        </w:rPr>
        <w:t>2024年度支出总计9,446.77万元，</w:t>
      </w:r>
      <w:r>
        <w:rPr>
          <w:rFonts w:ascii="仿宋_GB2312" w:hAnsi="仿宋_GB2312" w:eastAsia="仿宋_GB2312"/>
          <w:b w:val="0"/>
          <w:sz w:val="32"/>
        </w:rPr>
        <w:t>其中：本年支出合计9,446.77万元，结余分配0.00万元，年末结转和结余0.00万元。</w:t>
      </w:r>
    </w:p>
    <w:p w14:paraId="0F13AAE6">
      <w:pPr>
        <w:spacing w:line="580" w:lineRule="exact"/>
        <w:ind w:firstLine="640"/>
        <w:jc w:val="both"/>
      </w:pPr>
      <w:r>
        <w:rPr>
          <w:rFonts w:ascii="仿宋_GB2312" w:hAnsi="仿宋_GB2312" w:eastAsia="仿宋_GB2312"/>
          <w:b w:val="0"/>
          <w:sz w:val="32"/>
        </w:rPr>
        <w:t>收入支出总体与上年相比，增加606.49万元，增长6.86%，主要原因是：</w:t>
      </w:r>
      <w:r>
        <w:rPr>
          <w:rFonts w:hint="eastAsia" w:ascii="仿宋_GB2312" w:hAnsi="仿宋_GB2312" w:eastAsia="仿宋_GB2312"/>
          <w:b w:val="0"/>
          <w:sz w:val="32"/>
        </w:rPr>
        <w:t>本年增加金果镇安置点修建项目、新疆煤改电二期工程补助（自治区补助资金）—第一标段项目</w:t>
      </w:r>
      <w:r>
        <w:rPr>
          <w:rFonts w:ascii="仿宋_GB2312" w:hAnsi="仿宋_GB2312" w:eastAsia="仿宋_GB2312"/>
          <w:b w:val="0"/>
          <w:sz w:val="32"/>
        </w:rPr>
        <w:t>。</w:t>
      </w:r>
    </w:p>
    <w:p w14:paraId="0294380F">
      <w:pPr>
        <w:spacing w:line="640" w:lineRule="exact"/>
        <w:ind w:firstLine="640"/>
        <w:jc w:val="both"/>
        <w:outlineLvl w:val="2"/>
      </w:pPr>
      <w:r>
        <w:rPr>
          <w:rFonts w:ascii="黑体" w:hAnsi="黑体" w:eastAsia="黑体"/>
          <w:sz w:val="32"/>
        </w:rPr>
        <w:t>二、收入决算情况说明</w:t>
      </w:r>
    </w:p>
    <w:p w14:paraId="0FAAA1EF">
      <w:pPr>
        <w:spacing w:line="580" w:lineRule="exact"/>
        <w:ind w:firstLine="640"/>
        <w:jc w:val="both"/>
      </w:pPr>
      <w:r>
        <w:rPr>
          <w:rFonts w:ascii="仿宋_GB2312" w:hAnsi="仿宋_GB2312" w:eastAsia="仿宋_GB2312"/>
          <w:b/>
          <w:sz w:val="32"/>
        </w:rPr>
        <w:t>本年收入9,446.77万元，</w:t>
      </w:r>
      <w:r>
        <w:rPr>
          <w:rFonts w:ascii="仿宋_GB2312" w:hAnsi="仿宋_GB2312" w:eastAsia="仿宋_GB2312"/>
          <w:b w:val="0"/>
          <w:sz w:val="32"/>
        </w:rPr>
        <w:t>其中：财政拨款收入9,446.77万元，占100.00%；上级补助收入0.00万元，占0.00%；事业收入0.00万元，占0.00%；经营收入0.00万元，占0.00%；附属单位上缴收入0.00万元，占0.00%；其他收入0.00万元，占0.00%。</w:t>
      </w:r>
    </w:p>
    <w:p w14:paraId="44635831">
      <w:pPr>
        <w:spacing w:line="640" w:lineRule="exact"/>
        <w:ind w:firstLine="640"/>
        <w:jc w:val="both"/>
        <w:outlineLvl w:val="2"/>
      </w:pPr>
      <w:r>
        <w:rPr>
          <w:rFonts w:ascii="黑体" w:hAnsi="黑体" w:eastAsia="黑体"/>
          <w:sz w:val="32"/>
        </w:rPr>
        <w:t>三、支出决算情况说明</w:t>
      </w:r>
    </w:p>
    <w:p w14:paraId="6621F375">
      <w:pPr>
        <w:spacing w:line="580" w:lineRule="exact"/>
        <w:ind w:firstLine="640"/>
        <w:jc w:val="both"/>
      </w:pPr>
      <w:r>
        <w:rPr>
          <w:rFonts w:ascii="仿宋_GB2312" w:hAnsi="仿宋_GB2312" w:eastAsia="仿宋_GB2312"/>
          <w:b/>
          <w:sz w:val="32"/>
        </w:rPr>
        <w:t>本年支出9,446.77万元，</w:t>
      </w:r>
      <w:r>
        <w:rPr>
          <w:rFonts w:ascii="仿宋_GB2312" w:hAnsi="仿宋_GB2312" w:eastAsia="仿宋_GB2312"/>
          <w:b w:val="0"/>
          <w:sz w:val="32"/>
        </w:rPr>
        <w:t>其中：基本支出2,171.16万元，占22.98%；项目支出7,275.61万元，占77.02%；上缴上级支出0.00万元，占0.00%；经营支出0.00万元，占0.00%；对附属单位补助支出0.00万元，占0.00%。</w:t>
      </w:r>
    </w:p>
    <w:p w14:paraId="473BC2BA">
      <w:pPr>
        <w:spacing w:line="640" w:lineRule="exact"/>
        <w:ind w:firstLine="640"/>
        <w:jc w:val="both"/>
        <w:outlineLvl w:val="2"/>
      </w:pPr>
      <w:r>
        <w:rPr>
          <w:rFonts w:ascii="黑体" w:hAnsi="黑体" w:eastAsia="黑体"/>
          <w:sz w:val="32"/>
        </w:rPr>
        <w:t>四、财政拨款收入支出决算总体情况说明</w:t>
      </w:r>
    </w:p>
    <w:p w14:paraId="76BA0264">
      <w:pPr>
        <w:spacing w:line="580" w:lineRule="exact"/>
        <w:ind w:firstLine="640"/>
        <w:jc w:val="both"/>
      </w:pPr>
      <w:r>
        <w:rPr>
          <w:rFonts w:ascii="仿宋_GB2312" w:hAnsi="仿宋_GB2312" w:eastAsia="仿宋_GB2312"/>
          <w:b/>
          <w:sz w:val="32"/>
        </w:rPr>
        <w:t>2024年度财政拨款收入总计9,446.77万元，</w:t>
      </w:r>
      <w:r>
        <w:rPr>
          <w:rFonts w:ascii="仿宋_GB2312" w:hAnsi="仿宋_GB2312" w:eastAsia="仿宋_GB2312"/>
          <w:b w:val="0"/>
          <w:sz w:val="32"/>
        </w:rPr>
        <w:t>其中：年初财政拨款结转和结余0.00万元，本年财政拨款收入9,446.77万元。</w:t>
      </w:r>
      <w:r>
        <w:rPr>
          <w:rFonts w:ascii="仿宋_GB2312" w:hAnsi="仿宋_GB2312" w:eastAsia="仿宋_GB2312"/>
          <w:b/>
          <w:sz w:val="32"/>
        </w:rPr>
        <w:t>财政拨款支出总计9,446.77万元，</w:t>
      </w:r>
      <w:r>
        <w:rPr>
          <w:rFonts w:ascii="仿宋_GB2312" w:hAnsi="仿宋_GB2312" w:eastAsia="仿宋_GB2312"/>
          <w:b w:val="0"/>
          <w:sz w:val="32"/>
        </w:rPr>
        <w:t>其中：年末财政拨款结转和结余0.00万元，本年财政拨款支出9,446.77万元。</w:t>
      </w:r>
    </w:p>
    <w:p w14:paraId="18E04A4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增加606.49万元，增长6.86%，主要原因是：</w:t>
      </w:r>
      <w:r>
        <w:rPr>
          <w:rFonts w:hint="eastAsia" w:ascii="仿宋_GB2312" w:hAnsi="仿宋_GB2312" w:eastAsia="仿宋_GB2312"/>
          <w:b w:val="0"/>
          <w:sz w:val="32"/>
        </w:rPr>
        <w:t>本年增加金果镇安置点修建项目、新疆煤改电二期工程补助（自治区补助资金）—第一标段项目</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年初预算数2,449.61万元，决算数9,446.77万元，预决算差异率285.64%，主要原因是：年中追加人员工资、社保、公积金基数调增部分资金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追加</w:t>
      </w:r>
      <w:r>
        <w:rPr>
          <w:rFonts w:ascii="仿宋_GB2312" w:hAnsi="仿宋_GB2312" w:eastAsia="仿宋_GB2312"/>
          <w:b w:val="0"/>
          <w:sz w:val="32"/>
        </w:rPr>
        <w:t>年中追加人员工资、社保、公积金基数调增部分资金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追加</w:t>
      </w:r>
      <w:r>
        <w:rPr>
          <w:rFonts w:hint="eastAsia" w:ascii="仿宋_GB2312" w:hAnsi="仿宋_GB2312" w:eastAsia="仿宋_GB2312"/>
          <w:b w:val="0"/>
          <w:sz w:val="32"/>
        </w:rPr>
        <w:t>新疆煤改电二期工程补助（自治区补助资金）—第一标段项目</w:t>
      </w:r>
      <w:r>
        <w:rPr>
          <w:rFonts w:hint="eastAsia" w:ascii="仿宋_GB2312" w:hAnsi="仿宋_GB2312" w:eastAsia="仿宋_GB2312"/>
          <w:b w:val="0"/>
          <w:sz w:val="32"/>
          <w:lang w:eastAsia="zh-CN"/>
        </w:rPr>
        <w:t>、金果镇安置点修建项目、中央综改农村公益事业财政奖补资金项目</w:t>
      </w:r>
      <w:r>
        <w:rPr>
          <w:rFonts w:hint="eastAsia" w:ascii="仿宋_GB2312" w:hAnsi="仿宋_GB2312" w:eastAsia="仿宋_GB2312"/>
          <w:b w:val="0"/>
          <w:sz w:val="32"/>
          <w:lang w:val="en-US" w:eastAsia="zh-CN"/>
        </w:rPr>
        <w:t>等</w:t>
      </w:r>
      <w:r>
        <w:rPr>
          <w:rFonts w:ascii="仿宋_GB2312" w:hAnsi="仿宋_GB2312" w:eastAsia="仿宋_GB2312"/>
          <w:b w:val="0"/>
          <w:sz w:val="32"/>
        </w:rPr>
        <w:t>，导致预决算存在差异。</w:t>
      </w:r>
    </w:p>
    <w:p w14:paraId="2C29F58E">
      <w:pPr>
        <w:spacing w:line="640" w:lineRule="exact"/>
        <w:ind w:firstLine="640"/>
        <w:jc w:val="both"/>
        <w:outlineLvl w:val="2"/>
      </w:pPr>
      <w:r>
        <w:rPr>
          <w:rFonts w:ascii="黑体" w:hAnsi="黑体" w:eastAsia="黑体"/>
          <w:sz w:val="32"/>
        </w:rPr>
        <w:t>五、一般公共预算财政拨款支出决算情况说明</w:t>
      </w:r>
    </w:p>
    <w:p w14:paraId="2772D607">
      <w:pPr>
        <w:spacing w:line="640" w:lineRule="exact"/>
        <w:ind w:firstLine="640"/>
        <w:jc w:val="both"/>
        <w:outlineLvl w:val="3"/>
      </w:pPr>
      <w:r>
        <w:rPr>
          <w:rFonts w:ascii="楷体_GB2312" w:hAnsi="楷体_GB2312" w:eastAsia="楷体_GB2312"/>
          <w:b/>
          <w:sz w:val="32"/>
        </w:rPr>
        <w:t>（一）一般公共预算财政拨款支出决算总体情况</w:t>
      </w:r>
    </w:p>
    <w:p w14:paraId="66A2BBF0">
      <w:pPr>
        <w:spacing w:line="580" w:lineRule="exact"/>
        <w:ind w:firstLine="640"/>
        <w:jc w:val="both"/>
      </w:pPr>
      <w:r>
        <w:rPr>
          <w:rFonts w:ascii="仿宋_GB2312" w:hAnsi="仿宋_GB2312" w:eastAsia="仿宋_GB2312"/>
          <w:b/>
          <w:sz w:val="32"/>
        </w:rPr>
        <w:t>2024年度一般公共预算财政拨款支出9,446.77万元，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增加624.74万元，增长7.08%，主要原因是：</w:t>
      </w:r>
      <w:r>
        <w:rPr>
          <w:rFonts w:hint="eastAsia" w:ascii="仿宋_GB2312" w:hAnsi="仿宋_GB2312" w:eastAsia="仿宋_GB2312"/>
          <w:b w:val="0"/>
          <w:sz w:val="32"/>
        </w:rPr>
        <w:t>本年增加金果镇安置点修建项目、新疆煤改电二期工程补助（自治区补助资金）—第一标段项目</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年初预算数2,449.61万元，决算数9,446.77万元，预决算差异率285.64%，主要原因是：年中追加人员工资、社保、公积金基数调增部分资金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追加</w:t>
      </w:r>
      <w:r>
        <w:rPr>
          <w:rFonts w:hint="eastAsia" w:ascii="仿宋_GB2312" w:hAnsi="仿宋_GB2312" w:eastAsia="仿宋_GB2312"/>
          <w:b w:val="0"/>
          <w:sz w:val="32"/>
        </w:rPr>
        <w:t>新疆煤改电二期工程补助（自治区补助资金）—第一标段项目</w:t>
      </w:r>
      <w:r>
        <w:rPr>
          <w:rFonts w:hint="eastAsia" w:ascii="仿宋_GB2312" w:hAnsi="仿宋_GB2312" w:eastAsia="仿宋_GB2312"/>
          <w:b w:val="0"/>
          <w:sz w:val="32"/>
          <w:lang w:eastAsia="zh-CN"/>
        </w:rPr>
        <w:t>、金果镇安置点修建项目、中央综改农村公益事业财政奖补资金项目</w:t>
      </w:r>
      <w:r>
        <w:rPr>
          <w:rFonts w:hint="eastAsia" w:ascii="仿宋_GB2312" w:hAnsi="仿宋_GB2312" w:eastAsia="仿宋_GB2312"/>
          <w:b w:val="0"/>
          <w:sz w:val="32"/>
          <w:lang w:val="en-US" w:eastAsia="zh-CN"/>
        </w:rPr>
        <w:t>等</w:t>
      </w:r>
      <w:r>
        <w:rPr>
          <w:rFonts w:ascii="仿宋_GB2312" w:hAnsi="仿宋_GB2312" w:eastAsia="仿宋_GB2312"/>
          <w:b w:val="0"/>
          <w:sz w:val="32"/>
        </w:rPr>
        <w:t>，导致预决算存在差异。</w:t>
      </w:r>
    </w:p>
    <w:p w14:paraId="1ED3CD9D">
      <w:pPr>
        <w:spacing w:line="640" w:lineRule="exact"/>
        <w:ind w:firstLine="640"/>
        <w:jc w:val="both"/>
        <w:outlineLvl w:val="3"/>
      </w:pPr>
      <w:r>
        <w:rPr>
          <w:rFonts w:ascii="楷体_GB2312" w:hAnsi="楷体_GB2312" w:eastAsia="楷体_GB2312"/>
          <w:b/>
          <w:sz w:val="32"/>
        </w:rPr>
        <w:t>（二）一般公共预算财政拨款支出决算结构情况</w:t>
      </w:r>
    </w:p>
    <w:p w14:paraId="4F77AC92">
      <w:pPr>
        <w:spacing w:line="580" w:lineRule="exact"/>
        <w:ind w:firstLine="640"/>
        <w:jc w:val="both"/>
      </w:pPr>
      <w:r>
        <w:rPr>
          <w:rFonts w:ascii="仿宋_GB2312" w:hAnsi="仿宋_GB2312" w:eastAsia="仿宋_GB2312"/>
          <w:b w:val="0"/>
          <w:sz w:val="32"/>
        </w:rPr>
        <w:t>1.一般公共服务支出(类)1,788.17万元,占18.93%。</w:t>
      </w:r>
    </w:p>
    <w:p w14:paraId="6FAAD11F">
      <w:pPr>
        <w:spacing w:line="580" w:lineRule="exact"/>
        <w:ind w:firstLine="640"/>
        <w:jc w:val="both"/>
      </w:pPr>
      <w:r>
        <w:rPr>
          <w:rFonts w:ascii="仿宋_GB2312" w:hAnsi="仿宋_GB2312" w:eastAsia="仿宋_GB2312"/>
          <w:b w:val="0"/>
          <w:sz w:val="32"/>
        </w:rPr>
        <w:t>2.公共安全支出(类)3.64万元,占0.04%。</w:t>
      </w:r>
    </w:p>
    <w:p w14:paraId="64FA86A1">
      <w:pPr>
        <w:spacing w:line="580" w:lineRule="exact"/>
        <w:ind w:firstLine="640"/>
        <w:jc w:val="both"/>
      </w:pPr>
      <w:r>
        <w:rPr>
          <w:rFonts w:ascii="仿宋_GB2312" w:hAnsi="仿宋_GB2312" w:eastAsia="仿宋_GB2312"/>
          <w:b w:val="0"/>
          <w:sz w:val="32"/>
        </w:rPr>
        <w:t>3.文化旅游体育与传媒支出(类)7.78万元,占0.08%。</w:t>
      </w:r>
    </w:p>
    <w:p w14:paraId="4E761ED2">
      <w:pPr>
        <w:spacing w:line="580" w:lineRule="exact"/>
        <w:ind w:firstLine="640"/>
        <w:jc w:val="both"/>
      </w:pPr>
      <w:r>
        <w:rPr>
          <w:rFonts w:ascii="仿宋_GB2312" w:hAnsi="仿宋_GB2312" w:eastAsia="仿宋_GB2312"/>
          <w:b w:val="0"/>
          <w:sz w:val="32"/>
        </w:rPr>
        <w:t>4.社会保障和就业支出(类)279.52万元,占2.96%。</w:t>
      </w:r>
    </w:p>
    <w:p w14:paraId="5E772041">
      <w:pPr>
        <w:spacing w:line="580" w:lineRule="exact"/>
        <w:ind w:firstLine="640"/>
        <w:jc w:val="both"/>
      </w:pPr>
      <w:r>
        <w:rPr>
          <w:rFonts w:ascii="仿宋_GB2312" w:hAnsi="仿宋_GB2312" w:eastAsia="仿宋_GB2312"/>
          <w:b w:val="0"/>
          <w:sz w:val="32"/>
        </w:rPr>
        <w:t>5.卫生健康支出(类)111.98万元,占1.19%。</w:t>
      </w:r>
    </w:p>
    <w:p w14:paraId="6E065458">
      <w:pPr>
        <w:spacing w:line="580" w:lineRule="exact"/>
        <w:ind w:firstLine="640"/>
        <w:jc w:val="both"/>
      </w:pPr>
      <w:r>
        <w:rPr>
          <w:rFonts w:ascii="仿宋_GB2312" w:hAnsi="仿宋_GB2312" w:eastAsia="仿宋_GB2312"/>
          <w:b w:val="0"/>
          <w:sz w:val="32"/>
        </w:rPr>
        <w:t>6.节能环保支出(类)771.12万元,占8.16%。</w:t>
      </w:r>
    </w:p>
    <w:p w14:paraId="316C3D3D">
      <w:pPr>
        <w:spacing w:line="580" w:lineRule="exact"/>
        <w:ind w:firstLine="640"/>
        <w:jc w:val="both"/>
      </w:pPr>
      <w:r>
        <w:rPr>
          <w:rFonts w:ascii="仿宋_GB2312" w:hAnsi="仿宋_GB2312" w:eastAsia="仿宋_GB2312"/>
          <w:b w:val="0"/>
          <w:sz w:val="32"/>
        </w:rPr>
        <w:t>7.农林水支出(类)6,311.08万元,占66.81%。</w:t>
      </w:r>
    </w:p>
    <w:p w14:paraId="2DC2B32C">
      <w:pPr>
        <w:spacing w:line="580" w:lineRule="exact"/>
        <w:ind w:firstLine="640"/>
        <w:jc w:val="both"/>
      </w:pPr>
      <w:r>
        <w:rPr>
          <w:rFonts w:ascii="仿宋_GB2312" w:hAnsi="仿宋_GB2312" w:eastAsia="仿宋_GB2312"/>
          <w:b w:val="0"/>
          <w:sz w:val="32"/>
        </w:rPr>
        <w:t>8.交通运输支出(类)0.12万元,占0.001%。</w:t>
      </w:r>
    </w:p>
    <w:p w14:paraId="78A6B823">
      <w:pPr>
        <w:spacing w:line="580" w:lineRule="exact"/>
        <w:ind w:firstLine="640"/>
        <w:jc w:val="both"/>
      </w:pPr>
      <w:r>
        <w:rPr>
          <w:rFonts w:ascii="仿宋_GB2312" w:hAnsi="仿宋_GB2312" w:eastAsia="仿宋_GB2312"/>
          <w:b w:val="0"/>
          <w:sz w:val="32"/>
        </w:rPr>
        <w:t>9.住房保障支出(类)173.36万元,占1.84%。</w:t>
      </w:r>
    </w:p>
    <w:p w14:paraId="5A944566">
      <w:pPr>
        <w:spacing w:line="640" w:lineRule="exact"/>
        <w:ind w:firstLine="640"/>
        <w:jc w:val="both"/>
        <w:outlineLvl w:val="3"/>
      </w:pPr>
      <w:r>
        <w:rPr>
          <w:rFonts w:ascii="楷体_GB2312" w:hAnsi="楷体_GB2312" w:eastAsia="楷体_GB2312"/>
          <w:b/>
          <w:sz w:val="32"/>
        </w:rPr>
        <w:t>（三）一般公共预算财政拨款支出决算具体情况</w:t>
      </w:r>
    </w:p>
    <w:p w14:paraId="54CDEC9A">
      <w:pPr>
        <w:spacing w:line="580" w:lineRule="exact"/>
        <w:ind w:firstLine="640"/>
        <w:jc w:val="both"/>
      </w:pPr>
      <w:r>
        <w:rPr>
          <w:rFonts w:ascii="仿宋_GB2312" w:hAnsi="仿宋_GB2312" w:eastAsia="仿宋_GB2312"/>
          <w:b w:val="0"/>
          <w:sz w:val="32"/>
        </w:rPr>
        <w:t>1.一般公共服务支出(类)人大事务(款)代表工作(项):支出决算数为0.00万元，比上年决算减少3.16万元，下降100.00%,主要原因是：本年度人大经费支出减少。</w:t>
      </w:r>
    </w:p>
    <w:p w14:paraId="2A2FB908">
      <w:pPr>
        <w:spacing w:line="580" w:lineRule="exact"/>
        <w:ind w:firstLine="640"/>
        <w:jc w:val="both"/>
      </w:pPr>
      <w:r>
        <w:rPr>
          <w:rFonts w:ascii="仿宋_GB2312" w:hAnsi="仿宋_GB2312" w:eastAsia="仿宋_GB2312"/>
          <w:b w:val="0"/>
          <w:sz w:val="32"/>
        </w:rPr>
        <w:t>2.一般公共服务支出(类)政府办公厅（室）及相关机构事务(款)行政运行(项):支出决算数为1,611.30万元，比上年决算减少75.44万元，下降4.47%,主要原因是：本年在职人员减少，相应人员经费较上年减少。</w:t>
      </w:r>
    </w:p>
    <w:p w14:paraId="39613520">
      <w:pPr>
        <w:spacing w:line="580" w:lineRule="exact"/>
        <w:ind w:firstLine="640"/>
        <w:jc w:val="both"/>
      </w:pPr>
      <w:r>
        <w:rPr>
          <w:rFonts w:ascii="仿宋_GB2312" w:hAnsi="仿宋_GB2312" w:eastAsia="仿宋_GB2312"/>
          <w:b w:val="0"/>
          <w:sz w:val="32"/>
        </w:rPr>
        <w:t>3.一般公共服务支出(类)政府办公厅（室）及相关机构事务(款)一般行政管理事务(项):支出决算数为0.00万元，比上年决算减少35.00万元，下降100.00%,主要原因是：本年度减少专项公用经费项目。</w:t>
      </w:r>
    </w:p>
    <w:p w14:paraId="1EA6FA89">
      <w:pPr>
        <w:spacing w:line="580" w:lineRule="exact"/>
        <w:ind w:firstLine="640"/>
        <w:jc w:val="both"/>
      </w:pPr>
      <w:r>
        <w:rPr>
          <w:rFonts w:ascii="仿宋_GB2312" w:hAnsi="仿宋_GB2312" w:eastAsia="仿宋_GB2312"/>
          <w:b w:val="0"/>
          <w:sz w:val="32"/>
        </w:rPr>
        <w:t>4.一般公共服务支出(类)纪检监察事务(款)其他纪检监察事务支出(项):支出决算数为2.00万元，比上年决算增加2.00万元，增长100.00%,主要原因是：本年度增加纪检经费。</w:t>
      </w:r>
    </w:p>
    <w:p w14:paraId="5CF51622">
      <w:pPr>
        <w:spacing w:line="580" w:lineRule="exact"/>
        <w:ind w:firstLine="640"/>
        <w:jc w:val="both"/>
      </w:pPr>
      <w:r>
        <w:rPr>
          <w:rFonts w:ascii="仿宋_GB2312" w:hAnsi="仿宋_GB2312" w:eastAsia="仿宋_GB2312"/>
          <w:b w:val="0"/>
          <w:sz w:val="32"/>
        </w:rPr>
        <w:t>5.一般公共服务支出(类)组织事务(款)其他组织事务支出(项):支出决算数为174.87万元，比上年决算增加11.01万元，增长6.72%,主要原因是：本年度增加村运转经费。</w:t>
      </w:r>
    </w:p>
    <w:p w14:paraId="288B19F2">
      <w:pPr>
        <w:spacing w:line="580" w:lineRule="exact"/>
        <w:ind w:firstLine="640"/>
        <w:jc w:val="both"/>
      </w:pPr>
      <w:r>
        <w:rPr>
          <w:rFonts w:ascii="仿宋_GB2312" w:hAnsi="仿宋_GB2312" w:eastAsia="仿宋_GB2312"/>
          <w:b w:val="0"/>
          <w:sz w:val="32"/>
        </w:rPr>
        <w:t>6.一般公共服务支出(类)统战事务(款)其他统战事务支出(项):支出决算数为0.00万元，比上年决算减少3.50万元，下降100.00%,主要原因是：本年减少金果镇2024年度管委会经费项目。</w:t>
      </w:r>
    </w:p>
    <w:p w14:paraId="0EB1ECF3">
      <w:pPr>
        <w:spacing w:line="580" w:lineRule="exact"/>
        <w:ind w:firstLine="640"/>
        <w:jc w:val="both"/>
      </w:pPr>
      <w:r>
        <w:rPr>
          <w:rFonts w:ascii="仿宋_GB2312" w:hAnsi="仿宋_GB2312" w:eastAsia="仿宋_GB2312"/>
          <w:b w:val="0"/>
          <w:sz w:val="32"/>
        </w:rPr>
        <w:t>7.公共安全支出(类)其他公共安全支出(款)其他公共安全支出(项):支出决算数为3.64万元，比上年决算减少3.36万元，下降48.00%,主要原因是：本年度减少奖励工作经费项目及转移支付资金。</w:t>
      </w:r>
    </w:p>
    <w:p w14:paraId="7D23D3E0">
      <w:pPr>
        <w:spacing w:line="580" w:lineRule="exact"/>
        <w:ind w:firstLine="640"/>
        <w:jc w:val="both"/>
      </w:pPr>
      <w:r>
        <w:rPr>
          <w:rFonts w:ascii="仿宋_GB2312" w:hAnsi="仿宋_GB2312" w:eastAsia="仿宋_GB2312"/>
          <w:b w:val="0"/>
          <w:sz w:val="32"/>
        </w:rPr>
        <w:t>8.文化旅游体育与传媒支出(类)文化和旅游(款)其他文化和旅游支出(项):支出决算数为0.50万元，比上年决算减少4.50万元，下降90.00%,主要原因是：本年度2024年文化站免费开放补助资金减少。</w:t>
      </w:r>
    </w:p>
    <w:p w14:paraId="3BF97122">
      <w:pPr>
        <w:spacing w:line="580" w:lineRule="exact"/>
        <w:ind w:firstLine="640"/>
        <w:jc w:val="both"/>
      </w:pPr>
      <w:r>
        <w:rPr>
          <w:rFonts w:ascii="仿宋_GB2312" w:hAnsi="仿宋_GB2312" w:eastAsia="仿宋_GB2312"/>
          <w:b w:val="0"/>
          <w:sz w:val="32"/>
        </w:rPr>
        <w:t>9.文化旅游体育与传媒支出(类)其他文化旅游体育与传媒支出(款)其他文化旅游体育与传媒支出(项):支出决算数为7.28万元，比上年决算减少15.00万元，下降67.32%,主要原因是：本年减少地方公共文化服务体系建设补助资金项目。</w:t>
      </w:r>
    </w:p>
    <w:p w14:paraId="3DB710EF">
      <w:pPr>
        <w:spacing w:line="580" w:lineRule="exact"/>
        <w:ind w:firstLine="640"/>
        <w:jc w:val="both"/>
      </w:pPr>
      <w:r>
        <w:rPr>
          <w:rFonts w:ascii="仿宋_GB2312" w:hAnsi="仿宋_GB2312" w:eastAsia="仿宋_GB2312"/>
          <w:b w:val="0"/>
          <w:sz w:val="32"/>
        </w:rPr>
        <w:t>10.社会保障和就业支出(类)民政管理事务(款)其他民政管理事务支出(项):支出决算数为5.00万元，比上年决算增加0.00万元，增长0.00%,主要原因是：本年幸福大院经费与上年一致，无变化。</w:t>
      </w:r>
    </w:p>
    <w:p w14:paraId="19222BEC">
      <w:pPr>
        <w:spacing w:line="580" w:lineRule="exact"/>
        <w:ind w:firstLine="640"/>
        <w:jc w:val="both"/>
      </w:pPr>
      <w:r>
        <w:rPr>
          <w:rFonts w:ascii="仿宋_GB2312" w:hAnsi="仿宋_GB2312" w:eastAsia="仿宋_GB2312"/>
          <w:b w:val="0"/>
          <w:sz w:val="32"/>
        </w:rPr>
        <w:t>11.社会保障和就业支出(类)行政事业单位养老支出(款)行政单位离退休(项):支出决算数为21.63万元，比上年决算增加4.43万元，增长25.76%,主要原因是：本年退休人员增加，退休人员经费增加。</w:t>
      </w:r>
    </w:p>
    <w:p w14:paraId="247814B7">
      <w:pPr>
        <w:spacing w:line="580" w:lineRule="exact"/>
        <w:ind w:firstLine="640"/>
        <w:jc w:val="both"/>
      </w:pPr>
      <w:r>
        <w:rPr>
          <w:rFonts w:ascii="仿宋_GB2312" w:hAnsi="仿宋_GB2312" w:eastAsia="仿宋_GB2312"/>
          <w:b w:val="0"/>
          <w:sz w:val="32"/>
        </w:rPr>
        <w:t>12.社会保障和就业支出(类)行政事业单位养老支出(款)机关事业单位基本养老保险缴费支出(项):支出决算数为215.09万元，比上年决算增加48.53万元，增长29.14%,主要原因是：本年度人员工资调资，行政单位医疗经费增加。</w:t>
      </w:r>
    </w:p>
    <w:p w14:paraId="47D73A05">
      <w:pPr>
        <w:spacing w:line="580" w:lineRule="exact"/>
        <w:ind w:firstLine="640"/>
        <w:jc w:val="both"/>
      </w:pPr>
      <w:r>
        <w:rPr>
          <w:rFonts w:ascii="仿宋_GB2312" w:hAnsi="仿宋_GB2312" w:eastAsia="仿宋_GB2312"/>
          <w:b w:val="0"/>
          <w:sz w:val="32"/>
        </w:rPr>
        <w:t>13.社会保障和就业支出(类)行政事业单位养老支出(款)机关事业单位职业年金缴费支出(项):支出决算数为37.79万元，比上年决算增加29.69万元，增长366.54%,主要原因是：本年退休人员增加，退休人员职业年金缴费增加。</w:t>
      </w:r>
    </w:p>
    <w:p w14:paraId="1C0BC05C">
      <w:pPr>
        <w:spacing w:line="580" w:lineRule="exact"/>
        <w:ind w:firstLine="640"/>
        <w:jc w:val="both"/>
      </w:pPr>
      <w:r>
        <w:rPr>
          <w:rFonts w:ascii="仿宋_GB2312" w:hAnsi="仿宋_GB2312" w:eastAsia="仿宋_GB2312"/>
          <w:b w:val="0"/>
          <w:sz w:val="32"/>
        </w:rPr>
        <w:t>14.卫生健康支出(类)行政事业单位医疗(款)行政单位医疗(项):支出决算数为91.44万元，比上年决算增加19.98万元，增长27.96%,主要原因是：本年度人员工资调资，行政单位医疗经费增加。</w:t>
      </w:r>
    </w:p>
    <w:p w14:paraId="582ED459">
      <w:pPr>
        <w:spacing w:line="580" w:lineRule="exact"/>
        <w:ind w:firstLine="640"/>
        <w:jc w:val="both"/>
      </w:pPr>
      <w:r>
        <w:rPr>
          <w:rFonts w:ascii="仿宋_GB2312" w:hAnsi="仿宋_GB2312" w:eastAsia="仿宋_GB2312"/>
          <w:b w:val="0"/>
          <w:sz w:val="32"/>
        </w:rPr>
        <w:t>15.卫生健康支出(类)行政事业单位医疗(款)公务员医疗补助(项):支出决算数为20.54万元，比上年决算增加3.91万元，增长23.51%,主要原因是：本年度在职人员工资调增，公务员医疗补助经费增加。</w:t>
      </w:r>
    </w:p>
    <w:p w14:paraId="4EFFE007">
      <w:pPr>
        <w:spacing w:line="580" w:lineRule="exact"/>
        <w:ind w:firstLine="640"/>
        <w:jc w:val="both"/>
      </w:pPr>
      <w:r>
        <w:rPr>
          <w:rFonts w:ascii="仿宋_GB2312" w:hAnsi="仿宋_GB2312" w:eastAsia="仿宋_GB2312"/>
          <w:b w:val="0"/>
          <w:sz w:val="32"/>
        </w:rPr>
        <w:t>16.节能环保支出(类)能源节约利用(款)能源节约利用(项):支出决算数为771.12万元，比上年决算增加771.12万元，增长100.00%,主要原因是：本年新增</w:t>
      </w:r>
      <w:r>
        <w:rPr>
          <w:rFonts w:hint="eastAsia" w:ascii="仿宋_GB2312" w:hAnsi="仿宋_GB2312" w:eastAsia="仿宋_GB2312"/>
          <w:b w:val="0"/>
          <w:sz w:val="32"/>
        </w:rPr>
        <w:t>新疆煤改电二期工程补助（自治区补助资金）—第一标段项目</w:t>
      </w:r>
      <w:r>
        <w:rPr>
          <w:rFonts w:ascii="仿宋_GB2312" w:hAnsi="仿宋_GB2312" w:eastAsia="仿宋_GB2312"/>
          <w:b w:val="0"/>
          <w:sz w:val="32"/>
        </w:rPr>
        <w:t>。</w:t>
      </w:r>
    </w:p>
    <w:p w14:paraId="3098CF87">
      <w:pPr>
        <w:spacing w:line="580" w:lineRule="exact"/>
        <w:ind w:firstLine="640"/>
        <w:jc w:val="both"/>
      </w:pPr>
      <w:r>
        <w:rPr>
          <w:rFonts w:ascii="仿宋_GB2312" w:hAnsi="仿宋_GB2312" w:eastAsia="仿宋_GB2312"/>
          <w:b w:val="0"/>
          <w:sz w:val="32"/>
        </w:rPr>
        <w:t>17.农林水支出(类)农业农村(款)行政运行(项):支出决算数为0.00万元，比上年决算减少66.51万元，下降100.00%,主要原因是：本年科目调整，津贴补贴上年在农林水支出(类)农业农村(款)行政运行(项)，本年调整至一般公共服务支出(类)政府办公厅（室）及相关机构事务(款)行政运行(项)。</w:t>
      </w:r>
    </w:p>
    <w:p w14:paraId="5B605545">
      <w:pPr>
        <w:spacing w:line="580" w:lineRule="exact"/>
        <w:ind w:firstLine="640"/>
        <w:jc w:val="both"/>
      </w:pPr>
      <w:r>
        <w:rPr>
          <w:rFonts w:ascii="仿宋_GB2312" w:hAnsi="仿宋_GB2312" w:eastAsia="仿宋_GB2312"/>
          <w:b w:val="0"/>
          <w:sz w:val="32"/>
        </w:rPr>
        <w:t>18.农林水支出(类)农业农村(款)农业生产发展(项):支出决算数为3.52万元，比上年决算增加3.52万元，增长100.00%,主要原因是：本年度新增叶城县高素质农民培育项目。</w:t>
      </w:r>
    </w:p>
    <w:p w14:paraId="5ADF3D28">
      <w:pPr>
        <w:spacing w:line="580" w:lineRule="exact"/>
        <w:ind w:firstLine="640"/>
        <w:jc w:val="both"/>
      </w:pPr>
      <w:r>
        <w:rPr>
          <w:rFonts w:ascii="仿宋_GB2312" w:hAnsi="仿宋_GB2312" w:eastAsia="仿宋_GB2312"/>
          <w:b w:val="0"/>
          <w:sz w:val="32"/>
        </w:rPr>
        <w:t>19.农林水支出(类)巩固脱贫攻坚成果衔接乡村振兴(款)农村基础设施建设(项):支出决算数为0.00万元，比上年决算减少9.70万元，下降100.00%,主要原因是：本年减少叶城县金果镇产业就业基地建设项目和叶城县金果镇10村和11村示范村乡村建设项目。</w:t>
      </w:r>
    </w:p>
    <w:p w14:paraId="0E4BC193">
      <w:pPr>
        <w:spacing w:line="580" w:lineRule="exact"/>
        <w:ind w:firstLine="640"/>
        <w:jc w:val="both"/>
      </w:pPr>
      <w:r>
        <w:rPr>
          <w:rFonts w:ascii="仿宋_GB2312" w:hAnsi="仿宋_GB2312" w:eastAsia="仿宋_GB2312"/>
          <w:b w:val="0"/>
          <w:sz w:val="32"/>
        </w:rPr>
        <w:t>20.农林水支出(类)巩固脱贫攻坚成果衔接乡村振兴(款)生产发展(项):支出决算数为1,911.41万元，比上年决算减少3,825.43万元，下降66.68%,主要原因是：本年减少叶城县金果镇污水管网建设项目、叶城县金果镇杨提赛（10）村基础设施建设项目、叶城县冷藏保险库建设项目等项目。</w:t>
      </w:r>
    </w:p>
    <w:p w14:paraId="744725CA">
      <w:pPr>
        <w:spacing w:line="580" w:lineRule="exact"/>
        <w:ind w:firstLine="640"/>
        <w:jc w:val="both"/>
      </w:pPr>
      <w:r>
        <w:rPr>
          <w:rFonts w:ascii="仿宋_GB2312" w:hAnsi="仿宋_GB2312" w:eastAsia="仿宋_GB2312"/>
          <w:b w:val="0"/>
          <w:sz w:val="32"/>
        </w:rPr>
        <w:t>21.农林水支出(类)农村综合改革(款)对村级公益事业建设的补助(项):支出决算数为171.93万元，比上年决算减少500.52万元，下降74.43%,主要原因是：本年减少叶城县金果镇古丽巴格(4)村2023年村公益事业建设补助、叶城县金果镇栏杆(5)村2023年村级公益事业建设补助、中央农村综合改革转移支付项目等项目。</w:t>
      </w:r>
    </w:p>
    <w:p w14:paraId="6B87B845">
      <w:pPr>
        <w:spacing w:line="580" w:lineRule="exact"/>
        <w:ind w:firstLine="640"/>
        <w:jc w:val="both"/>
      </w:pPr>
      <w:r>
        <w:rPr>
          <w:rFonts w:ascii="仿宋_GB2312" w:hAnsi="仿宋_GB2312" w:eastAsia="仿宋_GB2312"/>
          <w:b w:val="0"/>
          <w:sz w:val="32"/>
        </w:rPr>
        <w:t>22.农林水支出(类)其他农林水支出(款)其他农林水支出(项):支出决算数为4,224.22万元，比上年决算增加4,224.22万元，增长100.00%,主要原因是：本年新增金果镇安置点修建项目。</w:t>
      </w:r>
    </w:p>
    <w:p w14:paraId="70461AE5">
      <w:pPr>
        <w:spacing w:line="580" w:lineRule="exact"/>
        <w:ind w:firstLine="640"/>
        <w:jc w:val="both"/>
      </w:pPr>
      <w:r>
        <w:rPr>
          <w:rFonts w:ascii="仿宋_GB2312" w:hAnsi="仿宋_GB2312" w:eastAsia="仿宋_GB2312"/>
          <w:b w:val="0"/>
          <w:sz w:val="32"/>
        </w:rPr>
        <w:t>23.交通运输支出(类)邮政业支出(款)邮政普遍服务与特殊服务(项):支出决算数为0.12万元，比上年决算增加0.00万元，增长0.00%,主要原因是：2024年农牧区投递员专项补贴资金与上年一致，无变化。</w:t>
      </w:r>
    </w:p>
    <w:p w14:paraId="6E4E214E">
      <w:pPr>
        <w:spacing w:line="580" w:lineRule="exact"/>
        <w:ind w:firstLine="640"/>
        <w:jc w:val="both"/>
      </w:pPr>
      <w:r>
        <w:rPr>
          <w:rFonts w:ascii="仿宋_GB2312" w:hAnsi="仿宋_GB2312" w:eastAsia="仿宋_GB2312"/>
          <w:b w:val="0"/>
          <w:sz w:val="32"/>
        </w:rPr>
        <w:t>24.住房保障支出(类)住房改革支出(款)住房公积金(项):支出决算数为173.36万元，比上年决算增加48.43万元，增长38.77%,主要原因是：本年度人员工资调增，住房公积金缴费支出增加。</w:t>
      </w:r>
    </w:p>
    <w:p w14:paraId="4CCC8675">
      <w:pPr>
        <w:spacing w:line="640" w:lineRule="exact"/>
        <w:ind w:firstLine="640"/>
        <w:jc w:val="both"/>
        <w:outlineLvl w:val="2"/>
      </w:pPr>
      <w:r>
        <w:rPr>
          <w:rFonts w:ascii="黑体" w:hAnsi="黑体" w:eastAsia="黑体"/>
          <w:sz w:val="32"/>
        </w:rPr>
        <w:t>六、一般公共预算财政拨款基本支出决算情况说明</w:t>
      </w:r>
    </w:p>
    <w:p w14:paraId="24658451">
      <w:pPr>
        <w:spacing w:line="580" w:lineRule="exact"/>
        <w:ind w:firstLine="640"/>
        <w:jc w:val="both"/>
      </w:pPr>
      <w:r>
        <w:rPr>
          <w:rFonts w:ascii="仿宋_GB2312" w:hAnsi="仿宋_GB2312" w:eastAsia="仿宋_GB2312"/>
          <w:b w:val="0"/>
          <w:sz w:val="32"/>
        </w:rPr>
        <w:t>2024年度一般公共预算财政拨款基本支出2,171.16万元，其中：</w:t>
      </w:r>
      <w:r>
        <w:rPr>
          <w:rFonts w:ascii="仿宋_GB2312" w:hAnsi="仿宋_GB2312" w:eastAsia="仿宋_GB2312"/>
          <w:b/>
          <w:sz w:val="32"/>
        </w:rPr>
        <w:t>人员经费2,118.86万元，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3BB8D6F9">
      <w:pPr>
        <w:spacing w:line="580" w:lineRule="exact"/>
        <w:ind w:firstLine="640"/>
        <w:jc w:val="both"/>
      </w:pPr>
      <w:r>
        <w:rPr>
          <w:rFonts w:ascii="仿宋_GB2312" w:hAnsi="仿宋_GB2312" w:eastAsia="仿宋_GB2312"/>
          <w:b/>
          <w:sz w:val="32"/>
        </w:rPr>
        <w:t>公用经费52.30万元，</w:t>
      </w:r>
      <w:r>
        <w:rPr>
          <w:rFonts w:ascii="仿宋_GB2312" w:hAnsi="仿宋_GB2312" w:eastAsia="仿宋_GB2312"/>
          <w:b w:val="0"/>
          <w:sz w:val="32"/>
        </w:rPr>
        <w:t>包括：办公费、水费、电费、邮电费、取暖费、租赁费、公务用车运行维护费、其他交通费用。</w:t>
      </w:r>
    </w:p>
    <w:p w14:paraId="46BA3FFE">
      <w:pPr>
        <w:spacing w:line="640" w:lineRule="exact"/>
        <w:ind w:firstLine="640"/>
        <w:jc w:val="both"/>
        <w:outlineLvl w:val="2"/>
      </w:pPr>
      <w:r>
        <w:rPr>
          <w:rFonts w:ascii="黑体" w:hAnsi="黑体" w:eastAsia="黑体"/>
          <w:sz w:val="32"/>
        </w:rPr>
        <w:t>七、政府性基金预算财政拨款收入支出决算情况说明</w:t>
      </w:r>
    </w:p>
    <w:p w14:paraId="520D5DE9">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2E77C418">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减少18.25万元，下降100.00%，主要原因是：本年减少征地和拆迁项目。</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年初预算数0.00万元，决算数0.00万元，预决算差异率0.00%，主要原因是：本年未安排政府性基金项目。</w:t>
      </w:r>
    </w:p>
    <w:p w14:paraId="5910ADE6">
      <w:pPr>
        <w:spacing w:line="580" w:lineRule="exact"/>
        <w:ind w:firstLine="640"/>
        <w:jc w:val="both"/>
      </w:pPr>
      <w:r>
        <w:rPr>
          <w:rFonts w:ascii="仿宋_GB2312" w:hAnsi="仿宋_GB2312" w:eastAsia="仿宋_GB2312"/>
          <w:b w:val="0"/>
          <w:sz w:val="32"/>
        </w:rPr>
        <w:t>政府性基金预算财政拨款支出0.00万元。</w:t>
      </w:r>
    </w:p>
    <w:p w14:paraId="0360F97A">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1.城乡社区支出(类)国有土地使用权出让收入安排的支出(款)征地和拆迁补偿支出(项):支出决算数为0.00万元，比上年决算减少18.25万元，下降100.00%,主要原因是：本年减少征地和拆迁项目。</w:t>
      </w:r>
    </w:p>
    <w:p w14:paraId="4C33047E">
      <w:pPr>
        <w:spacing w:line="640" w:lineRule="exact"/>
        <w:ind w:firstLine="640"/>
        <w:jc w:val="both"/>
        <w:outlineLvl w:val="2"/>
      </w:pPr>
      <w:r>
        <w:rPr>
          <w:rFonts w:ascii="黑体" w:hAnsi="黑体" w:eastAsia="黑体"/>
          <w:sz w:val="32"/>
        </w:rPr>
        <w:t>八、国有资本经营预算财政拨款收入支出决算情况说明</w:t>
      </w:r>
    </w:p>
    <w:p w14:paraId="3A79BC2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D918F24">
      <w:pPr>
        <w:spacing w:line="640" w:lineRule="exact"/>
        <w:ind w:firstLine="640"/>
        <w:jc w:val="both"/>
        <w:outlineLvl w:val="2"/>
      </w:pPr>
      <w:r>
        <w:rPr>
          <w:rFonts w:ascii="黑体" w:hAnsi="黑体" w:eastAsia="黑体"/>
          <w:sz w:val="32"/>
        </w:rPr>
        <w:t>九、财政拨款“三公”经费支出决算情况说明</w:t>
      </w:r>
    </w:p>
    <w:p w14:paraId="3F31BF19">
      <w:pPr>
        <w:spacing w:line="580" w:lineRule="exact"/>
        <w:ind w:firstLine="640"/>
        <w:jc w:val="both"/>
      </w:pPr>
      <w:r>
        <w:rPr>
          <w:rFonts w:ascii="仿宋_GB2312" w:hAnsi="仿宋_GB2312" w:eastAsia="仿宋_GB2312"/>
          <w:b/>
          <w:sz w:val="32"/>
        </w:rPr>
        <w:t>2024年度财政拨款“三公”经费支出6.42万元，</w:t>
      </w:r>
      <w:r>
        <w:rPr>
          <w:rFonts w:ascii="仿宋_GB2312" w:hAnsi="仿宋_GB2312" w:eastAsia="仿宋_GB2312"/>
          <w:b w:val="0"/>
          <w:sz w:val="32"/>
        </w:rPr>
        <w:t>比上年增加2.17万元，增长51.06%，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6.42万元，占100.00%，比上年增加2.17万元，增长51.06%，主要原因是：本单位公务用车日渐老化，维修维护成本增加，导致公务用车运行维护费较上年增加。公务接待费支出0.00万元，占0.00%，比上年增加0.00万元，增长0.00%，主要原因是：2023年与2024年均未安排公务接待费支出。</w:t>
      </w:r>
    </w:p>
    <w:p w14:paraId="6D9B6A52">
      <w:pPr>
        <w:spacing w:line="580" w:lineRule="exact"/>
        <w:ind w:firstLine="640"/>
        <w:jc w:val="both"/>
      </w:pPr>
      <w:r>
        <w:rPr>
          <w:rFonts w:ascii="仿宋_GB2312" w:hAnsi="仿宋_GB2312" w:eastAsia="仿宋_GB2312"/>
          <w:b/>
          <w:sz w:val="32"/>
        </w:rPr>
        <w:t>具体情况如下：</w:t>
      </w:r>
    </w:p>
    <w:p w14:paraId="6BCDD01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71BB51C">
      <w:pPr>
        <w:spacing w:line="580" w:lineRule="exact"/>
        <w:ind w:firstLine="640"/>
        <w:jc w:val="both"/>
      </w:pPr>
      <w:r>
        <w:rPr>
          <w:rFonts w:ascii="仿宋_GB2312" w:hAnsi="仿宋_GB2312" w:eastAsia="仿宋_GB2312"/>
          <w:b w:val="0"/>
          <w:sz w:val="32"/>
        </w:rPr>
        <w:t>公务用车购置及运行维护费6.42万元，其中：公务用车购置费0.00万元，公务用车运行维护费6.42万元。公务用车运行维护费开支内容包括车辆燃油费、维修费、保险费。公务用车购置数0辆，公务用车保有量5辆。国有资产占用情况中固定资产车辆5辆，与公务用车保有量差异原因是：本单位固定资产车辆与公务用车保有量一致无差异。</w:t>
      </w:r>
    </w:p>
    <w:p w14:paraId="79AA88A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F092D0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6.42万元，决算数6.42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6.42万元，决算数6.42万元，预决算差异率0.00%，主要原因是：严格按照预算执行，预决算无差异。公务接待费全年预算数0.00万元，决算数0.00万元，预决算差异率0.00%，主要原因是：本单位无公务接待费。</w:t>
      </w:r>
    </w:p>
    <w:p w14:paraId="5860289B">
      <w:pPr>
        <w:spacing w:line="640" w:lineRule="exact"/>
        <w:ind w:firstLine="640"/>
        <w:jc w:val="both"/>
        <w:outlineLvl w:val="2"/>
      </w:pPr>
      <w:r>
        <w:rPr>
          <w:rFonts w:ascii="黑体" w:hAnsi="黑体" w:eastAsia="黑体"/>
          <w:sz w:val="32"/>
        </w:rPr>
        <w:t>十、其他重要事项的情况说明</w:t>
      </w:r>
    </w:p>
    <w:p w14:paraId="635F19ED">
      <w:pPr>
        <w:spacing w:line="640" w:lineRule="exact"/>
        <w:ind w:firstLine="640"/>
        <w:jc w:val="both"/>
        <w:outlineLvl w:val="3"/>
      </w:pPr>
      <w:r>
        <w:rPr>
          <w:rFonts w:ascii="楷体_GB2312" w:hAnsi="楷体_GB2312" w:eastAsia="楷体_GB2312"/>
          <w:b/>
          <w:sz w:val="32"/>
        </w:rPr>
        <w:t>（一）机关运行经费及公用经费支出情况</w:t>
      </w:r>
    </w:p>
    <w:p w14:paraId="23FCF704">
      <w:pPr>
        <w:spacing w:line="580" w:lineRule="exact"/>
        <w:ind w:firstLine="640"/>
        <w:jc w:val="both"/>
      </w:pPr>
      <w:r>
        <w:rPr>
          <w:rFonts w:ascii="仿宋_GB2312" w:hAnsi="仿宋_GB2312" w:eastAsia="仿宋_GB2312"/>
          <w:b w:val="0"/>
          <w:sz w:val="32"/>
        </w:rPr>
        <w:t>2024年度叶城县金果镇人民政府（行政单位和参照公务员法管理事业单位）机关运行经费支出52.30万元，比上年增加18.03万元，增长52.61%，主要原因是：本年</w:t>
      </w:r>
      <w:r>
        <w:rPr>
          <w:rFonts w:hint="eastAsia" w:ascii="仿宋_GB2312" w:hAnsi="仿宋_GB2312" w:eastAsia="仿宋_GB2312"/>
          <w:b w:val="0"/>
          <w:sz w:val="32"/>
          <w:lang w:val="en-US" w:eastAsia="zh-CN"/>
        </w:rPr>
        <w:t>增加</w:t>
      </w:r>
      <w:r>
        <w:rPr>
          <w:rFonts w:ascii="仿宋_GB2312" w:hAnsi="仿宋_GB2312" w:eastAsia="仿宋_GB2312"/>
          <w:b w:val="0"/>
          <w:sz w:val="32"/>
        </w:rPr>
        <w:t>办公费，水费，电费支出</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w:t>
      </w:r>
      <w:r>
        <w:rPr>
          <w:rFonts w:ascii="仿宋_GB2312" w:hAnsi="仿宋_GB2312" w:eastAsia="仿宋_GB2312"/>
          <w:b w:val="0"/>
          <w:sz w:val="32"/>
        </w:rPr>
        <w:t>机关运行经费支出增加。</w:t>
      </w:r>
    </w:p>
    <w:p w14:paraId="4B9C76BE">
      <w:pPr>
        <w:spacing w:line="640" w:lineRule="exact"/>
        <w:ind w:firstLine="640"/>
        <w:jc w:val="both"/>
        <w:outlineLvl w:val="3"/>
      </w:pPr>
      <w:r>
        <w:rPr>
          <w:rFonts w:ascii="楷体_GB2312" w:hAnsi="楷体_GB2312" w:eastAsia="楷体_GB2312"/>
          <w:b/>
          <w:sz w:val="32"/>
        </w:rPr>
        <w:t>（二）政府采购情况</w:t>
      </w:r>
    </w:p>
    <w:p w14:paraId="0E870F7A">
      <w:pPr>
        <w:spacing w:line="580" w:lineRule="exact"/>
        <w:ind w:firstLine="640"/>
        <w:jc w:val="both"/>
      </w:pPr>
      <w:r>
        <w:rPr>
          <w:rFonts w:ascii="仿宋_GB2312" w:hAnsi="仿宋_GB2312" w:eastAsia="仿宋_GB2312"/>
          <w:b w:val="0"/>
          <w:sz w:val="32"/>
        </w:rPr>
        <w:t>2024年度政府采购支出总额780.40万元，其中：政府采购货物支出31.79万元、政府采购工程支出0.00万元、政府采购服务支出748.61万元。</w:t>
      </w:r>
    </w:p>
    <w:p w14:paraId="4855A49C">
      <w:pPr>
        <w:spacing w:line="580" w:lineRule="exact"/>
        <w:ind w:firstLine="640"/>
        <w:jc w:val="both"/>
      </w:pPr>
      <w:r>
        <w:rPr>
          <w:rFonts w:ascii="仿宋_GB2312" w:hAnsi="仿宋_GB2312" w:eastAsia="仿宋_GB2312"/>
          <w:b w:val="0"/>
          <w:sz w:val="32"/>
        </w:rPr>
        <w:t>授予中小企业合同金额771.84万元，占政府采购支出总额的98.90%，其中：授予小微企业合同金额25.76万元，占政府采购支出总额的3.30%。</w:t>
      </w:r>
    </w:p>
    <w:p w14:paraId="4BB45C78">
      <w:pPr>
        <w:spacing w:line="640" w:lineRule="exact"/>
        <w:ind w:firstLine="640"/>
        <w:jc w:val="both"/>
        <w:outlineLvl w:val="3"/>
      </w:pPr>
      <w:r>
        <w:rPr>
          <w:rFonts w:ascii="楷体_GB2312" w:hAnsi="楷体_GB2312" w:eastAsia="楷体_GB2312"/>
          <w:b/>
          <w:sz w:val="32"/>
        </w:rPr>
        <w:t>（三）国有资产占用情况说明</w:t>
      </w:r>
    </w:p>
    <w:p w14:paraId="159F647E">
      <w:pPr>
        <w:spacing w:line="580" w:lineRule="exact"/>
        <w:ind w:firstLine="640"/>
        <w:jc w:val="both"/>
      </w:pPr>
      <w:r>
        <w:rPr>
          <w:rFonts w:ascii="仿宋_GB2312" w:hAnsi="仿宋_GB2312" w:eastAsia="仿宋_GB2312"/>
          <w:b w:val="0"/>
          <w:sz w:val="32"/>
        </w:rPr>
        <w:t>截至2024年12月31日，房屋4,485.40平方米，价值733.47万元。车辆5辆，价值47.89万元，其中：副部（省）级及以上领导用车0辆、主要负责人用车0辆、机要通信用车0辆、应急保障用车0辆、执法执勤用车0辆、特种专业技术用车0辆、离退休干部服务用车0辆、其他用车5辆，其他用车主要是：一般公务用车。单价100万元（含）以上设备（不含车辆）0台（套）。</w:t>
      </w:r>
    </w:p>
    <w:p w14:paraId="77381D28">
      <w:pPr>
        <w:spacing w:line="640" w:lineRule="exact"/>
        <w:ind w:firstLine="640"/>
        <w:jc w:val="both"/>
        <w:outlineLvl w:val="2"/>
      </w:pPr>
      <w:r>
        <w:rPr>
          <w:rFonts w:ascii="黑体" w:hAnsi="黑体" w:eastAsia="黑体"/>
          <w:sz w:val="32"/>
        </w:rPr>
        <w:t>十一、预算绩效的情况说明</w:t>
      </w:r>
    </w:p>
    <w:p w14:paraId="6883FCC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9,446.77万元，实际执行总额9,446.77万元；预算绩效评价项目6个，全年预算数6,732.32万元，全年执行数5,085.63万元。预算绩效管理取得的成效：</w:t>
      </w:r>
      <w:r>
        <w:rPr>
          <w:rFonts w:hint="eastAsia" w:ascii="仿宋_GB2312" w:hAnsi="仿宋_GB2312" w:eastAsia="仿宋_GB2312"/>
          <w:b w:val="0"/>
          <w:sz w:val="32"/>
        </w:rPr>
        <w:t>一是确保资金的高效使用，切实发挥财政资金使用效果；二是严格按照工作职责和相关文件依据，确保专款专用；三是严格控制资金的流出方向，确保资金的合规性</w:t>
      </w:r>
      <w:r>
        <w:rPr>
          <w:rFonts w:ascii="仿宋_GB2312" w:hAnsi="仿宋_GB2312" w:eastAsia="仿宋_GB2312"/>
          <w:b w:val="0"/>
          <w:sz w:val="32"/>
        </w:rPr>
        <w:t>。发现的问题及原因：</w:t>
      </w:r>
      <w:r>
        <w:rPr>
          <w:rFonts w:hint="eastAsia" w:ascii="仿宋_GB2312" w:hAnsi="仿宋_GB2312" w:eastAsia="仿宋_GB2312"/>
          <w:b w:val="0"/>
          <w:sz w:val="32"/>
        </w:rPr>
        <w:t>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w:t>
      </w:r>
      <w:r>
        <w:rPr>
          <w:rFonts w:ascii="仿宋_GB2312" w:hAnsi="仿宋_GB2312" w:eastAsia="仿宋_GB2312"/>
          <w:b w:val="0"/>
          <w:sz w:val="32"/>
        </w:rPr>
        <w:t>下一步改进措施：</w:t>
      </w:r>
      <w:r>
        <w:rPr>
          <w:rFonts w:hint="eastAsia" w:ascii="仿宋_GB2312" w:hAnsi="仿宋_GB2312" w:eastAsia="仿宋_GB2312"/>
          <w:b w:val="0"/>
          <w:sz w:val="32"/>
        </w:rPr>
        <w:t>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hint="eastAsia" w:ascii="仿宋_GB2312" w:hAnsi="仿宋_GB2312" w:eastAsia="仿宋_GB2312"/>
          <w:b w:val="0"/>
          <w:sz w:val="32"/>
        </w:rPr>
        <w:t>开展提供帮助。</w:t>
      </w:r>
      <w:r>
        <w:rPr>
          <w:rFonts w:ascii="仿宋_GB2312" w:hAnsi="仿宋_GB2312" w:eastAsia="仿宋_GB2312"/>
          <w:b w:val="0"/>
          <w:sz w:val="32"/>
        </w:rPr>
        <w:t>具体附整体支出绩效自评表，项目支出绩效自评表和评价报告。</w:t>
      </w:r>
    </w:p>
    <w:p w14:paraId="78549483">
      <w:r>
        <w:br w:type="page"/>
      </w:r>
    </w:p>
    <w:tbl>
      <w:tblPr>
        <w:tblStyle w:val="9"/>
        <w:tblW w:w="9200" w:type="dxa"/>
        <w:tblInd w:w="0" w:type="dxa"/>
        <w:tblLayout w:type="autofit"/>
        <w:tblCellMar>
          <w:top w:w="0" w:type="dxa"/>
          <w:left w:w="108" w:type="dxa"/>
          <w:bottom w:w="0" w:type="dxa"/>
          <w:right w:w="108" w:type="dxa"/>
        </w:tblCellMar>
      </w:tblPr>
      <w:tblGrid>
        <w:gridCol w:w="1022"/>
        <w:gridCol w:w="1022"/>
        <w:gridCol w:w="1022"/>
        <w:gridCol w:w="1022"/>
        <w:gridCol w:w="1022"/>
        <w:gridCol w:w="1022"/>
        <w:gridCol w:w="1022"/>
        <w:gridCol w:w="1022"/>
        <w:gridCol w:w="1024"/>
      </w:tblGrid>
      <w:tr w14:paraId="42E4DB9B">
        <w:tblPrEx>
          <w:tblCellMar>
            <w:top w:w="0" w:type="dxa"/>
            <w:left w:w="108" w:type="dxa"/>
            <w:bottom w:w="0" w:type="dxa"/>
            <w:right w:w="108" w:type="dxa"/>
          </w:tblCellMar>
        </w:tblPrEx>
        <w:trPr>
          <w:trHeight w:val="107" w:hRule="atLeast"/>
        </w:trPr>
        <w:tc>
          <w:tcPr>
            <w:tcW w:w="9200" w:type="dxa"/>
            <w:gridSpan w:val="9"/>
            <w:vAlign w:val="center"/>
          </w:tcPr>
          <w:p w14:paraId="696F043A">
            <w:pPr>
              <w:jc w:val="center"/>
            </w:pPr>
            <w:r>
              <w:rPr>
                <w:rFonts w:ascii="宋体" w:hAnsi="宋体" w:eastAsia="宋体"/>
                <w:sz w:val="24"/>
              </w:rPr>
              <w:t>单位整体支出绩效自评表</w:t>
            </w:r>
          </w:p>
        </w:tc>
      </w:tr>
      <w:tr w14:paraId="2CC04A68">
        <w:tblPrEx>
          <w:tblCellMar>
            <w:top w:w="0" w:type="dxa"/>
            <w:left w:w="108" w:type="dxa"/>
            <w:bottom w:w="0" w:type="dxa"/>
            <w:right w:w="108" w:type="dxa"/>
          </w:tblCellMar>
        </w:tblPrEx>
        <w:trPr>
          <w:trHeight w:val="107" w:hRule="atLeast"/>
        </w:trPr>
        <w:tc>
          <w:tcPr>
            <w:tcW w:w="9200" w:type="dxa"/>
            <w:gridSpan w:val="9"/>
            <w:vAlign w:val="center"/>
          </w:tcPr>
          <w:p w14:paraId="5CA6F62D">
            <w:pPr>
              <w:jc w:val="center"/>
            </w:pPr>
            <w:r>
              <w:rPr>
                <w:rFonts w:ascii="宋体" w:hAnsi="宋体" w:eastAsia="宋体"/>
                <w:sz w:val="24"/>
              </w:rPr>
              <w:t>（2024年度）</w:t>
            </w:r>
          </w:p>
        </w:tc>
      </w:tr>
      <w:tr w14:paraId="597332A1">
        <w:tblPrEx>
          <w:tblCellMar>
            <w:top w:w="0" w:type="dxa"/>
            <w:left w:w="108" w:type="dxa"/>
            <w:bottom w:w="0" w:type="dxa"/>
            <w:right w:w="108" w:type="dxa"/>
          </w:tblCellMar>
        </w:tblPrEx>
        <w:trPr>
          <w:trHeight w:val="116" w:hRule="atLeast"/>
        </w:trPr>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41B7B85B">
            <w:pPr>
              <w:jc w:val="center"/>
            </w:pPr>
            <w:r>
              <w:rPr>
                <w:rFonts w:ascii="宋体" w:hAnsi="宋体" w:eastAsia="宋体"/>
                <w:sz w:val="16"/>
              </w:rPr>
              <w:t>单位名称</w:t>
            </w:r>
          </w:p>
        </w:tc>
        <w:tc>
          <w:tcPr>
            <w:tcW w:w="817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623E4C6">
            <w:pPr>
              <w:jc w:val="center"/>
            </w:pPr>
            <w:r>
              <w:rPr>
                <w:rFonts w:ascii="宋体" w:hAnsi="宋体" w:eastAsia="宋体"/>
                <w:sz w:val="16"/>
              </w:rPr>
              <w:t>叶城县金果镇人民政府</w:t>
            </w:r>
          </w:p>
        </w:tc>
      </w:tr>
      <w:tr w14:paraId="4827B970">
        <w:tblPrEx>
          <w:tblCellMar>
            <w:top w:w="0" w:type="dxa"/>
            <w:left w:w="108" w:type="dxa"/>
            <w:bottom w:w="0" w:type="dxa"/>
            <w:right w:w="108" w:type="dxa"/>
          </w:tblCellMar>
        </w:tblPrEx>
        <w:trPr>
          <w:trHeight w:val="223" w:hRule="atLeast"/>
        </w:trPr>
        <w:tc>
          <w:tcPr>
            <w:tcW w:w="10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7FBBEB">
            <w:pPr>
              <w:jc w:val="center"/>
            </w:pPr>
            <w:r>
              <w:rPr>
                <w:rFonts w:ascii="宋体" w:hAnsi="宋体" w:eastAsia="宋体"/>
                <w:sz w:val="16"/>
              </w:rPr>
              <w:t>部门资金（万元）</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2E625741">
            <w:pPr>
              <w:jc w:val="center"/>
            </w:pPr>
            <w:r>
              <w:rPr>
                <w:rFonts w:ascii="宋体" w:hAnsi="宋体" w:eastAsia="宋体"/>
                <w:sz w:val="16"/>
              </w:rPr>
              <w:t>资金来源</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78586070">
            <w:pPr>
              <w:jc w:val="center"/>
            </w:pPr>
            <w:r>
              <w:rPr>
                <w:rFonts w:ascii="宋体" w:hAnsi="宋体" w:eastAsia="宋体"/>
                <w:sz w:val="16"/>
              </w:rPr>
              <w:t>年初预算数</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30FF8CCE">
            <w:pPr>
              <w:jc w:val="center"/>
            </w:pPr>
            <w:r>
              <w:rPr>
                <w:rFonts w:ascii="宋体" w:hAnsi="宋体" w:eastAsia="宋体"/>
                <w:sz w:val="16"/>
              </w:rPr>
              <w:t>预算数（调整后）</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0C6EB2E7">
            <w:pPr>
              <w:jc w:val="center"/>
            </w:pPr>
            <w:r>
              <w:rPr>
                <w:rFonts w:ascii="宋体" w:hAnsi="宋体" w:eastAsia="宋体"/>
                <w:sz w:val="16"/>
              </w:rPr>
              <w:t>执行数</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474BF0A9">
            <w:pPr>
              <w:jc w:val="center"/>
            </w:pPr>
            <w:r>
              <w:rPr>
                <w:rFonts w:ascii="宋体" w:hAnsi="宋体" w:eastAsia="宋体"/>
                <w:sz w:val="16"/>
              </w:rPr>
              <w:t>分值权重</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2EC3D2DA">
            <w:pPr>
              <w:jc w:val="center"/>
            </w:pPr>
            <w:r>
              <w:rPr>
                <w:rFonts w:ascii="宋体" w:hAnsi="宋体" w:eastAsia="宋体"/>
                <w:sz w:val="16"/>
              </w:rPr>
              <w:t>执行率</w:t>
            </w:r>
          </w:p>
        </w:tc>
        <w:tc>
          <w:tcPr>
            <w:tcW w:w="20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13187">
            <w:pPr>
              <w:jc w:val="center"/>
            </w:pPr>
            <w:r>
              <w:rPr>
                <w:rFonts w:ascii="宋体" w:hAnsi="宋体" w:eastAsia="宋体"/>
                <w:sz w:val="16"/>
              </w:rPr>
              <w:t>得分</w:t>
            </w:r>
          </w:p>
        </w:tc>
      </w:tr>
      <w:tr w14:paraId="0AF61029">
        <w:tblPrEx>
          <w:tblCellMar>
            <w:top w:w="0" w:type="dxa"/>
            <w:left w:w="108" w:type="dxa"/>
            <w:bottom w:w="0" w:type="dxa"/>
            <w:right w:w="108" w:type="dxa"/>
          </w:tblCellMar>
        </w:tblPrEx>
        <w:trPr>
          <w:trHeight w:val="223" w:hRule="atLeast"/>
        </w:trPr>
        <w:tc>
          <w:tcPr>
            <w:tcW w:w="1022" w:type="dxa"/>
            <w:vMerge w:val="continue"/>
            <w:tcBorders>
              <w:top w:val="single" w:color="auto" w:sz="10" w:space="0"/>
              <w:left w:val="single" w:color="auto" w:sz="10" w:space="0"/>
              <w:bottom w:val="single" w:color="auto" w:sz="10" w:space="0"/>
              <w:right w:val="single" w:color="auto" w:sz="10" w:space="0"/>
              <w:insideV w:val="single" w:sz="10" w:space="0"/>
            </w:tcBorders>
          </w:tcPr>
          <w:p w14:paraId="0957667C"/>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63A93E73">
            <w:pPr>
              <w:jc w:val="center"/>
            </w:pPr>
            <w:r>
              <w:rPr>
                <w:rFonts w:ascii="宋体" w:hAnsi="宋体" w:eastAsia="宋体"/>
                <w:sz w:val="16"/>
              </w:rPr>
              <w:t>年度总资金：</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009934FC">
            <w:pPr>
              <w:jc w:val="center"/>
            </w:pPr>
            <w:r>
              <w:rPr>
                <w:rFonts w:ascii="宋体" w:hAnsi="宋体" w:eastAsia="宋体"/>
                <w:sz w:val="16"/>
              </w:rPr>
              <w:t>2,449.60</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7D76B58A">
            <w:pPr>
              <w:jc w:val="center"/>
            </w:pPr>
            <w:r>
              <w:rPr>
                <w:rFonts w:ascii="宋体" w:hAnsi="宋体" w:eastAsia="宋体"/>
                <w:sz w:val="16"/>
              </w:rPr>
              <w:t>9,446.77</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06F02738">
            <w:pPr>
              <w:jc w:val="center"/>
            </w:pPr>
            <w:r>
              <w:rPr>
                <w:rFonts w:ascii="宋体" w:hAnsi="宋体" w:eastAsia="宋体"/>
                <w:sz w:val="16"/>
              </w:rPr>
              <w:t>9,446.77</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49F7BE8D">
            <w:pPr>
              <w:jc w:val="center"/>
            </w:pPr>
            <w:r>
              <w:rPr>
                <w:rFonts w:ascii="宋体" w:hAnsi="宋体" w:eastAsia="宋体"/>
                <w:sz w:val="16"/>
              </w:rPr>
              <w:t>10</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76866477">
            <w:pPr>
              <w:jc w:val="center"/>
            </w:pPr>
            <w:r>
              <w:rPr>
                <w:rFonts w:ascii="宋体" w:hAnsi="宋体" w:eastAsia="宋体"/>
                <w:sz w:val="16"/>
              </w:rPr>
              <w:t>100.00%</w:t>
            </w:r>
          </w:p>
        </w:tc>
        <w:tc>
          <w:tcPr>
            <w:tcW w:w="20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B8116">
            <w:pPr>
              <w:jc w:val="center"/>
            </w:pPr>
            <w:r>
              <w:rPr>
                <w:rFonts w:ascii="宋体" w:hAnsi="宋体" w:eastAsia="宋体"/>
                <w:sz w:val="16"/>
              </w:rPr>
              <w:t>10</w:t>
            </w:r>
          </w:p>
        </w:tc>
      </w:tr>
      <w:tr w14:paraId="0C73E23B">
        <w:tblPrEx>
          <w:tblCellMar>
            <w:top w:w="0" w:type="dxa"/>
            <w:left w:w="108" w:type="dxa"/>
            <w:bottom w:w="0" w:type="dxa"/>
            <w:right w:w="108" w:type="dxa"/>
          </w:tblCellMar>
        </w:tblPrEx>
        <w:trPr>
          <w:trHeight w:val="116" w:hRule="atLeast"/>
        </w:trPr>
        <w:tc>
          <w:tcPr>
            <w:tcW w:w="1022" w:type="dxa"/>
            <w:vMerge w:val="continue"/>
            <w:tcBorders>
              <w:top w:val="single" w:color="auto" w:sz="10" w:space="0"/>
              <w:left w:val="single" w:color="auto" w:sz="10" w:space="0"/>
              <w:bottom w:val="single" w:color="auto" w:sz="10" w:space="0"/>
              <w:right w:val="single" w:color="auto" w:sz="10" w:space="0"/>
              <w:insideV w:val="single" w:sz="10" w:space="0"/>
            </w:tcBorders>
          </w:tcPr>
          <w:p w14:paraId="7BA7E471"/>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618D974A">
            <w:pPr>
              <w:jc w:val="center"/>
            </w:pPr>
            <w:r>
              <w:rPr>
                <w:rFonts w:ascii="宋体" w:hAnsi="宋体" w:eastAsia="宋体"/>
                <w:sz w:val="16"/>
              </w:rPr>
              <w:t>上级资金：</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780B8B25">
            <w:pPr>
              <w:jc w:val="center"/>
            </w:pPr>
            <w:r>
              <w:rPr>
                <w:rFonts w:ascii="宋体" w:hAnsi="宋体" w:eastAsia="宋体"/>
                <w:sz w:val="16"/>
              </w:rPr>
              <w:t>129.16</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12F7AB2F">
            <w:pPr>
              <w:jc w:val="center"/>
            </w:pPr>
            <w:r>
              <w:rPr>
                <w:rFonts w:ascii="宋体" w:hAnsi="宋体" w:eastAsia="宋体"/>
                <w:sz w:val="16"/>
              </w:rPr>
              <w:t>7,275.61</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628D22DC">
            <w:pPr>
              <w:jc w:val="center"/>
            </w:pPr>
            <w:r>
              <w:rPr>
                <w:rFonts w:ascii="宋体" w:hAnsi="宋体" w:eastAsia="宋体"/>
                <w:sz w:val="16"/>
              </w:rPr>
              <w:t>7,275.61</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75480002">
            <w:pPr>
              <w:jc w:val="center"/>
            </w:pPr>
            <w:r>
              <w:rPr>
                <w:rFonts w:ascii="宋体" w:hAnsi="宋体" w:eastAsia="宋体"/>
                <w:sz w:val="16"/>
              </w:rPr>
              <w:t>—</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1840E363">
            <w:pPr>
              <w:jc w:val="center"/>
            </w:pPr>
            <w:r>
              <w:rPr>
                <w:rFonts w:ascii="宋体" w:hAnsi="宋体" w:eastAsia="宋体"/>
                <w:sz w:val="16"/>
              </w:rPr>
              <w:t>—</w:t>
            </w:r>
          </w:p>
        </w:tc>
        <w:tc>
          <w:tcPr>
            <w:tcW w:w="20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3BBA0">
            <w:pPr>
              <w:jc w:val="center"/>
            </w:pPr>
            <w:r>
              <w:rPr>
                <w:rFonts w:ascii="宋体" w:hAnsi="宋体" w:eastAsia="宋体"/>
                <w:sz w:val="16"/>
              </w:rPr>
              <w:t>—</w:t>
            </w:r>
          </w:p>
        </w:tc>
      </w:tr>
      <w:tr w14:paraId="5FD322C7">
        <w:tblPrEx>
          <w:tblCellMar>
            <w:top w:w="0" w:type="dxa"/>
            <w:left w:w="108" w:type="dxa"/>
            <w:bottom w:w="0" w:type="dxa"/>
            <w:right w:w="108" w:type="dxa"/>
          </w:tblCellMar>
        </w:tblPrEx>
        <w:trPr>
          <w:trHeight w:val="116" w:hRule="atLeast"/>
        </w:trPr>
        <w:tc>
          <w:tcPr>
            <w:tcW w:w="1022" w:type="dxa"/>
            <w:vMerge w:val="continue"/>
            <w:tcBorders>
              <w:top w:val="single" w:color="auto" w:sz="10" w:space="0"/>
              <w:left w:val="single" w:color="auto" w:sz="10" w:space="0"/>
              <w:bottom w:val="single" w:color="auto" w:sz="10" w:space="0"/>
              <w:right w:val="single" w:color="auto" w:sz="10" w:space="0"/>
              <w:insideV w:val="single" w:sz="10" w:space="0"/>
            </w:tcBorders>
          </w:tcPr>
          <w:p w14:paraId="302BFF6F"/>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376F1AA9">
            <w:pPr>
              <w:jc w:val="center"/>
            </w:pPr>
            <w:r>
              <w:rPr>
                <w:rFonts w:ascii="宋体" w:hAnsi="宋体" w:eastAsia="宋体"/>
                <w:sz w:val="16"/>
              </w:rPr>
              <w:t>本级资金：</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1EACF660">
            <w:pPr>
              <w:jc w:val="center"/>
            </w:pPr>
            <w:r>
              <w:rPr>
                <w:rFonts w:ascii="宋体" w:hAnsi="宋体" w:eastAsia="宋体"/>
                <w:sz w:val="16"/>
              </w:rPr>
              <w:t>2,320.44</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1112423B">
            <w:pPr>
              <w:jc w:val="center"/>
            </w:pPr>
            <w:r>
              <w:rPr>
                <w:rFonts w:ascii="宋体" w:hAnsi="宋体" w:eastAsia="宋体"/>
                <w:sz w:val="16"/>
              </w:rPr>
              <w:t>2,171.16</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009BBB4F">
            <w:pPr>
              <w:jc w:val="center"/>
            </w:pPr>
            <w:r>
              <w:rPr>
                <w:rFonts w:ascii="宋体" w:hAnsi="宋体" w:eastAsia="宋体"/>
                <w:sz w:val="16"/>
              </w:rPr>
              <w:t>2,171.16</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715E0188">
            <w:pPr>
              <w:jc w:val="center"/>
            </w:pPr>
            <w:r>
              <w:rPr>
                <w:rFonts w:ascii="宋体" w:hAnsi="宋体" w:eastAsia="宋体"/>
                <w:sz w:val="16"/>
              </w:rPr>
              <w:t>—</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347D3EC5">
            <w:pPr>
              <w:jc w:val="center"/>
            </w:pPr>
            <w:r>
              <w:rPr>
                <w:rFonts w:ascii="宋体" w:hAnsi="宋体" w:eastAsia="宋体"/>
                <w:sz w:val="16"/>
              </w:rPr>
              <w:t>—</w:t>
            </w:r>
          </w:p>
        </w:tc>
        <w:tc>
          <w:tcPr>
            <w:tcW w:w="20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BCF49">
            <w:pPr>
              <w:jc w:val="center"/>
            </w:pPr>
            <w:r>
              <w:rPr>
                <w:rFonts w:ascii="宋体" w:hAnsi="宋体" w:eastAsia="宋体"/>
                <w:sz w:val="16"/>
              </w:rPr>
              <w:t>—</w:t>
            </w:r>
          </w:p>
        </w:tc>
      </w:tr>
      <w:tr w14:paraId="31CADA2D">
        <w:tblPrEx>
          <w:tblCellMar>
            <w:top w:w="0" w:type="dxa"/>
            <w:left w:w="108" w:type="dxa"/>
            <w:bottom w:w="0" w:type="dxa"/>
            <w:right w:w="108" w:type="dxa"/>
          </w:tblCellMar>
        </w:tblPrEx>
        <w:trPr>
          <w:trHeight w:val="116" w:hRule="atLeast"/>
        </w:trPr>
        <w:tc>
          <w:tcPr>
            <w:tcW w:w="1022" w:type="dxa"/>
            <w:vMerge w:val="continue"/>
            <w:tcBorders>
              <w:top w:val="single" w:color="auto" w:sz="10" w:space="0"/>
              <w:left w:val="single" w:color="auto" w:sz="10" w:space="0"/>
              <w:bottom w:val="single" w:color="auto" w:sz="10" w:space="0"/>
              <w:right w:val="single" w:color="auto" w:sz="10" w:space="0"/>
              <w:insideV w:val="single" w:sz="10" w:space="0"/>
            </w:tcBorders>
          </w:tcPr>
          <w:p w14:paraId="2AFD0881"/>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5FEFF574">
            <w:pPr>
              <w:jc w:val="center"/>
            </w:pPr>
            <w:r>
              <w:rPr>
                <w:rFonts w:ascii="宋体" w:hAnsi="宋体" w:eastAsia="宋体"/>
                <w:sz w:val="16"/>
              </w:rPr>
              <w:t>其他资金：</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66CE270A">
            <w:pPr>
              <w:jc w:val="center"/>
            </w:pPr>
            <w:r>
              <w:rPr>
                <w:rFonts w:ascii="宋体" w:hAnsi="宋体" w:eastAsia="宋体"/>
                <w:sz w:val="16"/>
              </w:rPr>
              <w:t>0.00</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21804947">
            <w:pPr>
              <w:jc w:val="center"/>
            </w:pPr>
            <w:r>
              <w:rPr>
                <w:rFonts w:ascii="宋体" w:hAnsi="宋体" w:eastAsia="宋体"/>
                <w:sz w:val="16"/>
              </w:rPr>
              <w:t>0.00</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60109FA6">
            <w:pPr>
              <w:jc w:val="center"/>
            </w:pPr>
            <w:r>
              <w:rPr>
                <w:rFonts w:ascii="宋体" w:hAnsi="宋体" w:eastAsia="宋体"/>
                <w:sz w:val="16"/>
              </w:rPr>
              <w:t>0.00</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5B95A358">
            <w:pPr>
              <w:jc w:val="center"/>
            </w:pPr>
            <w:r>
              <w:rPr>
                <w:rFonts w:ascii="宋体" w:hAnsi="宋体" w:eastAsia="宋体"/>
                <w:sz w:val="16"/>
              </w:rPr>
              <w:t>—</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667210FC">
            <w:pPr>
              <w:jc w:val="center"/>
            </w:pPr>
            <w:r>
              <w:rPr>
                <w:rFonts w:ascii="宋体" w:hAnsi="宋体" w:eastAsia="宋体"/>
                <w:sz w:val="16"/>
              </w:rPr>
              <w:t>—</w:t>
            </w:r>
          </w:p>
        </w:tc>
        <w:tc>
          <w:tcPr>
            <w:tcW w:w="20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8CC67">
            <w:pPr>
              <w:jc w:val="center"/>
            </w:pPr>
            <w:r>
              <w:rPr>
                <w:rFonts w:ascii="宋体" w:hAnsi="宋体" w:eastAsia="宋体"/>
                <w:sz w:val="16"/>
              </w:rPr>
              <w:t>—</w:t>
            </w:r>
          </w:p>
        </w:tc>
      </w:tr>
      <w:tr w14:paraId="42211E15">
        <w:tblPrEx>
          <w:tblCellMar>
            <w:top w:w="0" w:type="dxa"/>
            <w:left w:w="108" w:type="dxa"/>
            <w:bottom w:w="0" w:type="dxa"/>
            <w:right w:w="108" w:type="dxa"/>
          </w:tblCellMar>
        </w:tblPrEx>
        <w:trPr>
          <w:trHeight w:val="116" w:hRule="atLeast"/>
        </w:trPr>
        <w:tc>
          <w:tcPr>
            <w:tcW w:w="10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4C73F3">
            <w:pPr>
              <w:jc w:val="center"/>
            </w:pPr>
            <w:r>
              <w:rPr>
                <w:rFonts w:ascii="宋体" w:hAnsi="宋体" w:eastAsia="宋体"/>
                <w:sz w:val="16"/>
              </w:rPr>
              <w:t>年度总体目标</w:t>
            </w:r>
          </w:p>
        </w:tc>
        <w:tc>
          <w:tcPr>
            <w:tcW w:w="306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D105BF">
            <w:pPr>
              <w:jc w:val="center"/>
            </w:pPr>
            <w:r>
              <w:rPr>
                <w:rFonts w:ascii="宋体" w:hAnsi="宋体" w:eastAsia="宋体"/>
                <w:sz w:val="16"/>
              </w:rPr>
              <w:t>预期目标</w:t>
            </w:r>
          </w:p>
        </w:tc>
        <w:tc>
          <w:tcPr>
            <w:tcW w:w="511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D15F3D">
            <w:pPr>
              <w:jc w:val="center"/>
            </w:pPr>
            <w:r>
              <w:rPr>
                <w:rFonts w:ascii="宋体" w:hAnsi="宋体" w:eastAsia="宋体"/>
                <w:sz w:val="16"/>
              </w:rPr>
              <w:t>实际完成情况</w:t>
            </w:r>
          </w:p>
        </w:tc>
      </w:tr>
      <w:tr w14:paraId="005B1B5D">
        <w:tblPrEx>
          <w:tblCellMar>
            <w:top w:w="0" w:type="dxa"/>
            <w:left w:w="108" w:type="dxa"/>
            <w:bottom w:w="0" w:type="dxa"/>
            <w:right w:w="108" w:type="dxa"/>
          </w:tblCellMar>
        </w:tblPrEx>
        <w:trPr>
          <w:trHeight w:val="1506" w:hRule="atLeast"/>
        </w:trPr>
        <w:tc>
          <w:tcPr>
            <w:tcW w:w="1022" w:type="dxa"/>
            <w:vMerge w:val="continue"/>
            <w:tcBorders>
              <w:top w:val="single" w:color="auto" w:sz="10" w:space="0"/>
              <w:left w:val="single" w:color="auto" w:sz="10" w:space="0"/>
              <w:bottom w:val="single" w:color="auto" w:sz="10" w:space="0"/>
              <w:right w:val="single" w:color="auto" w:sz="10" w:space="0"/>
              <w:insideV w:val="single" w:sz="10" w:space="0"/>
            </w:tcBorders>
          </w:tcPr>
          <w:p w14:paraId="63365DAF"/>
        </w:tc>
        <w:tc>
          <w:tcPr>
            <w:tcW w:w="306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551B68">
            <w:pPr>
              <w:jc w:val="both"/>
            </w:pPr>
            <w:r>
              <w:rPr>
                <w:rFonts w:ascii="宋体" w:hAnsi="宋体" w:eastAsia="宋体"/>
                <w:sz w:val="16"/>
              </w:rPr>
              <w:t>发展和社会稳定的体制机制。加快农村经济发展，解放思想，转变观念，不断增加农民收入，为壮大乡村经济发展创造有利条件。做好乡村发展规划，培育主导产业，推动产业结构调整，提高农业综合生产能力。建立新型农业社会化服务体系，发展农民专业合作组织，提高农产品质量安全水平。稳定和完善农村基本经营制度，探索集体经济有效实现形式，引导农民珍惜土地，增加投入，发展集约经营。落实强农惠农措施，确保农民受益。促进民营经济发展，引导农民多渠道转移就业，增加收入，不断提高生活水平。</w:t>
            </w:r>
          </w:p>
        </w:tc>
        <w:tc>
          <w:tcPr>
            <w:tcW w:w="511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BC01B2">
            <w:pPr>
              <w:jc w:val="both"/>
            </w:pPr>
            <w:r>
              <w:rPr>
                <w:rFonts w:hint="eastAsia" w:ascii="宋体" w:hAnsi="宋体"/>
                <w:sz w:val="16"/>
                <w:lang w:eastAsia="zh-CN"/>
              </w:rPr>
              <w:t>截至</w:t>
            </w:r>
            <w:r>
              <w:rPr>
                <w:rFonts w:ascii="宋体" w:hAnsi="宋体" w:eastAsia="宋体"/>
                <w:sz w:val="16"/>
              </w:rPr>
              <w:t>2024年12月31日，已完成新增防渗渠11公里，培养发展党员30人，</w:t>
            </w:r>
            <w:r>
              <w:rPr>
                <w:rFonts w:hint="eastAsia" w:ascii="宋体" w:hAnsi="宋体"/>
                <w:sz w:val="16"/>
                <w:lang w:eastAsia="zh-CN"/>
              </w:rPr>
              <w:t>发展</w:t>
            </w:r>
            <w:r>
              <w:rPr>
                <w:rFonts w:ascii="宋体" w:hAnsi="宋体" w:eastAsia="宋体"/>
                <w:sz w:val="16"/>
              </w:rPr>
              <w:t>社会稳定的体制机制。加快农村经济发展，解放思想，转变观念，不断增加农民收入，为壮大乡村经济发展创造有利条件。做好乡村发展规划，培育主导产业，推动产业结构调整，提高农业综合生产能力。建立新型农业社会化服务体系，发展农民专业合作组织，提高农产品质量安全水平。稳定和完善农村基本经营制度，探索集体经济有效实现形式，引导农民珍惜土地，增加投入，发展集约经营。落实强农惠农措施，确保农民受益。促进民营经济发展，引导农民多渠道转移就业，增加收入，不断提高生活水平。</w:t>
            </w:r>
          </w:p>
        </w:tc>
      </w:tr>
      <w:tr w14:paraId="481913C6">
        <w:tblPrEx>
          <w:tblCellMar>
            <w:top w:w="0" w:type="dxa"/>
            <w:left w:w="108" w:type="dxa"/>
            <w:bottom w:w="0" w:type="dxa"/>
            <w:right w:w="108" w:type="dxa"/>
          </w:tblCellMar>
        </w:tblPrEx>
        <w:trPr>
          <w:trHeight w:val="223" w:hRule="atLeast"/>
        </w:trPr>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6CFB6B14">
            <w:pPr>
              <w:jc w:val="center"/>
            </w:pPr>
            <w:r>
              <w:rPr>
                <w:rFonts w:ascii="宋体" w:hAnsi="宋体" w:eastAsia="宋体"/>
                <w:sz w:val="16"/>
              </w:rPr>
              <w:t>一级指标</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30E0D87C">
            <w:pPr>
              <w:jc w:val="center"/>
            </w:pPr>
            <w:r>
              <w:rPr>
                <w:rFonts w:ascii="宋体" w:hAnsi="宋体" w:eastAsia="宋体"/>
                <w:sz w:val="16"/>
              </w:rPr>
              <w:t>二级指标</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729C887D">
            <w:pPr>
              <w:jc w:val="center"/>
            </w:pPr>
            <w:r>
              <w:rPr>
                <w:rFonts w:ascii="宋体" w:hAnsi="宋体" w:eastAsia="宋体"/>
                <w:sz w:val="16"/>
              </w:rPr>
              <w:t>三级指标</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4A919EE1">
            <w:pPr>
              <w:jc w:val="center"/>
            </w:pPr>
            <w:r>
              <w:rPr>
                <w:rFonts w:ascii="宋体" w:hAnsi="宋体" w:eastAsia="宋体"/>
                <w:sz w:val="16"/>
              </w:rPr>
              <w:t>指标值</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7CB9B6FA">
            <w:pPr>
              <w:jc w:val="center"/>
            </w:pPr>
            <w:r>
              <w:rPr>
                <w:rFonts w:ascii="宋体" w:hAnsi="宋体" w:eastAsia="宋体"/>
                <w:sz w:val="16"/>
              </w:rPr>
              <w:t>指标值设定依据</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7D93799B">
            <w:pPr>
              <w:jc w:val="center"/>
            </w:pPr>
            <w:r>
              <w:rPr>
                <w:rFonts w:ascii="宋体" w:hAnsi="宋体" w:eastAsia="宋体"/>
                <w:sz w:val="16"/>
              </w:rPr>
              <w:t>分值权重</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4E5E2916">
            <w:pPr>
              <w:jc w:val="center"/>
            </w:pPr>
            <w:r>
              <w:rPr>
                <w:rFonts w:ascii="宋体" w:hAnsi="宋体" w:eastAsia="宋体"/>
                <w:sz w:val="16"/>
              </w:rPr>
              <w:t>实际完成值</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791A3FFF">
            <w:pPr>
              <w:jc w:val="center"/>
            </w:pPr>
            <w:r>
              <w:rPr>
                <w:rFonts w:ascii="宋体" w:hAnsi="宋体" w:eastAsia="宋体"/>
                <w:sz w:val="16"/>
              </w:rPr>
              <w:t>完成率</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331C2C72">
            <w:pPr>
              <w:jc w:val="center"/>
            </w:pPr>
            <w:r>
              <w:rPr>
                <w:rFonts w:ascii="宋体" w:hAnsi="宋体" w:eastAsia="宋体"/>
                <w:sz w:val="16"/>
              </w:rPr>
              <w:t>得分</w:t>
            </w:r>
          </w:p>
        </w:tc>
      </w:tr>
      <w:tr w14:paraId="49A3BDE4">
        <w:tblPrEx>
          <w:tblCellMar>
            <w:top w:w="0" w:type="dxa"/>
            <w:left w:w="108" w:type="dxa"/>
            <w:bottom w:w="0" w:type="dxa"/>
            <w:right w:w="108" w:type="dxa"/>
          </w:tblCellMar>
        </w:tblPrEx>
        <w:trPr>
          <w:trHeight w:val="330" w:hRule="atLeast"/>
        </w:trPr>
        <w:tc>
          <w:tcPr>
            <w:tcW w:w="10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E099FB">
            <w:pPr>
              <w:jc w:val="center"/>
            </w:pPr>
            <w:r>
              <w:rPr>
                <w:rFonts w:ascii="宋体" w:hAnsi="宋体" w:eastAsia="宋体"/>
                <w:sz w:val="16"/>
              </w:rPr>
              <w:t>履职效能</w:t>
            </w:r>
          </w:p>
        </w:tc>
        <w:tc>
          <w:tcPr>
            <w:tcW w:w="10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6BD526">
            <w:pPr>
              <w:jc w:val="center"/>
            </w:pPr>
            <w:r>
              <w:rPr>
                <w:rFonts w:ascii="宋体" w:hAnsi="宋体" w:eastAsia="宋体"/>
                <w:sz w:val="16"/>
              </w:rPr>
              <w:t>数量指标</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77977883">
            <w:pPr>
              <w:jc w:val="center"/>
            </w:pPr>
            <w:r>
              <w:rPr>
                <w:rFonts w:ascii="宋体" w:hAnsi="宋体" w:eastAsia="宋体"/>
                <w:sz w:val="16"/>
              </w:rPr>
              <w:t>每月开展爱国卫生检查次数</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128025A0">
            <w:pPr>
              <w:jc w:val="center"/>
            </w:pPr>
            <w:r>
              <w:rPr>
                <w:rFonts w:ascii="宋体" w:hAnsi="宋体" w:eastAsia="宋体"/>
                <w:sz w:val="16"/>
              </w:rPr>
              <w:t>&gt;=1次</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22ABE9A5">
            <w:pPr>
              <w:jc w:val="center"/>
            </w:pPr>
            <w:r>
              <w:rPr>
                <w:rFonts w:ascii="宋体" w:hAnsi="宋体" w:eastAsia="宋体"/>
                <w:sz w:val="16"/>
              </w:rPr>
              <w:t>工作计划</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175749D8">
            <w:pPr>
              <w:jc w:val="center"/>
            </w:pPr>
            <w:r>
              <w:rPr>
                <w:rFonts w:ascii="宋体" w:hAnsi="宋体" w:eastAsia="宋体"/>
                <w:sz w:val="16"/>
              </w:rPr>
              <w:t>18</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31BA6E65">
            <w:pPr>
              <w:jc w:val="center"/>
            </w:pPr>
            <w:r>
              <w:rPr>
                <w:rFonts w:ascii="宋体" w:hAnsi="宋体" w:eastAsia="宋体"/>
                <w:sz w:val="16"/>
              </w:rPr>
              <w:t>=1次</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193CF248">
            <w:pPr>
              <w:jc w:val="center"/>
            </w:pPr>
            <w:r>
              <w:rPr>
                <w:rFonts w:ascii="宋体" w:hAnsi="宋体" w:eastAsia="宋体"/>
                <w:sz w:val="16"/>
              </w:rPr>
              <w:t>100</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7C05C5C7">
            <w:pPr>
              <w:jc w:val="center"/>
            </w:pPr>
            <w:r>
              <w:rPr>
                <w:rFonts w:ascii="宋体" w:hAnsi="宋体" w:eastAsia="宋体"/>
                <w:sz w:val="16"/>
              </w:rPr>
              <w:t>18</w:t>
            </w:r>
          </w:p>
        </w:tc>
      </w:tr>
      <w:tr w14:paraId="3E41E66F">
        <w:tblPrEx>
          <w:tblCellMar>
            <w:top w:w="0" w:type="dxa"/>
            <w:left w:w="108" w:type="dxa"/>
            <w:bottom w:w="0" w:type="dxa"/>
            <w:right w:w="108" w:type="dxa"/>
          </w:tblCellMar>
        </w:tblPrEx>
        <w:trPr>
          <w:trHeight w:val="223" w:hRule="atLeast"/>
        </w:trPr>
        <w:tc>
          <w:tcPr>
            <w:tcW w:w="1022" w:type="dxa"/>
            <w:vMerge w:val="continue"/>
            <w:tcBorders>
              <w:top w:val="single" w:color="auto" w:sz="10" w:space="0"/>
              <w:left w:val="single" w:color="auto" w:sz="10" w:space="0"/>
              <w:bottom w:val="single" w:color="auto" w:sz="10" w:space="0"/>
              <w:right w:val="single" w:color="auto" w:sz="10" w:space="0"/>
              <w:insideV w:val="single" w:sz="10" w:space="0"/>
            </w:tcBorders>
          </w:tcPr>
          <w:p w14:paraId="402590F1"/>
        </w:tc>
        <w:tc>
          <w:tcPr>
            <w:tcW w:w="1022" w:type="dxa"/>
            <w:vMerge w:val="continue"/>
            <w:tcBorders>
              <w:top w:val="single" w:color="auto" w:sz="10" w:space="0"/>
              <w:left w:val="single" w:color="auto" w:sz="10" w:space="0"/>
              <w:bottom w:val="single" w:color="auto" w:sz="10" w:space="0"/>
              <w:right w:val="single" w:color="auto" w:sz="10" w:space="0"/>
              <w:insideV w:val="single" w:sz="10" w:space="0"/>
            </w:tcBorders>
          </w:tcPr>
          <w:p w14:paraId="048F4EC0"/>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382C0F23">
            <w:pPr>
              <w:jc w:val="center"/>
            </w:pPr>
            <w:r>
              <w:rPr>
                <w:rFonts w:ascii="宋体" w:hAnsi="宋体" w:eastAsia="宋体"/>
                <w:sz w:val="16"/>
              </w:rPr>
              <w:t>新增防渗渠数量</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25EC71A0">
            <w:pPr>
              <w:jc w:val="center"/>
            </w:pPr>
            <w:r>
              <w:rPr>
                <w:rFonts w:ascii="宋体" w:hAnsi="宋体" w:eastAsia="宋体"/>
                <w:sz w:val="16"/>
              </w:rPr>
              <w:t>&gt;=11公里</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2C98F79B">
            <w:pPr>
              <w:jc w:val="center"/>
            </w:pPr>
            <w:r>
              <w:rPr>
                <w:rFonts w:ascii="宋体" w:hAnsi="宋体" w:eastAsia="宋体"/>
                <w:sz w:val="16"/>
              </w:rPr>
              <w:t>工作计划</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4C7DC19E">
            <w:pPr>
              <w:jc w:val="center"/>
            </w:pPr>
            <w:r>
              <w:rPr>
                <w:rFonts w:ascii="宋体" w:hAnsi="宋体" w:eastAsia="宋体"/>
                <w:sz w:val="16"/>
              </w:rPr>
              <w:t>18</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04F51B10">
            <w:pPr>
              <w:jc w:val="center"/>
            </w:pPr>
            <w:r>
              <w:rPr>
                <w:rFonts w:ascii="宋体" w:hAnsi="宋体" w:eastAsia="宋体"/>
                <w:sz w:val="16"/>
              </w:rPr>
              <w:t>=11公里</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747A04C9">
            <w:pPr>
              <w:jc w:val="center"/>
            </w:pPr>
            <w:r>
              <w:rPr>
                <w:rFonts w:ascii="宋体" w:hAnsi="宋体" w:eastAsia="宋体"/>
                <w:sz w:val="16"/>
              </w:rPr>
              <w:t>100</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5E69B002">
            <w:pPr>
              <w:jc w:val="center"/>
            </w:pPr>
            <w:r>
              <w:rPr>
                <w:rFonts w:ascii="宋体" w:hAnsi="宋体" w:eastAsia="宋体"/>
                <w:sz w:val="16"/>
              </w:rPr>
              <w:t>18</w:t>
            </w:r>
          </w:p>
        </w:tc>
      </w:tr>
      <w:tr w14:paraId="336C52B3">
        <w:tblPrEx>
          <w:tblCellMar>
            <w:top w:w="0" w:type="dxa"/>
            <w:left w:w="108" w:type="dxa"/>
            <w:bottom w:w="0" w:type="dxa"/>
            <w:right w:w="108" w:type="dxa"/>
          </w:tblCellMar>
        </w:tblPrEx>
        <w:trPr>
          <w:trHeight w:val="223" w:hRule="atLeast"/>
        </w:trPr>
        <w:tc>
          <w:tcPr>
            <w:tcW w:w="1022" w:type="dxa"/>
            <w:vMerge w:val="continue"/>
            <w:tcBorders>
              <w:top w:val="single" w:color="auto" w:sz="10" w:space="0"/>
              <w:left w:val="single" w:color="auto" w:sz="10" w:space="0"/>
              <w:bottom w:val="single" w:color="auto" w:sz="10" w:space="0"/>
              <w:right w:val="single" w:color="auto" w:sz="10" w:space="0"/>
              <w:insideV w:val="single" w:sz="10" w:space="0"/>
            </w:tcBorders>
          </w:tcPr>
          <w:p w14:paraId="170F7045"/>
        </w:tc>
        <w:tc>
          <w:tcPr>
            <w:tcW w:w="1022" w:type="dxa"/>
            <w:vMerge w:val="continue"/>
            <w:tcBorders>
              <w:top w:val="single" w:color="auto" w:sz="10" w:space="0"/>
              <w:left w:val="single" w:color="auto" w:sz="10" w:space="0"/>
              <w:bottom w:val="single" w:color="auto" w:sz="10" w:space="0"/>
              <w:right w:val="single" w:color="auto" w:sz="10" w:space="0"/>
              <w:insideV w:val="single" w:sz="10" w:space="0"/>
            </w:tcBorders>
          </w:tcPr>
          <w:p w14:paraId="24A830B3"/>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0806F013">
            <w:pPr>
              <w:jc w:val="center"/>
            </w:pPr>
            <w:r>
              <w:rPr>
                <w:rFonts w:ascii="宋体" w:hAnsi="宋体" w:eastAsia="宋体"/>
                <w:sz w:val="16"/>
              </w:rPr>
              <w:t>培养发展党员数量</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74F887A9">
            <w:pPr>
              <w:jc w:val="center"/>
            </w:pPr>
            <w:r>
              <w:rPr>
                <w:rFonts w:ascii="宋体" w:hAnsi="宋体" w:eastAsia="宋体"/>
                <w:sz w:val="16"/>
              </w:rPr>
              <w:t>&gt;=30人</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36C3CE26">
            <w:pPr>
              <w:jc w:val="center"/>
            </w:pPr>
            <w:r>
              <w:rPr>
                <w:rFonts w:ascii="宋体" w:hAnsi="宋体" w:eastAsia="宋体"/>
                <w:sz w:val="16"/>
              </w:rPr>
              <w:t>工作计划</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695B72DB">
            <w:pPr>
              <w:jc w:val="center"/>
            </w:pPr>
            <w:r>
              <w:rPr>
                <w:rFonts w:ascii="宋体" w:hAnsi="宋体" w:eastAsia="宋体"/>
                <w:sz w:val="16"/>
              </w:rPr>
              <w:t>18</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714A2485">
            <w:pPr>
              <w:jc w:val="center"/>
            </w:pPr>
            <w:r>
              <w:rPr>
                <w:rFonts w:ascii="宋体" w:hAnsi="宋体" w:eastAsia="宋体"/>
                <w:sz w:val="16"/>
              </w:rPr>
              <w:t>=30人</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53D682A7">
            <w:pPr>
              <w:jc w:val="center"/>
            </w:pPr>
            <w:r>
              <w:rPr>
                <w:rFonts w:ascii="宋体" w:hAnsi="宋体" w:eastAsia="宋体"/>
                <w:sz w:val="16"/>
              </w:rPr>
              <w:t>100</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652C463A">
            <w:pPr>
              <w:jc w:val="center"/>
            </w:pPr>
            <w:r>
              <w:rPr>
                <w:rFonts w:ascii="宋体" w:hAnsi="宋体" w:eastAsia="宋体"/>
                <w:sz w:val="16"/>
              </w:rPr>
              <w:t>18</w:t>
            </w:r>
          </w:p>
        </w:tc>
      </w:tr>
      <w:tr w14:paraId="24042DF2">
        <w:tblPrEx>
          <w:tblCellMar>
            <w:top w:w="0" w:type="dxa"/>
            <w:left w:w="108" w:type="dxa"/>
            <w:bottom w:w="0" w:type="dxa"/>
            <w:right w:w="108" w:type="dxa"/>
          </w:tblCellMar>
        </w:tblPrEx>
        <w:trPr>
          <w:trHeight w:val="437" w:hRule="atLeast"/>
        </w:trPr>
        <w:tc>
          <w:tcPr>
            <w:tcW w:w="1022" w:type="dxa"/>
            <w:vMerge w:val="continue"/>
            <w:tcBorders>
              <w:top w:val="single" w:color="auto" w:sz="10" w:space="0"/>
              <w:left w:val="single" w:color="auto" w:sz="10" w:space="0"/>
              <w:bottom w:val="single" w:color="auto" w:sz="10" w:space="0"/>
              <w:right w:val="single" w:color="auto" w:sz="10" w:space="0"/>
              <w:insideV w:val="single" w:sz="10" w:space="0"/>
            </w:tcBorders>
          </w:tcPr>
          <w:p w14:paraId="4A16C4D8"/>
        </w:tc>
        <w:tc>
          <w:tcPr>
            <w:tcW w:w="1022" w:type="dxa"/>
            <w:vMerge w:val="continue"/>
            <w:tcBorders>
              <w:top w:val="single" w:color="auto" w:sz="10" w:space="0"/>
              <w:left w:val="single" w:color="auto" w:sz="10" w:space="0"/>
              <w:bottom w:val="single" w:color="auto" w:sz="10" w:space="0"/>
              <w:right w:val="single" w:color="auto" w:sz="10" w:space="0"/>
              <w:insideV w:val="single" w:sz="10" w:space="0"/>
            </w:tcBorders>
          </w:tcPr>
          <w:p w14:paraId="3EC92985"/>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5CCD54FD">
            <w:pPr>
              <w:jc w:val="center"/>
            </w:pPr>
            <w:r>
              <w:rPr>
                <w:rFonts w:ascii="宋体" w:hAnsi="宋体" w:eastAsia="宋体"/>
                <w:sz w:val="16"/>
              </w:rPr>
              <w:t>每季度组织召开党建推进会次数</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4CC700E1">
            <w:pPr>
              <w:jc w:val="center"/>
            </w:pPr>
            <w:r>
              <w:rPr>
                <w:rFonts w:ascii="宋体" w:hAnsi="宋体" w:eastAsia="宋体"/>
                <w:sz w:val="16"/>
              </w:rPr>
              <w:t>=1次</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6AA38AEE">
            <w:pPr>
              <w:jc w:val="center"/>
            </w:pPr>
            <w:r>
              <w:rPr>
                <w:rFonts w:ascii="宋体" w:hAnsi="宋体" w:eastAsia="宋体"/>
                <w:sz w:val="16"/>
              </w:rPr>
              <w:t>工作计划</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400446BE">
            <w:pPr>
              <w:jc w:val="center"/>
            </w:pPr>
            <w:r>
              <w:rPr>
                <w:rFonts w:ascii="宋体" w:hAnsi="宋体" w:eastAsia="宋体"/>
                <w:sz w:val="16"/>
              </w:rPr>
              <w:t>18</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45BC7B6D">
            <w:pPr>
              <w:jc w:val="center"/>
            </w:pPr>
            <w:r>
              <w:rPr>
                <w:rFonts w:ascii="宋体" w:hAnsi="宋体" w:eastAsia="宋体"/>
                <w:sz w:val="16"/>
              </w:rPr>
              <w:t>=4次</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41FBC0C5">
            <w:pPr>
              <w:jc w:val="center"/>
            </w:pPr>
            <w:r>
              <w:rPr>
                <w:rFonts w:ascii="宋体" w:hAnsi="宋体" w:eastAsia="宋体"/>
                <w:sz w:val="16"/>
              </w:rPr>
              <w:t>400</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42E3E107">
            <w:pPr>
              <w:jc w:val="center"/>
            </w:pPr>
            <w:r>
              <w:rPr>
                <w:rFonts w:ascii="宋体" w:hAnsi="宋体" w:eastAsia="宋体"/>
                <w:sz w:val="16"/>
              </w:rPr>
              <w:t>18</w:t>
            </w:r>
          </w:p>
        </w:tc>
      </w:tr>
      <w:tr w14:paraId="67A9DD5B">
        <w:tblPrEx>
          <w:tblCellMar>
            <w:top w:w="0" w:type="dxa"/>
            <w:left w:w="108" w:type="dxa"/>
            <w:bottom w:w="0" w:type="dxa"/>
            <w:right w:w="108" w:type="dxa"/>
          </w:tblCellMar>
        </w:tblPrEx>
        <w:trPr>
          <w:trHeight w:val="125" w:hRule="atLeast"/>
        </w:trPr>
        <w:tc>
          <w:tcPr>
            <w:tcW w:w="1022" w:type="dxa"/>
            <w:vMerge w:val="continue"/>
            <w:tcBorders>
              <w:top w:val="single" w:color="auto" w:sz="10" w:space="0"/>
              <w:left w:val="single" w:color="auto" w:sz="10" w:space="0"/>
              <w:bottom w:val="single" w:color="auto" w:sz="10" w:space="0"/>
              <w:right w:val="single" w:color="auto" w:sz="10" w:space="0"/>
              <w:insideV w:val="single" w:sz="10" w:space="0"/>
            </w:tcBorders>
          </w:tcPr>
          <w:p w14:paraId="0828B35E"/>
        </w:tc>
        <w:tc>
          <w:tcPr>
            <w:tcW w:w="1022" w:type="dxa"/>
            <w:vMerge w:val="continue"/>
            <w:tcBorders>
              <w:top w:val="single" w:color="auto" w:sz="10" w:space="0"/>
              <w:left w:val="single" w:color="auto" w:sz="10" w:space="0"/>
              <w:bottom w:val="single" w:color="auto" w:sz="10" w:space="0"/>
              <w:right w:val="single" w:color="auto" w:sz="10" w:space="0"/>
              <w:insideV w:val="single" w:sz="10" w:space="0"/>
            </w:tcBorders>
          </w:tcPr>
          <w:p w14:paraId="7B67F3CA"/>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164C69A0">
            <w:pPr>
              <w:jc w:val="center"/>
            </w:pPr>
            <w:r>
              <w:rPr>
                <w:rFonts w:ascii="宋体" w:hAnsi="宋体" w:eastAsia="宋体"/>
                <w:sz w:val="16"/>
              </w:rPr>
              <w:t>每月召开党建专题会议次数</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189CE280">
            <w:pPr>
              <w:jc w:val="center"/>
            </w:pPr>
            <w:r>
              <w:rPr>
                <w:rFonts w:ascii="宋体" w:hAnsi="宋体" w:eastAsia="宋体"/>
                <w:sz w:val="16"/>
              </w:rPr>
              <w:t>=1次</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70962959">
            <w:pPr>
              <w:jc w:val="center"/>
            </w:pPr>
            <w:r>
              <w:rPr>
                <w:rFonts w:ascii="宋体" w:hAnsi="宋体" w:eastAsia="宋体"/>
                <w:sz w:val="16"/>
              </w:rPr>
              <w:t>工作计划</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329A2486">
            <w:pPr>
              <w:jc w:val="center"/>
            </w:pPr>
            <w:r>
              <w:rPr>
                <w:rFonts w:ascii="宋体" w:hAnsi="宋体" w:eastAsia="宋体"/>
                <w:sz w:val="16"/>
              </w:rPr>
              <w:t>18</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3C1E2E17">
            <w:pPr>
              <w:jc w:val="center"/>
            </w:pPr>
            <w:r>
              <w:rPr>
                <w:rFonts w:ascii="宋体" w:hAnsi="宋体" w:eastAsia="宋体"/>
                <w:sz w:val="16"/>
              </w:rPr>
              <w:t>=1次</w:t>
            </w:r>
          </w:p>
        </w:tc>
        <w:tc>
          <w:tcPr>
            <w:tcW w:w="1022" w:type="dxa"/>
            <w:tcBorders>
              <w:top w:val="single" w:color="auto" w:sz="10" w:space="0"/>
              <w:left w:val="single" w:color="auto" w:sz="10" w:space="0"/>
              <w:bottom w:val="single" w:color="auto" w:sz="10" w:space="0"/>
              <w:right w:val="single" w:color="auto" w:sz="10" w:space="0"/>
              <w:insideV w:val="single" w:sz="10" w:space="0"/>
            </w:tcBorders>
            <w:vAlign w:val="center"/>
          </w:tcPr>
          <w:p w14:paraId="2B4801B5">
            <w:pPr>
              <w:jc w:val="center"/>
            </w:pPr>
            <w:r>
              <w:rPr>
                <w:rFonts w:ascii="宋体" w:hAnsi="宋体" w:eastAsia="宋体"/>
                <w:sz w:val="16"/>
              </w:rPr>
              <w:t>100</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2D8A7450">
            <w:pPr>
              <w:jc w:val="center"/>
            </w:pPr>
            <w:r>
              <w:rPr>
                <w:rFonts w:ascii="宋体" w:hAnsi="宋体" w:eastAsia="宋体"/>
                <w:sz w:val="16"/>
              </w:rPr>
              <w:t>18</w:t>
            </w:r>
          </w:p>
        </w:tc>
      </w:tr>
    </w:tbl>
    <w:p w14:paraId="6FDE3D7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7A80FA9">
        <w:tblPrEx>
          <w:tblCellMar>
            <w:top w:w="0" w:type="dxa"/>
            <w:left w:w="108" w:type="dxa"/>
            <w:bottom w:w="0" w:type="dxa"/>
            <w:right w:w="108" w:type="dxa"/>
          </w:tblCellMar>
        </w:tblPrEx>
        <w:tc>
          <w:tcPr>
            <w:tcW w:w="8848" w:type="dxa"/>
            <w:gridSpan w:val="14"/>
            <w:vAlign w:val="center"/>
          </w:tcPr>
          <w:p w14:paraId="4BF75BE3">
            <w:pPr>
              <w:jc w:val="center"/>
            </w:pPr>
            <w:r>
              <w:rPr>
                <w:rFonts w:ascii="宋体" w:hAnsi="宋体" w:eastAsia="宋体"/>
                <w:sz w:val="24"/>
              </w:rPr>
              <w:t>项目支出绩效自评表</w:t>
            </w:r>
          </w:p>
        </w:tc>
      </w:tr>
      <w:tr w14:paraId="726CFCEE">
        <w:tblPrEx>
          <w:tblCellMar>
            <w:top w:w="0" w:type="dxa"/>
            <w:left w:w="108" w:type="dxa"/>
            <w:bottom w:w="0" w:type="dxa"/>
            <w:right w:w="108" w:type="dxa"/>
          </w:tblCellMar>
        </w:tblPrEx>
        <w:tc>
          <w:tcPr>
            <w:tcW w:w="8848" w:type="dxa"/>
            <w:gridSpan w:val="14"/>
            <w:vAlign w:val="center"/>
          </w:tcPr>
          <w:p w14:paraId="5F6EF410">
            <w:pPr>
              <w:jc w:val="center"/>
            </w:pPr>
            <w:r>
              <w:rPr>
                <w:rFonts w:ascii="宋体" w:hAnsi="宋体" w:eastAsia="宋体"/>
                <w:sz w:val="24"/>
              </w:rPr>
              <w:t>(2024年度)</w:t>
            </w:r>
          </w:p>
        </w:tc>
      </w:tr>
      <w:tr w14:paraId="343E74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4045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E5BB93">
            <w:pPr>
              <w:jc w:val="center"/>
            </w:pPr>
            <w:r>
              <w:rPr>
                <w:rFonts w:ascii="宋体" w:hAnsi="宋体" w:eastAsia="宋体"/>
                <w:sz w:val="16"/>
              </w:rPr>
              <w:t>2024年新疆煤改电二期工程补助（中央补助资金）—第一标段</w:t>
            </w:r>
          </w:p>
        </w:tc>
      </w:tr>
      <w:tr w14:paraId="62A28263">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9ED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5A9C89">
            <w:pPr>
              <w:jc w:val="center"/>
            </w:pPr>
            <w:r>
              <w:rPr>
                <w:rFonts w:ascii="宋体" w:hAnsi="宋体" w:eastAsia="宋体"/>
                <w:sz w:val="16"/>
              </w:rPr>
              <w:t>叶城县金果镇人民政府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68A3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149EE5">
            <w:pPr>
              <w:jc w:val="center"/>
            </w:pPr>
            <w:r>
              <w:rPr>
                <w:rFonts w:ascii="宋体" w:hAnsi="宋体" w:eastAsia="宋体"/>
                <w:sz w:val="16"/>
              </w:rPr>
              <w:t>叶城县金果镇人民政府</w:t>
            </w:r>
          </w:p>
        </w:tc>
      </w:tr>
      <w:tr w14:paraId="73D78D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018C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BEE9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95BE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7FB9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7092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9982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651B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15058">
            <w:pPr>
              <w:jc w:val="center"/>
            </w:pPr>
            <w:r>
              <w:rPr>
                <w:rFonts w:ascii="宋体" w:hAnsi="宋体" w:eastAsia="宋体"/>
                <w:sz w:val="16"/>
              </w:rPr>
              <w:t>得分</w:t>
            </w:r>
          </w:p>
        </w:tc>
      </w:tr>
      <w:tr w14:paraId="312D1B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0FD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F158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CF789">
            <w:pPr>
              <w:jc w:val="center"/>
            </w:pPr>
            <w:r>
              <w:rPr>
                <w:rFonts w:ascii="宋体" w:hAnsi="宋体" w:eastAsia="宋体"/>
                <w:sz w:val="16"/>
              </w:rPr>
              <w:t>771.12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A41EB">
            <w:pPr>
              <w:jc w:val="center"/>
            </w:pPr>
            <w:r>
              <w:rPr>
                <w:rFonts w:ascii="宋体" w:hAnsi="宋体" w:eastAsia="宋体"/>
                <w:sz w:val="16"/>
              </w:rPr>
              <w:t>771.12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5F482">
            <w:pPr>
              <w:jc w:val="center"/>
            </w:pPr>
            <w:r>
              <w:rPr>
                <w:rFonts w:ascii="宋体" w:hAnsi="宋体" w:eastAsia="宋体"/>
                <w:sz w:val="16"/>
              </w:rPr>
              <w:t>771.12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D51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FB3A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E05E">
            <w:pPr>
              <w:jc w:val="center"/>
            </w:pPr>
            <w:r>
              <w:rPr>
                <w:rFonts w:ascii="宋体" w:hAnsi="宋体" w:eastAsia="宋体"/>
                <w:sz w:val="16"/>
              </w:rPr>
              <w:t>10.00分</w:t>
            </w:r>
          </w:p>
        </w:tc>
      </w:tr>
      <w:tr w14:paraId="2CF26C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FBC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74EC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05454">
            <w:pPr>
              <w:jc w:val="center"/>
            </w:pPr>
            <w:r>
              <w:rPr>
                <w:rFonts w:ascii="宋体" w:hAnsi="宋体" w:eastAsia="宋体"/>
                <w:sz w:val="16"/>
              </w:rPr>
              <w:t>771.12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A46BC">
            <w:pPr>
              <w:jc w:val="center"/>
            </w:pPr>
            <w:r>
              <w:rPr>
                <w:rFonts w:ascii="宋体" w:hAnsi="宋体" w:eastAsia="宋体"/>
                <w:sz w:val="16"/>
              </w:rPr>
              <w:t>771.12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658BB">
            <w:pPr>
              <w:jc w:val="center"/>
            </w:pPr>
            <w:r>
              <w:rPr>
                <w:rFonts w:ascii="宋体" w:hAnsi="宋体" w:eastAsia="宋体"/>
                <w:sz w:val="16"/>
              </w:rPr>
              <w:t>771.12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17C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403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F7201">
            <w:pPr>
              <w:jc w:val="center"/>
            </w:pPr>
            <w:r>
              <w:rPr>
                <w:rFonts w:ascii="宋体" w:hAnsi="宋体" w:eastAsia="宋体"/>
                <w:sz w:val="16"/>
              </w:rPr>
              <w:t>—</w:t>
            </w:r>
          </w:p>
        </w:tc>
      </w:tr>
      <w:tr w14:paraId="715469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A80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2A15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79B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C88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F39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C54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86B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7BDF5">
            <w:pPr>
              <w:jc w:val="center"/>
            </w:pPr>
            <w:r>
              <w:rPr>
                <w:rFonts w:ascii="宋体" w:hAnsi="宋体" w:eastAsia="宋体"/>
                <w:sz w:val="16"/>
              </w:rPr>
              <w:t>—</w:t>
            </w:r>
          </w:p>
        </w:tc>
      </w:tr>
      <w:tr w14:paraId="6C6785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4E217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FC6E9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CDB4C0">
            <w:pPr>
              <w:jc w:val="center"/>
            </w:pPr>
            <w:r>
              <w:rPr>
                <w:rFonts w:ascii="宋体" w:hAnsi="宋体" w:eastAsia="宋体"/>
                <w:sz w:val="16"/>
              </w:rPr>
              <w:t>实际完成情况</w:t>
            </w:r>
          </w:p>
        </w:tc>
      </w:tr>
      <w:tr w14:paraId="45067A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E7D8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02EF44">
            <w:pPr>
              <w:jc w:val="both"/>
            </w:pPr>
            <w:r>
              <w:rPr>
                <w:rFonts w:ascii="宋体" w:hAnsi="宋体" w:eastAsia="宋体"/>
                <w:sz w:val="16"/>
              </w:rPr>
              <w:t>居民供暖设施改造工程建设资金由国家补助、自治区</w:t>
            </w:r>
            <w:r>
              <w:rPr>
                <w:rFonts w:hint="eastAsia" w:ascii="宋体" w:hAnsi="宋体"/>
                <w:sz w:val="16"/>
                <w:lang w:eastAsia="zh-CN"/>
              </w:rPr>
              <w:t>补助</w:t>
            </w:r>
            <w:r>
              <w:rPr>
                <w:rFonts w:ascii="宋体" w:hAnsi="宋体" w:eastAsia="宋体"/>
                <w:sz w:val="16"/>
              </w:rPr>
              <w:t>两部分组成，户均不超过3600元，总投资771.12万元，其中：中央财政补贴385.56万元（占投资的50%），自治区财政补贴385.56万元（占投资的50%）.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87AB0C">
            <w:pPr>
              <w:jc w:val="both"/>
            </w:pPr>
            <w:r>
              <w:rPr>
                <w:rFonts w:hint="eastAsia" w:ascii="宋体" w:hAnsi="宋体"/>
                <w:sz w:val="16"/>
                <w:lang w:eastAsia="zh-CN"/>
              </w:rPr>
              <w:t>截至2024</w:t>
            </w:r>
            <w:r>
              <w:rPr>
                <w:rFonts w:ascii="宋体" w:hAnsi="宋体" w:eastAsia="宋体"/>
                <w:sz w:val="16"/>
              </w:rPr>
              <w:t>年12月31日项目预算771.12万元，到位资金771.12万元，实际支出771.12万元，用于居民供暖设施改造，改善农户供暖条件，提高受益农户幸福感。</w:t>
            </w:r>
          </w:p>
        </w:tc>
      </w:tr>
      <w:tr w14:paraId="177A8D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AD43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1D55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1D1A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ED1A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9F3B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5ADE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AA4D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945B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2BCA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FAFC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6884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5499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C3C11">
            <w:pPr>
              <w:jc w:val="center"/>
            </w:pPr>
            <w:r>
              <w:rPr>
                <w:rFonts w:ascii="宋体" w:hAnsi="宋体" w:eastAsia="宋体"/>
                <w:sz w:val="16"/>
              </w:rPr>
              <w:t>偏差原因分析及改进措施</w:t>
            </w:r>
          </w:p>
        </w:tc>
      </w:tr>
      <w:tr w14:paraId="344D72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941EC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8BF5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B96BD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FF769">
            <w:pPr>
              <w:jc w:val="center"/>
            </w:pPr>
            <w:r>
              <w:rPr>
                <w:rFonts w:ascii="宋体" w:hAnsi="宋体" w:eastAsia="宋体"/>
                <w:sz w:val="16"/>
              </w:rPr>
              <w:t>煤改电户数（户）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81E2">
            <w:pPr>
              <w:jc w:val="center"/>
            </w:pPr>
            <w:r>
              <w:rPr>
                <w:rFonts w:ascii="宋体" w:hAnsi="宋体" w:eastAsia="宋体"/>
                <w:sz w:val="16"/>
              </w:rPr>
              <w:t>=1675户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0D7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FAD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FFA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C51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25D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31E59">
            <w:pPr>
              <w:jc w:val="center"/>
            </w:pPr>
            <w:r>
              <w:rPr>
                <w:rFonts w:ascii="宋体" w:hAnsi="宋体" w:eastAsia="宋体"/>
                <w:sz w:val="16"/>
              </w:rPr>
              <w:t>=1675户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46D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D082D">
            <w:pPr>
              <w:jc w:val="center"/>
            </w:pPr>
          </w:p>
        </w:tc>
      </w:tr>
      <w:tr w14:paraId="7F244A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0C1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B04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3FF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AE8B4">
            <w:pPr>
              <w:jc w:val="center"/>
            </w:pPr>
            <w:r>
              <w:rPr>
                <w:rFonts w:ascii="宋体" w:hAnsi="宋体" w:eastAsia="宋体"/>
                <w:sz w:val="16"/>
              </w:rPr>
              <w:t>覆盖乡镇（个）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3FE5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8D5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441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450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C13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404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D6E4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CD4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680D9">
            <w:pPr>
              <w:jc w:val="center"/>
            </w:pPr>
          </w:p>
        </w:tc>
      </w:tr>
      <w:tr w14:paraId="7C205406">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CA1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064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6D4C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651FA">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B2E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FC4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414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699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F50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72D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56E3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03A0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053F7">
            <w:pPr>
              <w:jc w:val="center"/>
            </w:pPr>
            <w:r>
              <w:rPr>
                <w:rFonts w:ascii="宋体" w:hAnsi="宋体" w:eastAsia="宋体"/>
                <w:sz w:val="16"/>
              </w:rPr>
              <w:t>偏差原因：项目已完工，村级已验收，上级还未验收。整改措施：加快验收工作。</w:t>
            </w:r>
          </w:p>
        </w:tc>
      </w:tr>
      <w:tr w14:paraId="14565B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71C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E6E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0E5A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BC9A7">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EE145">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C07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951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9C8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448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184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A82D9">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B9A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C7573">
            <w:pPr>
              <w:jc w:val="center"/>
            </w:pPr>
          </w:p>
        </w:tc>
      </w:tr>
      <w:tr w14:paraId="4DAD2A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07F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EC46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A7E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5F19C">
            <w:pPr>
              <w:jc w:val="center"/>
            </w:pPr>
            <w:r>
              <w:rPr>
                <w:rFonts w:ascii="宋体" w:hAnsi="宋体" w:eastAsia="宋体"/>
                <w:sz w:val="16"/>
              </w:rPr>
              <w:t>煤改电成本（万元/户）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C4DAB">
            <w:pPr>
              <w:jc w:val="center"/>
            </w:pPr>
            <w:r>
              <w:rPr>
                <w:rFonts w:ascii="宋体" w:hAnsi="宋体" w:eastAsia="宋体"/>
                <w:sz w:val="16"/>
              </w:rPr>
              <w:t>&lt;=0.46万元/户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C431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9D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7CAD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F52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BBC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D57AF">
            <w:pPr>
              <w:jc w:val="center"/>
            </w:pPr>
            <w:r>
              <w:rPr>
                <w:rFonts w:ascii="宋体" w:hAnsi="宋体" w:eastAsia="宋体"/>
                <w:sz w:val="16"/>
              </w:rPr>
              <w:t>=0.46万元/户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DE20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EBDD9">
            <w:pPr>
              <w:jc w:val="center"/>
            </w:pPr>
          </w:p>
        </w:tc>
      </w:tr>
      <w:tr w14:paraId="53962A29">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9EA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28AA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FEE7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2D5B5">
            <w:pPr>
              <w:jc w:val="center"/>
            </w:pPr>
            <w:r>
              <w:rPr>
                <w:rFonts w:ascii="宋体" w:hAnsi="宋体" w:eastAsia="宋体"/>
                <w:sz w:val="16"/>
              </w:rPr>
              <w:t>改善村民取暖条件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02E42">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AD8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03B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3FC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31A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41F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FDC0F">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3794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3B0D3">
            <w:pPr>
              <w:jc w:val="center"/>
            </w:pPr>
          </w:p>
        </w:tc>
      </w:tr>
      <w:tr w14:paraId="39895B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A93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62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8B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7E5F">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9888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FA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4BF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F45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B36F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1E3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BACF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222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51275">
            <w:pPr>
              <w:jc w:val="center"/>
            </w:pPr>
          </w:p>
        </w:tc>
      </w:tr>
      <w:tr w14:paraId="5C5BAF5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61BF9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72E9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BC2F6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102D9">
            <w:pPr>
              <w:jc w:val="center"/>
            </w:pPr>
            <w:r>
              <w:rPr>
                <w:rFonts w:ascii="宋体" w:hAnsi="宋体" w:eastAsia="宋体"/>
                <w:sz w:val="16"/>
              </w:rPr>
              <w:t>90分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13FB296"/>
        </w:tc>
      </w:tr>
    </w:tbl>
    <w:p w14:paraId="5DAC242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77BE03A">
        <w:tblPrEx>
          <w:tblCellMar>
            <w:top w:w="0" w:type="dxa"/>
            <w:left w:w="108" w:type="dxa"/>
            <w:bottom w:w="0" w:type="dxa"/>
            <w:right w:w="108" w:type="dxa"/>
          </w:tblCellMar>
        </w:tblPrEx>
        <w:tc>
          <w:tcPr>
            <w:tcW w:w="8848" w:type="dxa"/>
            <w:gridSpan w:val="14"/>
            <w:vAlign w:val="center"/>
          </w:tcPr>
          <w:p w14:paraId="360539F1">
            <w:pPr>
              <w:jc w:val="center"/>
            </w:pPr>
            <w:r>
              <w:rPr>
                <w:rFonts w:ascii="宋体" w:hAnsi="宋体" w:eastAsia="宋体"/>
                <w:sz w:val="24"/>
              </w:rPr>
              <w:t>项目支出绩效自评表</w:t>
            </w:r>
          </w:p>
        </w:tc>
      </w:tr>
      <w:tr w14:paraId="0EF7A549">
        <w:tblPrEx>
          <w:tblCellMar>
            <w:top w:w="0" w:type="dxa"/>
            <w:left w:w="108" w:type="dxa"/>
            <w:bottom w:w="0" w:type="dxa"/>
            <w:right w:w="108" w:type="dxa"/>
          </w:tblCellMar>
        </w:tblPrEx>
        <w:tc>
          <w:tcPr>
            <w:tcW w:w="8848" w:type="dxa"/>
            <w:gridSpan w:val="14"/>
            <w:vAlign w:val="center"/>
          </w:tcPr>
          <w:p w14:paraId="367D257C">
            <w:pPr>
              <w:jc w:val="center"/>
            </w:pPr>
            <w:r>
              <w:rPr>
                <w:rFonts w:ascii="宋体" w:hAnsi="宋体" w:eastAsia="宋体"/>
                <w:sz w:val="24"/>
              </w:rPr>
              <w:t>(2024年度)</w:t>
            </w:r>
          </w:p>
        </w:tc>
      </w:tr>
      <w:tr w14:paraId="5819E4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354D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BAF5F9">
            <w:pPr>
              <w:jc w:val="center"/>
            </w:pPr>
            <w:r>
              <w:rPr>
                <w:rFonts w:ascii="宋体" w:hAnsi="宋体" w:eastAsia="宋体"/>
                <w:sz w:val="16"/>
              </w:rPr>
              <w:t>叶城县金果镇历年垃圾清运费项目</w:t>
            </w:r>
          </w:p>
        </w:tc>
      </w:tr>
      <w:tr w14:paraId="185AB0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271D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EA4DF4">
            <w:pPr>
              <w:jc w:val="center"/>
            </w:pPr>
            <w:r>
              <w:rPr>
                <w:rFonts w:ascii="宋体" w:hAnsi="宋体" w:eastAsia="宋体"/>
                <w:sz w:val="16"/>
              </w:rPr>
              <w:t>叶城县金果镇人民政府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1F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FC877F">
            <w:pPr>
              <w:jc w:val="center"/>
            </w:pPr>
            <w:r>
              <w:rPr>
                <w:rFonts w:ascii="宋体" w:hAnsi="宋体" w:eastAsia="宋体"/>
                <w:sz w:val="16"/>
              </w:rPr>
              <w:t>叶城县金果镇人民政府</w:t>
            </w:r>
          </w:p>
        </w:tc>
      </w:tr>
      <w:tr w14:paraId="0AD42443">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B87E9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343D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121A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E1C0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677B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DCD1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0F51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83715">
            <w:pPr>
              <w:jc w:val="center"/>
            </w:pPr>
            <w:r>
              <w:rPr>
                <w:rFonts w:ascii="宋体" w:hAnsi="宋体" w:eastAsia="宋体"/>
                <w:sz w:val="16"/>
              </w:rPr>
              <w:t>得分</w:t>
            </w:r>
          </w:p>
        </w:tc>
      </w:tr>
      <w:tr w14:paraId="4524A7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084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F2DD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40DB0">
            <w:pPr>
              <w:jc w:val="center"/>
            </w:pPr>
            <w:r>
              <w:rPr>
                <w:rFonts w:ascii="宋体" w:hAnsi="宋体" w:eastAsia="宋体"/>
                <w:sz w:val="16"/>
              </w:rPr>
              <w:t>45.68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6CAE2">
            <w:pPr>
              <w:jc w:val="center"/>
            </w:pPr>
            <w:r>
              <w:rPr>
                <w:rFonts w:ascii="宋体" w:hAnsi="宋体" w:eastAsia="宋体"/>
                <w:sz w:val="16"/>
              </w:rPr>
              <w:t>45.68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1D471">
            <w:pPr>
              <w:jc w:val="center"/>
            </w:pPr>
            <w:r>
              <w:rPr>
                <w:rFonts w:ascii="宋体" w:hAnsi="宋体" w:eastAsia="宋体"/>
                <w:sz w:val="16"/>
              </w:rPr>
              <w:t>45.68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89F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78F7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312BB">
            <w:pPr>
              <w:jc w:val="center"/>
            </w:pPr>
            <w:r>
              <w:rPr>
                <w:rFonts w:ascii="宋体" w:hAnsi="宋体" w:eastAsia="宋体"/>
                <w:sz w:val="16"/>
              </w:rPr>
              <w:t>10.00分</w:t>
            </w:r>
          </w:p>
        </w:tc>
      </w:tr>
      <w:tr w14:paraId="34F891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9B3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1945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74140">
            <w:pPr>
              <w:jc w:val="center"/>
            </w:pPr>
            <w:r>
              <w:rPr>
                <w:rFonts w:ascii="宋体" w:hAnsi="宋体" w:eastAsia="宋体"/>
                <w:sz w:val="16"/>
              </w:rPr>
              <w:t>45.68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85391">
            <w:pPr>
              <w:jc w:val="center"/>
            </w:pPr>
            <w:r>
              <w:rPr>
                <w:rFonts w:ascii="宋体" w:hAnsi="宋体" w:eastAsia="宋体"/>
                <w:sz w:val="16"/>
              </w:rPr>
              <w:t>45.68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BEF0F">
            <w:pPr>
              <w:jc w:val="center"/>
            </w:pPr>
            <w:r>
              <w:rPr>
                <w:rFonts w:ascii="宋体" w:hAnsi="宋体" w:eastAsia="宋体"/>
                <w:sz w:val="16"/>
              </w:rPr>
              <w:t>45.68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B16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F3A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B7285">
            <w:pPr>
              <w:jc w:val="center"/>
            </w:pPr>
            <w:r>
              <w:rPr>
                <w:rFonts w:ascii="宋体" w:hAnsi="宋体" w:eastAsia="宋体"/>
                <w:sz w:val="16"/>
              </w:rPr>
              <w:t>—</w:t>
            </w:r>
          </w:p>
        </w:tc>
      </w:tr>
      <w:tr w14:paraId="70B842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506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6152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F30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215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784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1BC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DA3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74DB5">
            <w:pPr>
              <w:jc w:val="center"/>
            </w:pPr>
            <w:r>
              <w:rPr>
                <w:rFonts w:ascii="宋体" w:hAnsi="宋体" w:eastAsia="宋体"/>
                <w:sz w:val="16"/>
              </w:rPr>
              <w:t>—</w:t>
            </w:r>
          </w:p>
        </w:tc>
      </w:tr>
      <w:tr w14:paraId="05EEAA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9E0A6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A08A5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EF97C7">
            <w:pPr>
              <w:jc w:val="center"/>
            </w:pPr>
            <w:r>
              <w:rPr>
                <w:rFonts w:ascii="宋体" w:hAnsi="宋体" w:eastAsia="宋体"/>
                <w:sz w:val="16"/>
              </w:rPr>
              <w:t>实际完成情况</w:t>
            </w:r>
          </w:p>
        </w:tc>
      </w:tr>
      <w:tr w14:paraId="278B14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C51C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97266B">
            <w:pPr>
              <w:jc w:val="both"/>
            </w:pPr>
            <w:r>
              <w:rPr>
                <w:rFonts w:ascii="宋体" w:hAnsi="宋体" w:eastAsia="宋体"/>
                <w:sz w:val="16"/>
              </w:rPr>
              <w:t>项目预算安排45.68万元，主要</w:t>
            </w:r>
            <w:r>
              <w:rPr>
                <w:rFonts w:hint="eastAsia" w:ascii="宋体" w:hAnsi="宋体"/>
                <w:sz w:val="16"/>
                <w:lang w:eastAsia="zh-CN"/>
              </w:rPr>
              <w:t>用于</w:t>
            </w:r>
            <w:r>
              <w:rPr>
                <w:rFonts w:ascii="宋体" w:hAnsi="宋体" w:eastAsia="宋体"/>
                <w:sz w:val="16"/>
              </w:rPr>
              <w:t>历年来的垃圾清运，改善我镇居民的居住条件，改善生活环境，提高土地利用效率，优化营商环境，促进高质量发展，根据叶城县待开发土地现状和金果镇城市升级改造需要。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734F80">
            <w:pPr>
              <w:jc w:val="both"/>
            </w:pPr>
            <w:r>
              <w:rPr>
                <w:rFonts w:hint="eastAsia" w:ascii="宋体" w:hAnsi="宋体"/>
                <w:sz w:val="16"/>
                <w:lang w:eastAsia="zh-CN"/>
              </w:rPr>
              <w:t>截至</w:t>
            </w:r>
            <w:r>
              <w:rPr>
                <w:rFonts w:ascii="宋体" w:hAnsi="宋体" w:eastAsia="宋体"/>
                <w:sz w:val="16"/>
              </w:rPr>
              <w:t>2024年12月31日，该项目预算资金45.68万元，到位资金45.68万元，已支付45.68万元，主要</w:t>
            </w:r>
            <w:r>
              <w:rPr>
                <w:rFonts w:hint="eastAsia" w:ascii="宋体" w:hAnsi="宋体"/>
                <w:sz w:val="16"/>
                <w:lang w:eastAsia="zh-CN"/>
              </w:rPr>
              <w:t>用于</w:t>
            </w:r>
            <w:r>
              <w:rPr>
                <w:rFonts w:ascii="宋体" w:hAnsi="宋体" w:eastAsia="宋体"/>
                <w:sz w:val="16"/>
              </w:rPr>
              <w:t>历年来的垃圾清运，改善我镇居民的居住条件，改善生活环境，提高土地利用效率，优化营商环境，促进高质量发展，根据叶城县待开发土地现状和金果镇城市升级改造需要。</w:t>
            </w:r>
          </w:p>
        </w:tc>
      </w:tr>
      <w:tr w14:paraId="7E75BB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A6A6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1D4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BFB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1F6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FD37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7CB6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F4A5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8F4A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63D9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23A2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6B1C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11EB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4A6CE">
            <w:pPr>
              <w:jc w:val="center"/>
            </w:pPr>
            <w:r>
              <w:rPr>
                <w:rFonts w:ascii="宋体" w:hAnsi="宋体" w:eastAsia="宋体"/>
                <w:sz w:val="16"/>
              </w:rPr>
              <w:t>偏差原因分析及改进措施</w:t>
            </w:r>
          </w:p>
        </w:tc>
      </w:tr>
      <w:tr w14:paraId="094E0E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9BF1E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BDE2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40F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96BDD">
            <w:pPr>
              <w:jc w:val="center"/>
            </w:pPr>
            <w:r>
              <w:rPr>
                <w:rFonts w:ascii="宋体" w:hAnsi="宋体" w:eastAsia="宋体"/>
                <w:sz w:val="16"/>
              </w:rPr>
              <w:t>垃圾清运总户数（户）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EF2BB">
            <w:pPr>
              <w:jc w:val="center"/>
            </w:pPr>
            <w:r>
              <w:rPr>
                <w:rFonts w:ascii="宋体" w:hAnsi="宋体" w:eastAsia="宋体"/>
                <w:sz w:val="16"/>
              </w:rPr>
              <w:t>=149户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BAB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AA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DFD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CDE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CA5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7DD7">
            <w:pPr>
              <w:jc w:val="center"/>
            </w:pPr>
            <w:r>
              <w:rPr>
                <w:rFonts w:ascii="宋体" w:hAnsi="宋体" w:eastAsia="宋体"/>
                <w:sz w:val="16"/>
              </w:rPr>
              <w:t>=149户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19C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F24A6">
            <w:pPr>
              <w:jc w:val="center"/>
            </w:pPr>
          </w:p>
        </w:tc>
      </w:tr>
      <w:tr w14:paraId="337A4A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474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B82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8821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E9A41">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912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F65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6E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748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7A1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E37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97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97F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8E188">
            <w:pPr>
              <w:jc w:val="center"/>
            </w:pPr>
          </w:p>
        </w:tc>
      </w:tr>
      <w:tr w14:paraId="0BEF32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806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5A0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E2370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5AD0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479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27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B56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8AD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11F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B1A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5EF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9C7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5DB40">
            <w:pPr>
              <w:jc w:val="center"/>
            </w:pPr>
          </w:p>
        </w:tc>
      </w:tr>
      <w:tr w14:paraId="5C3869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56C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C3A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52F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3F6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1DD44">
            <w:pPr>
              <w:jc w:val="center"/>
            </w:pPr>
            <w:r>
              <w:rPr>
                <w:rFonts w:ascii="宋体" w:hAnsi="宋体" w:eastAsia="宋体"/>
                <w:sz w:val="16"/>
              </w:rPr>
              <w:t>2024年12月26日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091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348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90B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BAF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326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682B9">
            <w:pPr>
              <w:jc w:val="center"/>
            </w:pPr>
            <w:r>
              <w:rPr>
                <w:rFonts w:ascii="宋体" w:hAnsi="宋体" w:eastAsia="宋体"/>
                <w:sz w:val="16"/>
              </w:rPr>
              <w:t>=2024年12月26日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774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993C8">
            <w:pPr>
              <w:jc w:val="center"/>
            </w:pPr>
          </w:p>
        </w:tc>
      </w:tr>
      <w:tr w14:paraId="1CFFD97E">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002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0C24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7439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92F62">
            <w:pPr>
              <w:jc w:val="center"/>
            </w:pPr>
            <w:r>
              <w:rPr>
                <w:rFonts w:ascii="宋体" w:hAnsi="宋体" w:eastAsia="宋体"/>
                <w:sz w:val="16"/>
              </w:rPr>
              <w:t>垃圾清运成本（万元/户）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D20AC">
            <w:pPr>
              <w:jc w:val="center"/>
            </w:pPr>
            <w:r>
              <w:rPr>
                <w:rFonts w:ascii="宋体" w:hAnsi="宋体" w:eastAsia="宋体"/>
                <w:sz w:val="16"/>
              </w:rPr>
              <w:t>&lt;=0.30万元/户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DD2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A5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AB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17A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637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7423A">
            <w:pPr>
              <w:jc w:val="center"/>
            </w:pPr>
            <w:r>
              <w:rPr>
                <w:rFonts w:ascii="宋体" w:hAnsi="宋体" w:eastAsia="宋体"/>
                <w:sz w:val="16"/>
              </w:rPr>
              <w:t>=0.3万元/户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9EE9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CA40B">
            <w:pPr>
              <w:jc w:val="center"/>
            </w:pPr>
          </w:p>
        </w:tc>
      </w:tr>
      <w:tr w14:paraId="38AF25E3">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9BC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F7C5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117F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B1866">
            <w:pPr>
              <w:jc w:val="center"/>
            </w:pPr>
            <w:r>
              <w:rPr>
                <w:rFonts w:ascii="宋体" w:hAnsi="宋体" w:eastAsia="宋体"/>
                <w:sz w:val="16"/>
              </w:rPr>
              <w:t>提高群众幸福度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2AFC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5AC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E6B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96C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A296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157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FF31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FA1F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043D9">
            <w:pPr>
              <w:jc w:val="center"/>
            </w:pPr>
          </w:p>
        </w:tc>
      </w:tr>
      <w:tr w14:paraId="71B315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1BD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C20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AC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3B1D4">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BA09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BAA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D87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CC5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D17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355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12D1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C49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49798">
            <w:pPr>
              <w:jc w:val="center"/>
            </w:pPr>
          </w:p>
        </w:tc>
      </w:tr>
      <w:tr w14:paraId="5982A38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74C30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DD52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B392F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49D7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513D9DC"/>
        </w:tc>
      </w:tr>
    </w:tbl>
    <w:p w14:paraId="2EE8941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2224818D">
        <w:tblPrEx>
          <w:tblCellMar>
            <w:top w:w="0" w:type="dxa"/>
            <w:left w:w="108" w:type="dxa"/>
            <w:bottom w:w="0" w:type="dxa"/>
            <w:right w:w="108" w:type="dxa"/>
          </w:tblCellMar>
        </w:tblPrEx>
        <w:tc>
          <w:tcPr>
            <w:tcW w:w="8848" w:type="dxa"/>
            <w:gridSpan w:val="14"/>
            <w:vAlign w:val="center"/>
          </w:tcPr>
          <w:p w14:paraId="04B87DB3">
            <w:pPr>
              <w:jc w:val="center"/>
            </w:pPr>
            <w:r>
              <w:rPr>
                <w:rFonts w:ascii="宋体" w:hAnsi="宋体" w:eastAsia="宋体"/>
                <w:sz w:val="24"/>
              </w:rPr>
              <w:t>项目支出绩效自评表</w:t>
            </w:r>
          </w:p>
        </w:tc>
      </w:tr>
      <w:tr w14:paraId="48FEFB24">
        <w:tblPrEx>
          <w:tblCellMar>
            <w:top w:w="0" w:type="dxa"/>
            <w:left w:w="108" w:type="dxa"/>
            <w:bottom w:w="0" w:type="dxa"/>
            <w:right w:w="108" w:type="dxa"/>
          </w:tblCellMar>
        </w:tblPrEx>
        <w:tc>
          <w:tcPr>
            <w:tcW w:w="8848" w:type="dxa"/>
            <w:gridSpan w:val="14"/>
            <w:vAlign w:val="center"/>
          </w:tcPr>
          <w:p w14:paraId="219CF05B">
            <w:pPr>
              <w:jc w:val="center"/>
            </w:pPr>
            <w:r>
              <w:rPr>
                <w:rFonts w:ascii="宋体" w:hAnsi="宋体" w:eastAsia="宋体"/>
                <w:sz w:val="24"/>
              </w:rPr>
              <w:t>(2024年度)</w:t>
            </w:r>
          </w:p>
        </w:tc>
      </w:tr>
      <w:tr w14:paraId="08F670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7CA6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8E7FCE">
            <w:pPr>
              <w:jc w:val="center"/>
            </w:pPr>
            <w:r>
              <w:rPr>
                <w:rFonts w:ascii="宋体" w:hAnsi="宋体" w:eastAsia="宋体"/>
                <w:sz w:val="16"/>
              </w:rPr>
              <w:t>叶城县金果镇玉石小镇规划建设前期项目</w:t>
            </w:r>
          </w:p>
        </w:tc>
      </w:tr>
      <w:tr w14:paraId="1C5D64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244E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A45B8C">
            <w:pPr>
              <w:jc w:val="center"/>
            </w:pPr>
            <w:r>
              <w:rPr>
                <w:rFonts w:ascii="宋体" w:hAnsi="宋体" w:eastAsia="宋体"/>
                <w:sz w:val="16"/>
              </w:rPr>
              <w:t>叶城县金果镇人民政府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6CDE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6FBEAC">
            <w:pPr>
              <w:jc w:val="center"/>
            </w:pPr>
            <w:r>
              <w:rPr>
                <w:rFonts w:ascii="宋体" w:hAnsi="宋体" w:eastAsia="宋体"/>
                <w:sz w:val="16"/>
              </w:rPr>
              <w:t>叶城县金果镇人民政府</w:t>
            </w:r>
          </w:p>
        </w:tc>
      </w:tr>
      <w:tr w14:paraId="3CD856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1570A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3DB0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3FE6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9078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8953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0CC7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F5C0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4463D">
            <w:pPr>
              <w:jc w:val="center"/>
            </w:pPr>
            <w:r>
              <w:rPr>
                <w:rFonts w:ascii="宋体" w:hAnsi="宋体" w:eastAsia="宋体"/>
                <w:sz w:val="16"/>
              </w:rPr>
              <w:t>得分</w:t>
            </w:r>
          </w:p>
        </w:tc>
      </w:tr>
      <w:tr w14:paraId="2AF965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ECA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BF66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64BC7">
            <w:pPr>
              <w:jc w:val="center"/>
            </w:pPr>
            <w:r>
              <w:rPr>
                <w:rFonts w:ascii="宋体" w:hAnsi="宋体" w:eastAsia="宋体"/>
                <w:sz w:val="16"/>
              </w:rPr>
              <w:t>750.00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5A7F0">
            <w:pPr>
              <w:jc w:val="center"/>
            </w:pPr>
            <w:r>
              <w:rPr>
                <w:rFonts w:ascii="宋体" w:hAnsi="宋体" w:eastAsia="宋体"/>
                <w:sz w:val="16"/>
              </w:rPr>
              <w:t>750.00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1B604">
            <w:pPr>
              <w:jc w:val="center"/>
            </w:pPr>
            <w:r>
              <w:rPr>
                <w:rFonts w:ascii="宋体" w:hAnsi="宋体" w:eastAsia="宋体"/>
                <w:sz w:val="16"/>
              </w:rPr>
              <w:t>297.00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86E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DFBCC">
            <w:pPr>
              <w:jc w:val="center"/>
            </w:pPr>
            <w:r>
              <w:rPr>
                <w:rFonts w:ascii="宋体" w:hAnsi="宋体" w:eastAsia="宋体"/>
                <w:sz w:val="16"/>
              </w:rPr>
              <w:t>39.6%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C4A8A">
            <w:pPr>
              <w:jc w:val="center"/>
            </w:pPr>
            <w:r>
              <w:rPr>
                <w:rFonts w:ascii="宋体" w:hAnsi="宋体" w:eastAsia="宋体"/>
                <w:sz w:val="16"/>
              </w:rPr>
              <w:t>0.00分</w:t>
            </w:r>
          </w:p>
        </w:tc>
      </w:tr>
      <w:tr w14:paraId="370006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905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79BF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02D67">
            <w:pPr>
              <w:jc w:val="center"/>
            </w:pPr>
            <w:r>
              <w:rPr>
                <w:rFonts w:ascii="宋体" w:hAnsi="宋体" w:eastAsia="宋体"/>
                <w:sz w:val="16"/>
              </w:rPr>
              <w:t>750.00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F44A4">
            <w:pPr>
              <w:jc w:val="center"/>
            </w:pPr>
            <w:r>
              <w:rPr>
                <w:rFonts w:ascii="宋体" w:hAnsi="宋体" w:eastAsia="宋体"/>
                <w:sz w:val="16"/>
              </w:rPr>
              <w:t>750.00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A5F8C">
            <w:pPr>
              <w:jc w:val="center"/>
            </w:pPr>
            <w:r>
              <w:rPr>
                <w:rFonts w:ascii="宋体" w:hAnsi="宋体" w:eastAsia="宋体"/>
                <w:sz w:val="16"/>
              </w:rPr>
              <w:t>297.00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66C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7CA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65049">
            <w:pPr>
              <w:jc w:val="center"/>
            </w:pPr>
            <w:r>
              <w:rPr>
                <w:rFonts w:ascii="宋体" w:hAnsi="宋体" w:eastAsia="宋体"/>
                <w:sz w:val="16"/>
              </w:rPr>
              <w:t>—</w:t>
            </w:r>
          </w:p>
        </w:tc>
      </w:tr>
      <w:tr w14:paraId="0D876D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4F3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7CF8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F36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A55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ECF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C89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B0F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14E61">
            <w:pPr>
              <w:jc w:val="center"/>
            </w:pPr>
            <w:r>
              <w:rPr>
                <w:rFonts w:ascii="宋体" w:hAnsi="宋体" w:eastAsia="宋体"/>
                <w:sz w:val="16"/>
              </w:rPr>
              <w:t>—</w:t>
            </w:r>
          </w:p>
        </w:tc>
      </w:tr>
      <w:tr w14:paraId="15825D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98E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22EC2">
            <w:pPr>
              <w:jc w:val="center"/>
            </w:pPr>
            <w:r>
              <w:rPr>
                <w:rFonts w:ascii="宋体" w:hAnsi="宋体" w:eastAsia="宋体"/>
                <w:sz w:val="16"/>
              </w:rPr>
              <w:t>预期目标</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914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B32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9ED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B1CE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31D6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D86FB">
            <w:pPr>
              <w:jc w:val="center"/>
            </w:pPr>
          </w:p>
        </w:tc>
      </w:tr>
      <w:tr w14:paraId="436D2F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96429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1F483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7805EB">
            <w:pPr>
              <w:jc w:val="center"/>
            </w:pPr>
            <w:r>
              <w:rPr>
                <w:rFonts w:ascii="宋体" w:hAnsi="宋体" w:eastAsia="宋体"/>
                <w:sz w:val="16"/>
              </w:rPr>
              <w:t>实际完成情况</w:t>
            </w:r>
          </w:p>
        </w:tc>
      </w:tr>
      <w:tr w14:paraId="53DED3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00D8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D978E7">
            <w:pPr>
              <w:jc w:val="both"/>
            </w:pPr>
            <w:r>
              <w:rPr>
                <w:rFonts w:ascii="宋体" w:hAnsi="宋体" w:eastAsia="宋体"/>
                <w:sz w:val="16"/>
              </w:rPr>
              <w:t>项目预算资金750万元，主要用于实施金果镇4村、10村村庄规划编制，规划范围为4村、10村的村域范围，向北、向南至北环路、G315国道，向东、西至现状道路，研究范围面积3.41平方公里。项目实施后优化营商环境，促进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104A8A">
            <w:pPr>
              <w:jc w:val="both"/>
            </w:pPr>
            <w:r>
              <w:rPr>
                <w:rFonts w:hint="eastAsia" w:ascii="宋体" w:hAnsi="宋体"/>
                <w:sz w:val="16"/>
                <w:lang w:eastAsia="zh-CN"/>
              </w:rPr>
              <w:t>截至2024</w:t>
            </w:r>
            <w:r>
              <w:rPr>
                <w:rFonts w:ascii="宋体" w:hAnsi="宋体" w:eastAsia="宋体"/>
                <w:sz w:val="16"/>
              </w:rPr>
              <w:t>年12月31日，项目总资金750万元，到位资金750万元，实际支出297万元，主要用于实施金果镇4村、10村村庄规划编制，规划范围为4村、10村的村域范围，向北、向南至北环路、G315国道，向东、西至现状道路，研究范围面积3.41平方公里。项目实施后优化营商环境，促进高质量发展，达到预期目标。</w:t>
            </w:r>
            <w:r>
              <w:rPr>
                <w:rFonts w:ascii="宋体" w:hAnsi="宋体" w:eastAsia="宋体"/>
                <w:sz w:val="16"/>
              </w:rPr>
              <w:br w:type="textWrapping"/>
            </w:r>
          </w:p>
        </w:tc>
      </w:tr>
      <w:tr w14:paraId="32F2FD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C649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23E2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F09C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D46B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E18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DD9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5CB0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EE59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D14D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FC16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0B6C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FC12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F391C">
            <w:pPr>
              <w:jc w:val="center"/>
            </w:pPr>
            <w:r>
              <w:rPr>
                <w:rFonts w:ascii="宋体" w:hAnsi="宋体" w:eastAsia="宋体"/>
                <w:sz w:val="16"/>
              </w:rPr>
              <w:t>偏差原因分析及改进措施</w:t>
            </w:r>
          </w:p>
        </w:tc>
      </w:tr>
      <w:tr w14:paraId="748FB5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BA2E1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0294F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A7FCD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D6942">
            <w:pPr>
              <w:jc w:val="center"/>
            </w:pPr>
            <w:r>
              <w:rPr>
                <w:rFonts w:ascii="宋体" w:hAnsi="宋体" w:eastAsia="宋体"/>
                <w:sz w:val="16"/>
              </w:rPr>
              <w:t>国土空间总体规划涉及乡镇数量（个）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7D47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77B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BB6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F82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3EE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75B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223C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B6E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09E38">
            <w:pPr>
              <w:jc w:val="center"/>
            </w:pPr>
          </w:p>
        </w:tc>
      </w:tr>
      <w:tr w14:paraId="35DD02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EED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9C8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B0C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A128B">
            <w:pPr>
              <w:jc w:val="center"/>
            </w:pPr>
            <w:r>
              <w:rPr>
                <w:rFonts w:ascii="宋体" w:hAnsi="宋体" w:eastAsia="宋体"/>
                <w:sz w:val="16"/>
              </w:rPr>
              <w:t>规划进行编制村庄数量（个）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3B865">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BBB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B97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6F9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98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6683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F7271">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F4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9C8A5">
            <w:pPr>
              <w:jc w:val="center"/>
            </w:pPr>
          </w:p>
        </w:tc>
      </w:tr>
      <w:tr w14:paraId="1553B7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F2E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011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80B9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6281F">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076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D5F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BD2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08E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771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951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785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514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A5822">
            <w:pPr>
              <w:jc w:val="center"/>
            </w:pPr>
          </w:p>
        </w:tc>
      </w:tr>
      <w:tr w14:paraId="786017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333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634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2299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06828">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3F953">
            <w:pPr>
              <w:jc w:val="center"/>
            </w:pPr>
            <w:r>
              <w:rPr>
                <w:rFonts w:ascii="宋体" w:hAnsi="宋体" w:eastAsia="宋体"/>
                <w:sz w:val="16"/>
              </w:rPr>
              <w:t>2024年11月10日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F6D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76A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6F6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E97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DB7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2BBB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05B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3C131">
            <w:pPr>
              <w:jc w:val="center"/>
            </w:pPr>
          </w:p>
        </w:tc>
      </w:tr>
      <w:tr w14:paraId="2B4739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CCE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3AE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785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60D1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FF0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00A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A8F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199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1A9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C85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48EE8">
            <w:pPr>
              <w:jc w:val="center"/>
            </w:pPr>
            <w:r>
              <w:rPr>
                <w:rFonts w:ascii="宋体" w:hAnsi="宋体" w:eastAsia="宋体"/>
                <w:sz w:val="16"/>
              </w:rPr>
              <w:t>=39.6%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D653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1DB65">
            <w:pPr>
              <w:jc w:val="center"/>
            </w:pPr>
            <w:r>
              <w:rPr>
                <w:rFonts w:ascii="宋体" w:hAnsi="宋体" w:eastAsia="宋体"/>
                <w:sz w:val="16"/>
              </w:rPr>
              <w:t>偏差原因：前期规划还在调整中，导致没能及时拨付。整改措施：做好年初预算和规划。</w:t>
            </w:r>
          </w:p>
        </w:tc>
      </w:tr>
      <w:tr w14:paraId="7DFF75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F84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34A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1F6D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B31F">
            <w:pPr>
              <w:jc w:val="center"/>
            </w:pPr>
            <w:r>
              <w:rPr>
                <w:rFonts w:ascii="宋体" w:hAnsi="宋体" w:eastAsia="宋体"/>
                <w:sz w:val="16"/>
              </w:rPr>
              <w:t>村庄编制平均成本（万元/个）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C4888">
            <w:pPr>
              <w:jc w:val="center"/>
            </w:pPr>
            <w:r>
              <w:rPr>
                <w:rFonts w:ascii="宋体" w:hAnsi="宋体" w:eastAsia="宋体"/>
                <w:sz w:val="16"/>
              </w:rPr>
              <w:t>&lt;=375万元/个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B91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BEA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3DB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B1C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0CF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6F1ED">
            <w:pPr>
              <w:jc w:val="center"/>
            </w:pPr>
            <w:r>
              <w:rPr>
                <w:rFonts w:ascii="宋体" w:hAnsi="宋体" w:eastAsia="宋体"/>
                <w:sz w:val="16"/>
              </w:rPr>
              <w:t>=148.5万元/个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D467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053E5">
            <w:pPr>
              <w:jc w:val="center"/>
            </w:pPr>
            <w:r>
              <w:rPr>
                <w:rFonts w:ascii="宋体" w:hAnsi="宋体" w:eastAsia="宋体"/>
                <w:sz w:val="16"/>
              </w:rPr>
              <w:t>偏差原因：前期规划还在调整中，导致资金拨付缓慢。整改措施：做好年初规划，确保按时完成</w:t>
            </w:r>
          </w:p>
        </w:tc>
      </w:tr>
      <w:tr w14:paraId="1AD49E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2D9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2FDC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EEAA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D8EC7">
            <w:pPr>
              <w:jc w:val="center"/>
            </w:pPr>
            <w:r>
              <w:rPr>
                <w:rFonts w:ascii="宋体" w:hAnsi="宋体" w:eastAsia="宋体"/>
                <w:sz w:val="16"/>
              </w:rPr>
              <w:t>加强各类建设的风貌规划和引导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6D530">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DC2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9E5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30C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00B6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F70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5D59C">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D188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32F51">
            <w:pPr>
              <w:jc w:val="center"/>
            </w:pPr>
          </w:p>
        </w:tc>
      </w:tr>
      <w:tr w14:paraId="0AD76E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072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BC2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B1A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6E183">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298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E22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68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67A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651D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792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66B3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02B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A8DF8">
            <w:pPr>
              <w:jc w:val="center"/>
            </w:pPr>
          </w:p>
        </w:tc>
      </w:tr>
      <w:tr w14:paraId="719CD19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E3916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D43F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EA5FB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D00B4">
            <w:pPr>
              <w:jc w:val="center"/>
            </w:pPr>
            <w:r>
              <w:rPr>
                <w:rFonts w:ascii="宋体" w:hAnsi="宋体" w:eastAsia="宋体"/>
                <w:sz w:val="16"/>
              </w:rPr>
              <w:t>70分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5E6B935"/>
        </w:tc>
      </w:tr>
    </w:tbl>
    <w:p w14:paraId="6BA85FC6">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696"/>
        <w:gridCol w:w="626"/>
        <w:gridCol w:w="626"/>
        <w:gridCol w:w="628"/>
        <w:gridCol w:w="626"/>
        <w:gridCol w:w="626"/>
        <w:gridCol w:w="776"/>
        <w:gridCol w:w="630"/>
        <w:gridCol w:w="619"/>
        <w:gridCol w:w="630"/>
      </w:tblGrid>
      <w:tr w14:paraId="5043097D">
        <w:tblPrEx>
          <w:tblCellMar>
            <w:top w:w="0" w:type="dxa"/>
            <w:left w:w="108" w:type="dxa"/>
            <w:bottom w:w="0" w:type="dxa"/>
            <w:right w:w="108" w:type="dxa"/>
          </w:tblCellMar>
        </w:tblPrEx>
        <w:tc>
          <w:tcPr>
            <w:tcW w:w="8848" w:type="dxa"/>
            <w:gridSpan w:val="14"/>
            <w:vAlign w:val="center"/>
          </w:tcPr>
          <w:p w14:paraId="506B694C">
            <w:pPr>
              <w:jc w:val="center"/>
            </w:pPr>
            <w:r>
              <w:rPr>
                <w:rFonts w:ascii="宋体" w:hAnsi="宋体" w:eastAsia="宋体"/>
                <w:sz w:val="24"/>
              </w:rPr>
              <w:t>项目支出绩效自评表</w:t>
            </w:r>
          </w:p>
        </w:tc>
      </w:tr>
      <w:tr w14:paraId="0EFEA353">
        <w:tblPrEx>
          <w:tblCellMar>
            <w:top w:w="0" w:type="dxa"/>
            <w:left w:w="108" w:type="dxa"/>
            <w:bottom w:w="0" w:type="dxa"/>
            <w:right w:w="108" w:type="dxa"/>
          </w:tblCellMar>
        </w:tblPrEx>
        <w:tc>
          <w:tcPr>
            <w:tcW w:w="8848" w:type="dxa"/>
            <w:gridSpan w:val="14"/>
            <w:vAlign w:val="center"/>
          </w:tcPr>
          <w:p w14:paraId="046BAE82">
            <w:pPr>
              <w:jc w:val="center"/>
            </w:pPr>
            <w:r>
              <w:rPr>
                <w:rFonts w:ascii="宋体" w:hAnsi="宋体" w:eastAsia="宋体"/>
                <w:sz w:val="24"/>
              </w:rPr>
              <w:t>(2024年度)</w:t>
            </w:r>
          </w:p>
        </w:tc>
      </w:tr>
      <w:tr w14:paraId="43A3BF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D76E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529085">
            <w:pPr>
              <w:jc w:val="center"/>
            </w:pPr>
            <w:r>
              <w:rPr>
                <w:rFonts w:ascii="宋体" w:hAnsi="宋体" w:eastAsia="宋体"/>
                <w:sz w:val="16"/>
              </w:rPr>
              <w:t>金果镇安置点修建项目</w:t>
            </w:r>
          </w:p>
        </w:tc>
      </w:tr>
      <w:tr w14:paraId="025704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93FD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CE342B">
            <w:pPr>
              <w:jc w:val="center"/>
            </w:pPr>
            <w:r>
              <w:rPr>
                <w:rFonts w:ascii="宋体" w:hAnsi="宋体" w:eastAsia="宋体"/>
                <w:sz w:val="16"/>
              </w:rPr>
              <w:t>叶城县金果镇人民政府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3554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14D821">
            <w:pPr>
              <w:jc w:val="center"/>
            </w:pPr>
            <w:r>
              <w:rPr>
                <w:rFonts w:ascii="宋体" w:hAnsi="宋体" w:eastAsia="宋体"/>
                <w:sz w:val="16"/>
              </w:rPr>
              <w:t>叶城县金果镇人民政府</w:t>
            </w:r>
          </w:p>
        </w:tc>
      </w:tr>
      <w:tr w14:paraId="0B061E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72CB8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8C5E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CD6B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DB40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0275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F52A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4E2C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9A9BD">
            <w:pPr>
              <w:jc w:val="center"/>
            </w:pPr>
            <w:r>
              <w:rPr>
                <w:rFonts w:ascii="宋体" w:hAnsi="宋体" w:eastAsia="宋体"/>
                <w:sz w:val="16"/>
              </w:rPr>
              <w:t>得分</w:t>
            </w:r>
          </w:p>
        </w:tc>
      </w:tr>
      <w:tr w14:paraId="3F0F29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51A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99D3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EC240">
            <w:pPr>
              <w:jc w:val="center"/>
            </w:pPr>
            <w:r>
              <w:rPr>
                <w:rFonts w:ascii="宋体" w:hAnsi="宋体" w:eastAsia="宋体"/>
                <w:sz w:val="16"/>
              </w:rPr>
              <w:t>330.00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879DF">
            <w:pPr>
              <w:jc w:val="center"/>
            </w:pPr>
            <w:r>
              <w:rPr>
                <w:rFonts w:ascii="宋体" w:hAnsi="宋体" w:eastAsia="宋体"/>
                <w:sz w:val="16"/>
              </w:rPr>
              <w:t>330.00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D8224">
            <w:pPr>
              <w:jc w:val="center"/>
            </w:pPr>
            <w:r>
              <w:rPr>
                <w:rFonts w:ascii="宋体" w:hAnsi="宋体" w:eastAsia="宋体"/>
                <w:sz w:val="16"/>
              </w:rPr>
              <w:t>94.26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984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A7A70">
            <w:pPr>
              <w:jc w:val="center"/>
            </w:pPr>
            <w:r>
              <w:rPr>
                <w:rFonts w:ascii="宋体" w:hAnsi="宋体" w:eastAsia="宋体"/>
                <w:sz w:val="16"/>
              </w:rPr>
              <w:t>28.6%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75281">
            <w:pPr>
              <w:jc w:val="center"/>
            </w:pPr>
            <w:r>
              <w:rPr>
                <w:rFonts w:ascii="宋体" w:hAnsi="宋体" w:eastAsia="宋体"/>
                <w:sz w:val="16"/>
              </w:rPr>
              <w:t>0.00分</w:t>
            </w:r>
          </w:p>
        </w:tc>
      </w:tr>
      <w:tr w14:paraId="00740F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EFE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9EA9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34672">
            <w:pPr>
              <w:jc w:val="center"/>
            </w:pPr>
            <w:r>
              <w:rPr>
                <w:rFonts w:ascii="宋体" w:hAnsi="宋体" w:eastAsia="宋体"/>
                <w:sz w:val="16"/>
              </w:rPr>
              <w:t>330.00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BCF7F">
            <w:pPr>
              <w:jc w:val="center"/>
            </w:pPr>
            <w:r>
              <w:rPr>
                <w:rFonts w:ascii="宋体" w:hAnsi="宋体" w:eastAsia="宋体"/>
                <w:sz w:val="16"/>
              </w:rPr>
              <w:t>330.00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9F6C0">
            <w:pPr>
              <w:jc w:val="center"/>
            </w:pPr>
            <w:r>
              <w:rPr>
                <w:rFonts w:ascii="宋体" w:hAnsi="宋体" w:eastAsia="宋体"/>
                <w:sz w:val="16"/>
              </w:rPr>
              <w:t>94.26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254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81D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00F1A">
            <w:pPr>
              <w:jc w:val="center"/>
            </w:pPr>
            <w:r>
              <w:rPr>
                <w:rFonts w:ascii="宋体" w:hAnsi="宋体" w:eastAsia="宋体"/>
                <w:sz w:val="16"/>
              </w:rPr>
              <w:t>—</w:t>
            </w:r>
          </w:p>
        </w:tc>
      </w:tr>
      <w:tr w14:paraId="42285E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043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C8EF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53F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253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454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33D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635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0E269">
            <w:pPr>
              <w:jc w:val="center"/>
            </w:pPr>
            <w:r>
              <w:rPr>
                <w:rFonts w:ascii="宋体" w:hAnsi="宋体" w:eastAsia="宋体"/>
                <w:sz w:val="16"/>
              </w:rPr>
              <w:t>—</w:t>
            </w:r>
          </w:p>
        </w:tc>
      </w:tr>
      <w:tr w14:paraId="74A475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4F357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D4F7D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C722CB">
            <w:pPr>
              <w:jc w:val="center"/>
            </w:pPr>
            <w:r>
              <w:rPr>
                <w:rFonts w:ascii="宋体" w:hAnsi="宋体" w:eastAsia="宋体"/>
                <w:sz w:val="16"/>
              </w:rPr>
              <w:t>实际完成情况</w:t>
            </w:r>
          </w:p>
        </w:tc>
      </w:tr>
      <w:tr w14:paraId="68B4A6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B0E6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AC3DC7">
            <w:pPr>
              <w:jc w:val="both"/>
            </w:pPr>
            <w:r>
              <w:rPr>
                <w:rFonts w:ascii="宋体" w:hAnsi="宋体" w:eastAsia="宋体"/>
                <w:sz w:val="16"/>
              </w:rPr>
              <w:t>项目预算安排330万元，主要用于在金果 B 区修缮廉租房住宅 1000 套，维修住宅楼上下水，房屋 内部水电，墙面、厨房厕所，门窗等。 项目实施后改善群众生活环境，提高群众幸福指数，优化暖心舒心环境，促进高质量发展，根据叶城县待开发土地现状和金果镇城市升级改造后临时居住条件。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92C90C">
            <w:pPr>
              <w:jc w:val="both"/>
            </w:pPr>
            <w:r>
              <w:rPr>
                <w:rFonts w:hint="eastAsia" w:ascii="宋体" w:hAnsi="宋体"/>
                <w:sz w:val="16"/>
                <w:lang w:eastAsia="zh-CN"/>
              </w:rPr>
              <w:t>截至2024</w:t>
            </w:r>
            <w:r>
              <w:rPr>
                <w:rFonts w:ascii="宋体" w:hAnsi="宋体" w:eastAsia="宋体"/>
                <w:sz w:val="16"/>
              </w:rPr>
              <w:t>年12月31日，项目总资金330万，到位资金330万，实际支出94.26万元，主要用于在金果 B 区修缮廉租房住宅 1000 套，维修住宅楼上下水，房屋 内部水电，墙面、厨房厕所，门窗等。 项目实施后改善群众生活环境，提高群众幸福指数，优化暖心舒心环境，促进高质量发展，根据叶城县待开发土地现状和金果镇城市升级改造后临时居住条件。</w:t>
            </w:r>
            <w:r>
              <w:rPr>
                <w:rFonts w:ascii="宋体" w:hAnsi="宋体" w:eastAsia="宋体"/>
                <w:sz w:val="16"/>
              </w:rPr>
              <w:br w:type="textWrapping"/>
            </w:r>
          </w:p>
        </w:tc>
      </w:tr>
      <w:tr w14:paraId="1FC1E4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A446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021D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99B1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4618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73DA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D5B8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0099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D267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DC55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E084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28EE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3117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CB6A5">
            <w:pPr>
              <w:jc w:val="center"/>
            </w:pPr>
            <w:r>
              <w:rPr>
                <w:rFonts w:ascii="宋体" w:hAnsi="宋体" w:eastAsia="宋体"/>
                <w:sz w:val="16"/>
              </w:rPr>
              <w:t>偏差原因分析及改进措施</w:t>
            </w:r>
          </w:p>
        </w:tc>
      </w:tr>
      <w:tr w14:paraId="6AA08E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D6FEB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E87D3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763D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87055">
            <w:pPr>
              <w:jc w:val="center"/>
            </w:pPr>
            <w:r>
              <w:rPr>
                <w:rFonts w:ascii="宋体" w:hAnsi="宋体" w:eastAsia="宋体"/>
                <w:sz w:val="16"/>
              </w:rPr>
              <w:t>修缮廉租房住宅数量（套）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EC6EF">
            <w:pPr>
              <w:jc w:val="center"/>
            </w:pPr>
            <w:r>
              <w:rPr>
                <w:rFonts w:ascii="宋体" w:hAnsi="宋体" w:eastAsia="宋体"/>
                <w:sz w:val="16"/>
              </w:rPr>
              <w:t>=1000套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1FB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A7E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810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053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3FD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03E84">
            <w:pPr>
              <w:jc w:val="center"/>
            </w:pPr>
            <w:r>
              <w:rPr>
                <w:rFonts w:ascii="宋体" w:hAnsi="宋体" w:eastAsia="宋体"/>
                <w:sz w:val="16"/>
              </w:rPr>
              <w:t>=1000套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D72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C4C9A">
            <w:pPr>
              <w:jc w:val="center"/>
            </w:pPr>
          </w:p>
        </w:tc>
      </w:tr>
      <w:tr w14:paraId="58BE09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A92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BE5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53C0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43350">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FA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C1D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BF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C96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60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22E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234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A59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ACED5">
            <w:pPr>
              <w:jc w:val="center"/>
            </w:pPr>
          </w:p>
        </w:tc>
      </w:tr>
      <w:tr w14:paraId="0F3BF8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601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067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97890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613D5">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A181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485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BE9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27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40F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BD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FA99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758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D9821">
            <w:pPr>
              <w:jc w:val="center"/>
            </w:pPr>
          </w:p>
        </w:tc>
      </w:tr>
      <w:tr w14:paraId="4BE425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251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3F8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DAD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67B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CA6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E08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D15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4EB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A7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DA4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9618B">
            <w:pPr>
              <w:jc w:val="center"/>
            </w:pPr>
            <w:r>
              <w:rPr>
                <w:rFonts w:ascii="宋体" w:hAnsi="宋体" w:eastAsia="宋体"/>
                <w:sz w:val="16"/>
              </w:rPr>
              <w:t>=27.27%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5CAF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7A158">
            <w:pPr>
              <w:jc w:val="center"/>
            </w:pPr>
            <w:r>
              <w:rPr>
                <w:rFonts w:ascii="宋体" w:hAnsi="宋体" w:eastAsia="宋体"/>
                <w:sz w:val="16"/>
              </w:rPr>
              <w:t>偏差原因：由于工程在维护，导致未能按时完工，拨付不及时。整改措施：及时跟工程队沟通，确保按时完成。</w:t>
            </w:r>
          </w:p>
        </w:tc>
      </w:tr>
      <w:tr w14:paraId="39F62C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940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B181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F316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98CE8">
            <w:pPr>
              <w:jc w:val="center"/>
            </w:pPr>
            <w:r>
              <w:rPr>
                <w:rFonts w:ascii="宋体" w:hAnsi="宋体" w:eastAsia="宋体"/>
                <w:sz w:val="16"/>
              </w:rPr>
              <w:t>修缮廉租房成本（万元/套）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9B07D">
            <w:pPr>
              <w:jc w:val="center"/>
            </w:pPr>
            <w:r>
              <w:rPr>
                <w:rFonts w:ascii="宋体" w:hAnsi="宋体" w:eastAsia="宋体"/>
                <w:sz w:val="16"/>
              </w:rPr>
              <w:t>&lt;=0.33万元/套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750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9C3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7833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94E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28E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1643">
            <w:pPr>
              <w:jc w:val="center"/>
            </w:pPr>
            <w:r>
              <w:rPr>
                <w:rFonts w:ascii="宋体" w:hAnsi="宋体" w:eastAsia="宋体"/>
                <w:sz w:val="16"/>
              </w:rPr>
              <w:t>=0.09万元/套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667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197D9">
            <w:pPr>
              <w:jc w:val="center"/>
            </w:pPr>
            <w:r>
              <w:rPr>
                <w:rFonts w:ascii="宋体" w:hAnsi="宋体" w:eastAsia="宋体"/>
                <w:sz w:val="16"/>
              </w:rPr>
              <w:t>偏差原因：由于工程在维护，资料提供不齐全。整改措施：加快支付进度。</w:t>
            </w:r>
          </w:p>
        </w:tc>
      </w:tr>
      <w:tr w14:paraId="1379B2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696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EF33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036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C5930">
            <w:pPr>
              <w:jc w:val="center"/>
            </w:pPr>
            <w:r>
              <w:rPr>
                <w:rFonts w:ascii="宋体" w:hAnsi="宋体" w:eastAsia="宋体"/>
                <w:sz w:val="16"/>
              </w:rPr>
              <w:t>提高群众幸福指数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CF85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ACB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914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E5E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502C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63A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CB56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C67E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2844C">
            <w:pPr>
              <w:jc w:val="center"/>
            </w:pPr>
          </w:p>
        </w:tc>
      </w:tr>
      <w:tr w14:paraId="237CDB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190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128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97A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D629D">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2D15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091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A8E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506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9703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F84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7B4F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1DB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908EC">
            <w:pPr>
              <w:jc w:val="center"/>
            </w:pPr>
          </w:p>
        </w:tc>
      </w:tr>
      <w:tr w14:paraId="3FE4953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4672B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0F63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9974E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CEBE2">
            <w:pPr>
              <w:jc w:val="center"/>
            </w:pPr>
            <w:r>
              <w:rPr>
                <w:rFonts w:ascii="宋体" w:hAnsi="宋体" w:eastAsia="宋体"/>
                <w:sz w:val="16"/>
              </w:rPr>
              <w:t>60分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105E48C"/>
        </w:tc>
      </w:tr>
    </w:tbl>
    <w:p w14:paraId="538B342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41F8D24">
        <w:tblPrEx>
          <w:tblCellMar>
            <w:top w:w="0" w:type="dxa"/>
            <w:left w:w="108" w:type="dxa"/>
            <w:bottom w:w="0" w:type="dxa"/>
            <w:right w:w="108" w:type="dxa"/>
          </w:tblCellMar>
        </w:tblPrEx>
        <w:tc>
          <w:tcPr>
            <w:tcW w:w="8848" w:type="dxa"/>
            <w:gridSpan w:val="14"/>
            <w:vAlign w:val="center"/>
          </w:tcPr>
          <w:p w14:paraId="1AA99080">
            <w:pPr>
              <w:jc w:val="center"/>
            </w:pPr>
            <w:r>
              <w:rPr>
                <w:rFonts w:ascii="宋体" w:hAnsi="宋体" w:eastAsia="宋体"/>
                <w:sz w:val="24"/>
              </w:rPr>
              <w:t>项目支出绩效自评表</w:t>
            </w:r>
          </w:p>
        </w:tc>
      </w:tr>
      <w:tr w14:paraId="78189657">
        <w:tblPrEx>
          <w:tblCellMar>
            <w:top w:w="0" w:type="dxa"/>
            <w:left w:w="108" w:type="dxa"/>
            <w:bottom w:w="0" w:type="dxa"/>
            <w:right w:w="108" w:type="dxa"/>
          </w:tblCellMar>
        </w:tblPrEx>
        <w:tc>
          <w:tcPr>
            <w:tcW w:w="8848" w:type="dxa"/>
            <w:gridSpan w:val="14"/>
            <w:vAlign w:val="center"/>
          </w:tcPr>
          <w:p w14:paraId="02FD3C83">
            <w:pPr>
              <w:jc w:val="center"/>
            </w:pPr>
            <w:r>
              <w:rPr>
                <w:rFonts w:ascii="宋体" w:hAnsi="宋体" w:eastAsia="宋体"/>
                <w:sz w:val="24"/>
              </w:rPr>
              <w:t>(2024年度)</w:t>
            </w:r>
          </w:p>
        </w:tc>
      </w:tr>
      <w:tr w14:paraId="48F495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933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B4AE4A">
            <w:pPr>
              <w:jc w:val="center"/>
            </w:pPr>
            <w:r>
              <w:rPr>
                <w:rFonts w:ascii="宋体" w:hAnsi="宋体" w:eastAsia="宋体"/>
                <w:sz w:val="16"/>
              </w:rPr>
              <w:t>金果镇安置补偿项目</w:t>
            </w:r>
          </w:p>
        </w:tc>
      </w:tr>
      <w:tr w14:paraId="4CD3DF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BA38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C09154">
            <w:pPr>
              <w:jc w:val="center"/>
            </w:pPr>
            <w:r>
              <w:rPr>
                <w:rFonts w:ascii="宋体" w:hAnsi="宋体" w:eastAsia="宋体"/>
                <w:sz w:val="16"/>
              </w:rPr>
              <w:t>叶城县金果镇人民政府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DB1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06EA6B">
            <w:pPr>
              <w:jc w:val="center"/>
            </w:pPr>
            <w:r>
              <w:rPr>
                <w:rFonts w:ascii="宋体" w:hAnsi="宋体" w:eastAsia="宋体"/>
                <w:sz w:val="16"/>
              </w:rPr>
              <w:t>叶城县金果镇人民政府</w:t>
            </w:r>
          </w:p>
        </w:tc>
      </w:tr>
      <w:tr w14:paraId="664BFA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69B22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363E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281B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F33D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34E7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EE2E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E2B0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8E248">
            <w:pPr>
              <w:jc w:val="center"/>
            </w:pPr>
            <w:r>
              <w:rPr>
                <w:rFonts w:ascii="宋体" w:hAnsi="宋体" w:eastAsia="宋体"/>
                <w:sz w:val="16"/>
              </w:rPr>
              <w:t>得分</w:t>
            </w:r>
          </w:p>
        </w:tc>
      </w:tr>
      <w:tr w14:paraId="40A4BA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884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C769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43FA2">
            <w:pPr>
              <w:jc w:val="center"/>
            </w:pPr>
            <w:r>
              <w:rPr>
                <w:rFonts w:ascii="宋体" w:hAnsi="宋体" w:eastAsia="宋体"/>
                <w:sz w:val="16"/>
              </w:rPr>
              <w:t>4,770.25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DB67C">
            <w:pPr>
              <w:jc w:val="center"/>
            </w:pPr>
            <w:r>
              <w:rPr>
                <w:rFonts w:ascii="宋体" w:hAnsi="宋体" w:eastAsia="宋体"/>
                <w:sz w:val="16"/>
              </w:rPr>
              <w:t>4,770.25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BD120">
            <w:pPr>
              <w:jc w:val="center"/>
            </w:pPr>
            <w:r>
              <w:rPr>
                <w:rFonts w:ascii="宋体" w:hAnsi="宋体" w:eastAsia="宋体"/>
                <w:sz w:val="16"/>
              </w:rPr>
              <w:t>3,832.95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3F7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B90D5">
            <w:pPr>
              <w:jc w:val="center"/>
            </w:pPr>
            <w:r>
              <w:rPr>
                <w:rFonts w:ascii="宋体" w:hAnsi="宋体" w:eastAsia="宋体"/>
                <w:sz w:val="16"/>
              </w:rPr>
              <w:t>80.4%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4ADB5">
            <w:pPr>
              <w:jc w:val="center"/>
            </w:pPr>
            <w:r>
              <w:rPr>
                <w:rFonts w:ascii="宋体" w:hAnsi="宋体" w:eastAsia="宋体"/>
                <w:sz w:val="16"/>
              </w:rPr>
              <w:t>5.09分</w:t>
            </w:r>
          </w:p>
        </w:tc>
      </w:tr>
      <w:tr w14:paraId="458A2F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584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6924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2A0B2">
            <w:pPr>
              <w:jc w:val="center"/>
            </w:pPr>
            <w:r>
              <w:rPr>
                <w:rFonts w:ascii="宋体" w:hAnsi="宋体" w:eastAsia="宋体"/>
                <w:sz w:val="16"/>
              </w:rPr>
              <w:t>4,770.25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B6D14">
            <w:pPr>
              <w:jc w:val="center"/>
            </w:pPr>
            <w:r>
              <w:rPr>
                <w:rFonts w:ascii="宋体" w:hAnsi="宋体" w:eastAsia="宋体"/>
                <w:sz w:val="16"/>
              </w:rPr>
              <w:t>4,770.25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8016C">
            <w:pPr>
              <w:jc w:val="center"/>
            </w:pPr>
            <w:r>
              <w:rPr>
                <w:rFonts w:ascii="宋体" w:hAnsi="宋体" w:eastAsia="宋体"/>
                <w:sz w:val="16"/>
              </w:rPr>
              <w:t>3,832.95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EE9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3D3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B5062">
            <w:pPr>
              <w:jc w:val="center"/>
            </w:pPr>
            <w:r>
              <w:rPr>
                <w:rFonts w:ascii="宋体" w:hAnsi="宋体" w:eastAsia="宋体"/>
                <w:sz w:val="16"/>
              </w:rPr>
              <w:t>—</w:t>
            </w:r>
          </w:p>
        </w:tc>
      </w:tr>
      <w:tr w14:paraId="03C477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EA1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A213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B13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0B3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797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3FC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205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E58D7">
            <w:pPr>
              <w:jc w:val="center"/>
            </w:pPr>
            <w:r>
              <w:rPr>
                <w:rFonts w:ascii="宋体" w:hAnsi="宋体" w:eastAsia="宋体"/>
                <w:sz w:val="16"/>
              </w:rPr>
              <w:t>—</w:t>
            </w:r>
          </w:p>
        </w:tc>
      </w:tr>
      <w:tr w14:paraId="69E6A1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87E02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DBC90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4F78D2">
            <w:pPr>
              <w:jc w:val="center"/>
            </w:pPr>
            <w:r>
              <w:rPr>
                <w:rFonts w:ascii="宋体" w:hAnsi="宋体" w:eastAsia="宋体"/>
                <w:sz w:val="16"/>
              </w:rPr>
              <w:t>实际完成情况</w:t>
            </w:r>
          </w:p>
        </w:tc>
      </w:tr>
      <w:tr w14:paraId="024EDC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9D8B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CE8FE7">
            <w:pPr>
              <w:jc w:val="both"/>
            </w:pPr>
            <w:r>
              <w:rPr>
                <w:rFonts w:ascii="宋体" w:hAnsi="宋体" w:eastAsia="宋体"/>
                <w:sz w:val="16"/>
              </w:rPr>
              <w:t>项目预算安排4770.25万元，受益群众159户，为进一步改善我镇居民的居住条件，改善生活环境，提高土地利用效率，优化营商环境，促进高质量发展。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074DFE">
            <w:pPr>
              <w:jc w:val="both"/>
            </w:pPr>
            <w:r>
              <w:rPr>
                <w:rFonts w:hint="eastAsia" w:ascii="宋体" w:hAnsi="宋体"/>
                <w:sz w:val="16"/>
                <w:lang w:eastAsia="zh-CN"/>
              </w:rPr>
              <w:t>截至2024</w:t>
            </w:r>
            <w:r>
              <w:rPr>
                <w:rFonts w:ascii="宋体" w:hAnsi="宋体" w:eastAsia="宋体"/>
                <w:sz w:val="16"/>
              </w:rPr>
              <w:t>年12月31日，项目总资金4770.25万元，到位资金4770.25万元，实际支出3832.92万元，主要</w:t>
            </w:r>
            <w:r>
              <w:rPr>
                <w:rFonts w:hint="eastAsia" w:ascii="宋体" w:hAnsi="宋体"/>
                <w:sz w:val="16"/>
                <w:lang w:eastAsia="zh-CN"/>
              </w:rPr>
              <w:t>用于</w:t>
            </w:r>
            <w:r>
              <w:rPr>
                <w:rFonts w:ascii="宋体" w:hAnsi="宋体" w:eastAsia="宋体"/>
                <w:sz w:val="16"/>
              </w:rPr>
              <w:t>进一步改善我镇居民的居住条件，改善生活环境，提高土地利用效率，优化营商环境，促进高质量发展。</w:t>
            </w:r>
          </w:p>
        </w:tc>
      </w:tr>
      <w:tr w14:paraId="321382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0321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9EB8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B3E7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4514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9CF1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32AC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1E9C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31CF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40A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B663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4271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1867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66A30">
            <w:pPr>
              <w:jc w:val="center"/>
            </w:pPr>
            <w:r>
              <w:rPr>
                <w:rFonts w:ascii="宋体" w:hAnsi="宋体" w:eastAsia="宋体"/>
                <w:sz w:val="16"/>
              </w:rPr>
              <w:t>偏差原因分析及改进措施</w:t>
            </w:r>
          </w:p>
        </w:tc>
      </w:tr>
      <w:tr w14:paraId="29BFC4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A293C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8A6CD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1CF0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48207">
            <w:pPr>
              <w:jc w:val="center"/>
            </w:pPr>
            <w:r>
              <w:rPr>
                <w:rFonts w:ascii="宋体" w:hAnsi="宋体" w:eastAsia="宋体"/>
                <w:sz w:val="16"/>
              </w:rPr>
              <w:t>拆迁补助户数（户）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37BD">
            <w:pPr>
              <w:jc w:val="center"/>
            </w:pPr>
            <w:r>
              <w:rPr>
                <w:rFonts w:ascii="宋体" w:hAnsi="宋体" w:eastAsia="宋体"/>
                <w:sz w:val="16"/>
              </w:rPr>
              <w:t>=159户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CA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10A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2DF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831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9A56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AE2AE">
            <w:pPr>
              <w:jc w:val="center"/>
            </w:pPr>
            <w:r>
              <w:rPr>
                <w:rFonts w:ascii="宋体" w:hAnsi="宋体" w:eastAsia="宋体"/>
                <w:sz w:val="16"/>
              </w:rPr>
              <w:t>=159户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85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341E8">
            <w:pPr>
              <w:jc w:val="center"/>
            </w:pPr>
          </w:p>
        </w:tc>
      </w:tr>
      <w:tr w14:paraId="5FDF02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BF2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F1D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8856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FB6EB">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E2D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B32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C56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8A2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3C3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8F79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2EF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992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678C4">
            <w:pPr>
              <w:jc w:val="center"/>
            </w:pPr>
          </w:p>
        </w:tc>
      </w:tr>
      <w:tr w14:paraId="7DA5B1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419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9F5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9B29E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24CE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F4A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4A7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C18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CB6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9F8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5BC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CFC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E0C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F8E56">
            <w:pPr>
              <w:jc w:val="center"/>
            </w:pPr>
          </w:p>
        </w:tc>
      </w:tr>
      <w:tr w14:paraId="5A26EB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629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8CE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76E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A65F4">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738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F9D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F7B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E00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8A3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7509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18F6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C75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3ABB2">
            <w:pPr>
              <w:jc w:val="center"/>
            </w:pPr>
          </w:p>
        </w:tc>
      </w:tr>
      <w:tr w14:paraId="2478D4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DAF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FA30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7C9A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91912">
            <w:pPr>
              <w:jc w:val="center"/>
            </w:pPr>
            <w:r>
              <w:rPr>
                <w:rFonts w:ascii="宋体" w:hAnsi="宋体" w:eastAsia="宋体"/>
                <w:sz w:val="16"/>
              </w:rPr>
              <w:t>拆迁补助安置费成本（万元）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F8FEC">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751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B9C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FD2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DD8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E82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92153">
            <w:pPr>
              <w:jc w:val="center"/>
            </w:pPr>
            <w:r>
              <w:rPr>
                <w:rFonts w:ascii="宋体" w:hAnsi="宋体" w:eastAsia="宋体"/>
                <w:sz w:val="16"/>
              </w:rPr>
              <w:t>=24.1万元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1911B">
            <w:pPr>
              <w:jc w:val="center"/>
            </w:pPr>
            <w:r>
              <w:rPr>
                <w:rFonts w:ascii="宋体" w:hAnsi="宋体" w:eastAsia="宋体"/>
                <w:sz w:val="16"/>
              </w:rPr>
              <w:t>10.16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64439">
            <w:pPr>
              <w:jc w:val="center"/>
            </w:pPr>
            <w:r>
              <w:rPr>
                <w:rFonts w:ascii="宋体" w:hAnsi="宋体" w:eastAsia="宋体"/>
                <w:sz w:val="16"/>
              </w:rPr>
              <w:t>偏差原因：由于评估过程中，有一定的差值，资料提供不齐全。整改措施，做好评估，按时提供相关资料。</w:t>
            </w:r>
          </w:p>
        </w:tc>
      </w:tr>
      <w:tr w14:paraId="5DC058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7D6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F781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BE9D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6CEEC">
            <w:pPr>
              <w:jc w:val="center"/>
            </w:pPr>
            <w:r>
              <w:rPr>
                <w:rFonts w:ascii="宋体" w:hAnsi="宋体" w:eastAsia="宋体"/>
                <w:sz w:val="16"/>
              </w:rPr>
              <w:t>改善生活环境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8C35F">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478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4C7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ACE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1C25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C95B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7FDDB">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CF73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6EBA7">
            <w:pPr>
              <w:jc w:val="center"/>
            </w:pPr>
          </w:p>
        </w:tc>
      </w:tr>
      <w:tr w14:paraId="66ED46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A24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F6C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ED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0345C">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A943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5C2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633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751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14DC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7C9F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3B34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7A0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9CFE2">
            <w:pPr>
              <w:jc w:val="center"/>
            </w:pPr>
          </w:p>
        </w:tc>
      </w:tr>
      <w:tr w14:paraId="08986ED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3D0CF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A8A2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BB716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00C38">
            <w:pPr>
              <w:jc w:val="center"/>
            </w:pPr>
            <w:r>
              <w:rPr>
                <w:rFonts w:ascii="宋体" w:hAnsi="宋体" w:eastAsia="宋体"/>
                <w:sz w:val="16"/>
              </w:rPr>
              <w:t>85.25分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9EDB57D"/>
        </w:tc>
      </w:tr>
    </w:tbl>
    <w:p w14:paraId="1400904B">
      <w:r>
        <w:br w:type="page"/>
      </w:r>
    </w:p>
    <w:tbl>
      <w:tblPr>
        <w:tblStyle w:val="9"/>
        <w:tblW w:w="0" w:type="auto"/>
        <w:tblInd w:w="0" w:type="dxa"/>
        <w:tblLayout w:type="autofit"/>
        <w:tblCellMar>
          <w:top w:w="0" w:type="dxa"/>
          <w:left w:w="108" w:type="dxa"/>
          <w:bottom w:w="0" w:type="dxa"/>
          <w:right w:w="108" w:type="dxa"/>
        </w:tblCellMar>
      </w:tblPr>
      <w:tblGrid>
        <w:gridCol w:w="627"/>
        <w:gridCol w:w="618"/>
        <w:gridCol w:w="618"/>
        <w:gridCol w:w="696"/>
        <w:gridCol w:w="776"/>
        <w:gridCol w:w="618"/>
        <w:gridCol w:w="618"/>
        <w:gridCol w:w="622"/>
        <w:gridCol w:w="618"/>
        <w:gridCol w:w="618"/>
        <w:gridCol w:w="776"/>
        <w:gridCol w:w="631"/>
        <w:gridCol w:w="597"/>
        <w:gridCol w:w="627"/>
      </w:tblGrid>
      <w:tr w14:paraId="1AE6B98C">
        <w:tc>
          <w:tcPr>
            <w:tcW w:w="8848" w:type="dxa"/>
            <w:gridSpan w:val="14"/>
            <w:vAlign w:val="center"/>
          </w:tcPr>
          <w:p w14:paraId="53DE003B">
            <w:pPr>
              <w:jc w:val="center"/>
            </w:pPr>
            <w:r>
              <w:rPr>
                <w:rFonts w:ascii="宋体" w:hAnsi="宋体" w:eastAsia="宋体"/>
                <w:sz w:val="24"/>
              </w:rPr>
              <w:t>项目支出绩效自评表</w:t>
            </w:r>
          </w:p>
        </w:tc>
      </w:tr>
      <w:tr w14:paraId="714F17B3">
        <w:tblPrEx>
          <w:tblCellMar>
            <w:top w:w="0" w:type="dxa"/>
            <w:left w:w="108" w:type="dxa"/>
            <w:bottom w:w="0" w:type="dxa"/>
            <w:right w:w="108" w:type="dxa"/>
          </w:tblCellMar>
        </w:tblPrEx>
        <w:tc>
          <w:tcPr>
            <w:tcW w:w="8848" w:type="dxa"/>
            <w:gridSpan w:val="14"/>
            <w:vAlign w:val="center"/>
          </w:tcPr>
          <w:p w14:paraId="17B83227">
            <w:pPr>
              <w:jc w:val="center"/>
            </w:pPr>
            <w:r>
              <w:rPr>
                <w:rFonts w:ascii="宋体" w:hAnsi="宋体" w:eastAsia="宋体"/>
                <w:sz w:val="24"/>
              </w:rPr>
              <w:t>(2024年度)</w:t>
            </w:r>
          </w:p>
        </w:tc>
      </w:tr>
      <w:tr w14:paraId="194513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5E80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8666CA">
            <w:pPr>
              <w:jc w:val="center"/>
            </w:pPr>
            <w:r>
              <w:rPr>
                <w:rFonts w:ascii="宋体" w:hAnsi="宋体" w:eastAsia="宋体"/>
                <w:sz w:val="16"/>
              </w:rPr>
              <w:t>2022年</w:t>
            </w:r>
            <w:bookmarkStart w:id="0" w:name="_GoBack"/>
            <w:r>
              <w:rPr>
                <w:rFonts w:ascii="宋体" w:hAnsi="宋体" w:eastAsia="宋体"/>
                <w:sz w:val="16"/>
              </w:rPr>
              <w:t>中央</w:t>
            </w:r>
            <w:bookmarkEnd w:id="0"/>
            <w:r>
              <w:rPr>
                <w:rFonts w:ascii="宋体" w:hAnsi="宋体" w:eastAsia="宋体"/>
                <w:sz w:val="16"/>
              </w:rPr>
              <w:t>农村综合改革转移支付项目</w:t>
            </w:r>
          </w:p>
        </w:tc>
      </w:tr>
      <w:tr w14:paraId="0ECDDD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C4CD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20C5B8">
            <w:pPr>
              <w:jc w:val="center"/>
            </w:pPr>
            <w:r>
              <w:rPr>
                <w:rFonts w:ascii="宋体" w:hAnsi="宋体" w:eastAsia="宋体"/>
                <w:sz w:val="16"/>
              </w:rPr>
              <w:t>叶城县金果镇人民政府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1F99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04F358">
            <w:pPr>
              <w:jc w:val="center"/>
            </w:pPr>
            <w:r>
              <w:rPr>
                <w:rFonts w:ascii="宋体" w:hAnsi="宋体" w:eastAsia="宋体"/>
                <w:sz w:val="16"/>
              </w:rPr>
              <w:t>叶城县金果镇人民政府</w:t>
            </w:r>
          </w:p>
        </w:tc>
      </w:tr>
      <w:tr w14:paraId="5FBEF8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4FF88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B064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BF21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F082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BE5D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1C74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7562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62E35">
            <w:pPr>
              <w:jc w:val="center"/>
            </w:pPr>
            <w:r>
              <w:rPr>
                <w:rFonts w:ascii="宋体" w:hAnsi="宋体" w:eastAsia="宋体"/>
                <w:sz w:val="16"/>
              </w:rPr>
              <w:t>得分</w:t>
            </w:r>
          </w:p>
        </w:tc>
      </w:tr>
      <w:tr w14:paraId="3F656B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0A5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EEC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8D23A">
            <w:pPr>
              <w:jc w:val="center"/>
            </w:pPr>
            <w:r>
              <w:rPr>
                <w:rFonts w:ascii="宋体" w:hAnsi="宋体" w:eastAsia="宋体"/>
                <w:sz w:val="16"/>
              </w:rPr>
              <w:t>65.27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1AE0E">
            <w:pPr>
              <w:jc w:val="center"/>
            </w:pPr>
            <w:r>
              <w:rPr>
                <w:rFonts w:ascii="宋体" w:hAnsi="宋体" w:eastAsia="宋体"/>
                <w:sz w:val="16"/>
              </w:rPr>
              <w:t>65.27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32CC2">
            <w:pPr>
              <w:jc w:val="center"/>
            </w:pPr>
            <w:r>
              <w:rPr>
                <w:rFonts w:ascii="宋体" w:hAnsi="宋体" w:eastAsia="宋体"/>
                <w:sz w:val="16"/>
              </w:rPr>
              <w:t>44.62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C41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E0730">
            <w:pPr>
              <w:jc w:val="center"/>
            </w:pPr>
            <w:r>
              <w:rPr>
                <w:rFonts w:ascii="宋体" w:hAnsi="宋体" w:eastAsia="宋体"/>
                <w:sz w:val="16"/>
              </w:rPr>
              <w:t>68.4%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FA99F">
            <w:pPr>
              <w:jc w:val="center"/>
            </w:pPr>
            <w:r>
              <w:rPr>
                <w:rFonts w:ascii="宋体" w:hAnsi="宋体" w:eastAsia="宋体"/>
                <w:sz w:val="16"/>
              </w:rPr>
              <w:t>2.09分</w:t>
            </w:r>
          </w:p>
        </w:tc>
      </w:tr>
      <w:tr w14:paraId="1D52DA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DC9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16F1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097C3">
            <w:pPr>
              <w:jc w:val="center"/>
            </w:pPr>
            <w:r>
              <w:rPr>
                <w:rFonts w:ascii="宋体" w:hAnsi="宋体" w:eastAsia="宋体"/>
                <w:sz w:val="16"/>
              </w:rPr>
              <w:t>65.27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6888D">
            <w:pPr>
              <w:jc w:val="center"/>
            </w:pPr>
            <w:r>
              <w:rPr>
                <w:rFonts w:ascii="宋体" w:hAnsi="宋体" w:eastAsia="宋体"/>
                <w:sz w:val="16"/>
              </w:rPr>
              <w:t>65.27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0263A">
            <w:pPr>
              <w:jc w:val="center"/>
            </w:pPr>
            <w:r>
              <w:rPr>
                <w:rFonts w:ascii="宋体" w:hAnsi="宋体" w:eastAsia="宋体"/>
                <w:sz w:val="16"/>
              </w:rPr>
              <w:t>44.62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705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867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8570C">
            <w:pPr>
              <w:jc w:val="center"/>
            </w:pPr>
            <w:r>
              <w:rPr>
                <w:rFonts w:ascii="宋体" w:hAnsi="宋体" w:eastAsia="宋体"/>
                <w:sz w:val="16"/>
              </w:rPr>
              <w:t>—</w:t>
            </w:r>
          </w:p>
        </w:tc>
      </w:tr>
      <w:tr w14:paraId="0923E0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38E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A85A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F75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E93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6DD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23B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FE6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3A067">
            <w:pPr>
              <w:jc w:val="center"/>
            </w:pPr>
            <w:r>
              <w:rPr>
                <w:rFonts w:ascii="宋体" w:hAnsi="宋体" w:eastAsia="宋体"/>
                <w:sz w:val="16"/>
              </w:rPr>
              <w:t>—</w:t>
            </w:r>
          </w:p>
        </w:tc>
      </w:tr>
      <w:tr w14:paraId="283EEA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C0AAE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2C59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0ACEA7">
            <w:pPr>
              <w:jc w:val="center"/>
            </w:pPr>
            <w:r>
              <w:rPr>
                <w:rFonts w:ascii="宋体" w:hAnsi="宋体" w:eastAsia="宋体"/>
                <w:sz w:val="16"/>
              </w:rPr>
              <w:t>实际完成情况</w:t>
            </w:r>
          </w:p>
        </w:tc>
      </w:tr>
      <w:tr w14:paraId="274010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3F77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566CEE">
            <w:pPr>
              <w:jc w:val="both"/>
            </w:pPr>
            <w:r>
              <w:rPr>
                <w:rFonts w:ascii="宋体" w:hAnsi="宋体" w:eastAsia="宋体"/>
                <w:sz w:val="16"/>
              </w:rPr>
              <w:t>下达资金65.27万元，新建库房 2699.90 ㎡,附属配套设施(含新建消防水池、化粪池、硬化地面、围墙、成品预制水泥板房值班室及室外给排水、消防、电力等)，增加各乡场农牧民的经济收入，提高人民生活水平，促进社会稳定发展和民族团结，为地区的长远发展奠定良好的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38C4C2">
            <w:pPr>
              <w:jc w:val="both"/>
            </w:pPr>
            <w:r>
              <w:rPr>
                <w:rFonts w:hint="eastAsia" w:ascii="宋体" w:hAnsi="宋体"/>
                <w:sz w:val="16"/>
                <w:lang w:eastAsia="zh-CN"/>
              </w:rPr>
              <w:t>截至</w:t>
            </w:r>
            <w:r>
              <w:rPr>
                <w:rFonts w:ascii="宋体" w:hAnsi="宋体" w:eastAsia="宋体"/>
                <w:sz w:val="16"/>
              </w:rPr>
              <w:t>2024年12月31日，该项目预算资金65.27万元，到位资金65.27万元，已支付44.62万元，主要用于新建库房 2699.90 ㎡,附属配套设施(含新建消防水池、化粪池、硬化地面、围墙、成品预制水泥板房值班室及室外给排水、消防、电力等)，增加各乡场农牧民的经济收入，提高人民生活水平，促进社会稳定发展和民族团结，为地区的长远发展奠定良好的基础。</w:t>
            </w:r>
          </w:p>
        </w:tc>
      </w:tr>
      <w:tr w14:paraId="7626FA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9E1C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0417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ABC1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A907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2BAF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0A67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BC46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E001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B564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3C73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F68C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9D3C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FDD1D">
            <w:pPr>
              <w:jc w:val="center"/>
            </w:pPr>
            <w:r>
              <w:rPr>
                <w:rFonts w:ascii="宋体" w:hAnsi="宋体" w:eastAsia="宋体"/>
                <w:sz w:val="16"/>
              </w:rPr>
              <w:t>偏差原因分析及改进措施</w:t>
            </w:r>
          </w:p>
        </w:tc>
      </w:tr>
      <w:tr w14:paraId="4E3243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68B8D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16D5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326C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4B21D">
            <w:pPr>
              <w:jc w:val="center"/>
            </w:pPr>
            <w:r>
              <w:rPr>
                <w:rFonts w:ascii="宋体" w:hAnsi="宋体" w:eastAsia="宋体"/>
                <w:sz w:val="16"/>
              </w:rPr>
              <w:t>支付尾款笔数（笔）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3832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38D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04D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9F3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FA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047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5670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730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90C46">
            <w:pPr>
              <w:jc w:val="center"/>
            </w:pPr>
          </w:p>
        </w:tc>
      </w:tr>
      <w:tr w14:paraId="7ABDFA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8E2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C5C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F02C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800B5">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5BF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6B1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A20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D85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95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02E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D7E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675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DF92C">
            <w:pPr>
              <w:jc w:val="center"/>
            </w:pPr>
          </w:p>
        </w:tc>
      </w:tr>
      <w:tr w14:paraId="743CA8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194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D22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A860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06DF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E50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72D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200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2F0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2AE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A82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41670">
            <w:pPr>
              <w:jc w:val="center"/>
            </w:pPr>
            <w:r>
              <w:rPr>
                <w:rFonts w:ascii="宋体" w:hAnsi="宋体" w:eastAsia="宋体"/>
                <w:sz w:val="16"/>
              </w:rPr>
              <w:t>=68.36%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20430">
            <w:pPr>
              <w:jc w:val="center"/>
            </w:pPr>
            <w:r>
              <w:rPr>
                <w:rFonts w:ascii="宋体" w:hAnsi="宋体" w:eastAsia="宋体"/>
                <w:sz w:val="16"/>
              </w:rPr>
              <w:t>2.09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4FA9E">
            <w:pPr>
              <w:jc w:val="center"/>
            </w:pPr>
            <w:r>
              <w:rPr>
                <w:rFonts w:ascii="宋体" w:hAnsi="宋体" w:eastAsia="宋体"/>
                <w:sz w:val="16"/>
              </w:rPr>
              <w:t>项目已完工，剩余的款项已退回国库。</w:t>
            </w:r>
          </w:p>
        </w:tc>
      </w:tr>
      <w:tr w14:paraId="31A8EE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516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A0B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C54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F6AB0">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E618">
            <w:pPr>
              <w:jc w:val="center"/>
            </w:pPr>
            <w:r>
              <w:rPr>
                <w:rFonts w:ascii="宋体" w:hAnsi="宋体" w:eastAsia="宋体"/>
                <w:sz w:val="16"/>
              </w:rPr>
              <w:t>2024年7月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2DD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568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FCD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ADF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CD1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84E4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F10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77CDC">
            <w:pPr>
              <w:jc w:val="center"/>
            </w:pPr>
          </w:p>
        </w:tc>
      </w:tr>
      <w:tr w14:paraId="691032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2ED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A5B0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9970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2B586">
            <w:pPr>
              <w:jc w:val="center"/>
            </w:pPr>
            <w:r>
              <w:rPr>
                <w:rFonts w:ascii="宋体" w:hAnsi="宋体" w:eastAsia="宋体"/>
                <w:sz w:val="16"/>
              </w:rPr>
              <w:t>支付尾款（万元）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819EB">
            <w:pPr>
              <w:jc w:val="center"/>
            </w:pPr>
            <w:r>
              <w:rPr>
                <w:rFonts w:ascii="宋体" w:hAnsi="宋体" w:eastAsia="宋体"/>
                <w:sz w:val="16"/>
              </w:rPr>
              <w:t>&lt;=65.27万元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8C32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AD3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37C1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A0C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372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68CA7">
            <w:pPr>
              <w:jc w:val="center"/>
            </w:pPr>
            <w:r>
              <w:rPr>
                <w:rFonts w:ascii="宋体" w:hAnsi="宋体" w:eastAsia="宋体"/>
                <w:sz w:val="16"/>
              </w:rPr>
              <w:t>=44.62万元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60C79">
            <w:pPr>
              <w:jc w:val="center"/>
            </w:pPr>
            <w:r>
              <w:rPr>
                <w:rFonts w:ascii="宋体" w:hAnsi="宋体" w:eastAsia="宋体"/>
                <w:sz w:val="16"/>
              </w:rPr>
              <w:t>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21701">
            <w:pPr>
              <w:jc w:val="center"/>
            </w:pPr>
            <w:r>
              <w:rPr>
                <w:rFonts w:ascii="宋体" w:hAnsi="宋体" w:eastAsia="宋体"/>
                <w:sz w:val="16"/>
              </w:rPr>
              <w:t>项目已完工，剩余的款项已退回国库。</w:t>
            </w:r>
          </w:p>
        </w:tc>
      </w:tr>
      <w:tr w14:paraId="37300E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DCB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A89A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109A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8C774">
            <w:pPr>
              <w:jc w:val="center"/>
            </w:pPr>
            <w:r>
              <w:rPr>
                <w:rFonts w:ascii="宋体" w:hAnsi="宋体" w:eastAsia="宋体"/>
                <w:sz w:val="16"/>
              </w:rPr>
              <w:t>提高人民生活水平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2183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A86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A75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C8A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4B8C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A3A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78D2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D69C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522A3">
            <w:pPr>
              <w:jc w:val="center"/>
            </w:pPr>
          </w:p>
        </w:tc>
      </w:tr>
      <w:tr w14:paraId="7CD1CD2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1DC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30C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283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73FD0">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134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881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C0D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AAC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2355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CC4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E66E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1C6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91FB4">
            <w:pPr>
              <w:jc w:val="center"/>
            </w:pPr>
          </w:p>
        </w:tc>
      </w:tr>
      <w:tr w14:paraId="67937A5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35D89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003D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10035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158B0">
            <w:pPr>
              <w:jc w:val="center"/>
            </w:pPr>
            <w:r>
              <w:rPr>
                <w:rFonts w:ascii="宋体" w:hAnsi="宋体" w:eastAsia="宋体"/>
                <w:sz w:val="16"/>
              </w:rPr>
              <w:t>68.36分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B2FF85D"/>
        </w:tc>
      </w:tr>
    </w:tbl>
    <w:p w14:paraId="3BC1F0AB">
      <w:r>
        <w:br w:type="page"/>
      </w:r>
    </w:p>
    <w:p w14:paraId="5562BB89">
      <w:pPr>
        <w:spacing w:line="640" w:lineRule="exact"/>
        <w:ind w:firstLine="640"/>
        <w:jc w:val="both"/>
        <w:outlineLvl w:val="2"/>
      </w:pPr>
      <w:r>
        <w:rPr>
          <w:rFonts w:ascii="黑体" w:hAnsi="黑体" w:eastAsia="黑体"/>
          <w:sz w:val="32"/>
        </w:rPr>
        <w:t>十二、其他需说明的事项</w:t>
      </w:r>
    </w:p>
    <w:p w14:paraId="455FE09D">
      <w:pPr>
        <w:spacing w:line="580" w:lineRule="exact"/>
        <w:ind w:firstLine="640"/>
        <w:jc w:val="both"/>
      </w:pPr>
      <w:r>
        <w:rPr>
          <w:rFonts w:ascii="仿宋_GB2312" w:hAnsi="仿宋_GB2312" w:eastAsia="仿宋_GB2312"/>
          <w:b w:val="0"/>
          <w:sz w:val="32"/>
        </w:rPr>
        <w:t>本单位无其他需说明的事项。</w:t>
      </w:r>
    </w:p>
    <w:p w14:paraId="59CDBA33">
      <w:r>
        <w:br w:type="page"/>
      </w:r>
    </w:p>
    <w:p w14:paraId="2B012595">
      <w:pPr>
        <w:spacing w:line="240" w:lineRule="auto"/>
        <w:jc w:val="center"/>
        <w:outlineLvl w:val="1"/>
      </w:pPr>
      <w:r>
        <w:rPr>
          <w:rFonts w:ascii="黑体" w:hAnsi="黑体" w:eastAsia="黑体"/>
          <w:sz w:val="32"/>
        </w:rPr>
        <w:t>第三部分 专业名词解释</w:t>
      </w:r>
    </w:p>
    <w:p w14:paraId="5246516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9DE8A6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4C03B8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168689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FFE769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497F74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1C020B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D95FD1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AE504C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17D33C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5B31AC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2CB074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107A7C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192B1B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9DE179F">
      <w:r>
        <w:br w:type="page"/>
      </w:r>
    </w:p>
    <w:p w14:paraId="059CBEF6">
      <w:pPr>
        <w:spacing w:line="240" w:lineRule="auto"/>
        <w:jc w:val="center"/>
        <w:outlineLvl w:val="1"/>
      </w:pPr>
      <w:r>
        <w:rPr>
          <w:rFonts w:ascii="黑体" w:hAnsi="黑体" w:eastAsia="黑体"/>
          <w:sz w:val="32"/>
        </w:rPr>
        <w:t>第四部分 部门决算报表（见附表）</w:t>
      </w:r>
    </w:p>
    <w:p w14:paraId="3A56D9C8">
      <w:pPr>
        <w:spacing w:line="240" w:lineRule="auto"/>
        <w:ind w:firstLine="640"/>
        <w:jc w:val="both"/>
      </w:pPr>
      <w:r>
        <w:rPr>
          <w:rFonts w:ascii="仿宋_GB2312" w:hAnsi="仿宋_GB2312" w:eastAsia="仿宋_GB2312"/>
          <w:b w:val="0"/>
          <w:sz w:val="32"/>
        </w:rPr>
        <w:t>一、《收入支出决算总表》</w:t>
      </w:r>
    </w:p>
    <w:p w14:paraId="33371275">
      <w:pPr>
        <w:spacing w:line="240" w:lineRule="auto"/>
        <w:ind w:firstLine="640"/>
        <w:jc w:val="both"/>
      </w:pPr>
      <w:r>
        <w:rPr>
          <w:rFonts w:ascii="仿宋_GB2312" w:hAnsi="仿宋_GB2312" w:eastAsia="仿宋_GB2312"/>
          <w:b w:val="0"/>
          <w:sz w:val="32"/>
        </w:rPr>
        <w:t>二、《收入决算表》</w:t>
      </w:r>
    </w:p>
    <w:p w14:paraId="000FAF13">
      <w:pPr>
        <w:spacing w:line="240" w:lineRule="auto"/>
        <w:ind w:firstLine="640"/>
        <w:jc w:val="both"/>
      </w:pPr>
      <w:r>
        <w:rPr>
          <w:rFonts w:ascii="仿宋_GB2312" w:hAnsi="仿宋_GB2312" w:eastAsia="仿宋_GB2312"/>
          <w:b w:val="0"/>
          <w:sz w:val="32"/>
        </w:rPr>
        <w:t>三、《支出决算表》</w:t>
      </w:r>
    </w:p>
    <w:p w14:paraId="01866E5B">
      <w:pPr>
        <w:spacing w:line="240" w:lineRule="auto"/>
        <w:ind w:firstLine="640"/>
        <w:jc w:val="both"/>
      </w:pPr>
      <w:r>
        <w:rPr>
          <w:rFonts w:ascii="仿宋_GB2312" w:hAnsi="仿宋_GB2312" w:eastAsia="仿宋_GB2312"/>
          <w:b w:val="0"/>
          <w:sz w:val="32"/>
        </w:rPr>
        <w:t>四、《财政拨款收入支出决算总表》</w:t>
      </w:r>
    </w:p>
    <w:p w14:paraId="5A4ACA4C">
      <w:pPr>
        <w:spacing w:line="240" w:lineRule="auto"/>
        <w:ind w:firstLine="640"/>
        <w:jc w:val="both"/>
      </w:pPr>
      <w:r>
        <w:rPr>
          <w:rFonts w:ascii="仿宋_GB2312" w:hAnsi="仿宋_GB2312" w:eastAsia="仿宋_GB2312"/>
          <w:b w:val="0"/>
          <w:sz w:val="32"/>
        </w:rPr>
        <w:t>五、《一般公共预算财政拨款支出决算表》</w:t>
      </w:r>
    </w:p>
    <w:p w14:paraId="397812B8">
      <w:pPr>
        <w:spacing w:line="240" w:lineRule="auto"/>
        <w:ind w:firstLine="640"/>
        <w:jc w:val="both"/>
      </w:pPr>
      <w:r>
        <w:rPr>
          <w:rFonts w:ascii="仿宋_GB2312" w:hAnsi="仿宋_GB2312" w:eastAsia="仿宋_GB2312"/>
          <w:b w:val="0"/>
          <w:sz w:val="32"/>
        </w:rPr>
        <w:t>六、《一般公共预算财政拨款基本支出决算表》</w:t>
      </w:r>
    </w:p>
    <w:p w14:paraId="1D3D29BB">
      <w:pPr>
        <w:spacing w:line="240" w:lineRule="auto"/>
        <w:ind w:firstLine="640"/>
        <w:jc w:val="both"/>
      </w:pPr>
      <w:r>
        <w:rPr>
          <w:rFonts w:ascii="仿宋_GB2312" w:hAnsi="仿宋_GB2312" w:eastAsia="仿宋_GB2312"/>
          <w:b w:val="0"/>
          <w:sz w:val="32"/>
        </w:rPr>
        <w:t>七、《政府性基金预算财政拨款收入支出决算表》</w:t>
      </w:r>
    </w:p>
    <w:p w14:paraId="1095BF6F">
      <w:pPr>
        <w:spacing w:line="240" w:lineRule="auto"/>
        <w:ind w:firstLine="640"/>
        <w:jc w:val="both"/>
      </w:pPr>
      <w:r>
        <w:rPr>
          <w:rFonts w:ascii="仿宋_GB2312" w:hAnsi="仿宋_GB2312" w:eastAsia="仿宋_GB2312"/>
          <w:b w:val="0"/>
          <w:sz w:val="32"/>
        </w:rPr>
        <w:t>八、《国有资本经营预算财政拨款收入支出决算表》</w:t>
      </w:r>
    </w:p>
    <w:p w14:paraId="13A07576">
      <w:pPr>
        <w:spacing w:line="240" w:lineRule="auto"/>
        <w:ind w:firstLine="640"/>
        <w:jc w:val="both"/>
      </w:pPr>
      <w:r>
        <w:rPr>
          <w:rFonts w:ascii="仿宋_GB2312" w:hAnsi="仿宋_GB2312" w:eastAsia="仿宋_GB2312"/>
          <w:b w:val="0"/>
          <w:sz w:val="32"/>
        </w:rPr>
        <w:t>九、《财政拨款“三公”经费支出决算表》</w:t>
      </w:r>
    </w:p>
    <w:p w14:paraId="35DB4C87">
      <w:pPr>
        <w:spacing w:line="240" w:lineRule="auto"/>
        <w:ind w:firstLine="640"/>
        <w:jc w:val="both"/>
      </w:pPr>
    </w:p>
    <w:p w14:paraId="6F9458C4">
      <w:pPr>
        <w:spacing w:line="240" w:lineRule="auto"/>
        <w:ind w:firstLine="640"/>
        <w:jc w:val="both"/>
      </w:pPr>
    </w:p>
    <w:p w14:paraId="093E7D78">
      <w:pPr>
        <w:spacing w:line="240" w:lineRule="auto"/>
        <w:ind w:firstLine="640"/>
        <w:jc w:val="both"/>
      </w:pPr>
    </w:p>
    <w:p w14:paraId="2B0E1066">
      <w:pPr>
        <w:spacing w:line="240" w:lineRule="auto"/>
        <w:ind w:firstLine="640"/>
        <w:jc w:val="both"/>
      </w:pPr>
    </w:p>
    <w:p w14:paraId="432525B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3D212A5"/>
    <w:rsid w:val="25275618"/>
    <w:rsid w:val="27CE017C"/>
    <w:rsid w:val="27CF2642"/>
    <w:rsid w:val="282459E2"/>
    <w:rsid w:val="29116777"/>
    <w:rsid w:val="2A053397"/>
    <w:rsid w:val="2A444FB1"/>
    <w:rsid w:val="2A6064E2"/>
    <w:rsid w:val="2C114AA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1D22226"/>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7280</Words>
  <Characters>8560</Characters>
  <Lines>0</Lines>
  <Paragraphs>0</Paragraphs>
  <TotalTime>10</TotalTime>
  <ScaleCrop>false</ScaleCrop>
  <LinksUpToDate>false</LinksUpToDate>
  <CharactersWithSpaces>8568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2025-09-29T08:48:18Z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