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FC28F48">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叶城县铁提乡人民政府</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BF6F268">
      <w:r>
        <w:br w:type="page"/>
      </w:r>
    </w:p>
    <w:p w14:paraId="1FFCC104">
      <w:pPr>
        <w:spacing w:line="640" w:lineRule="exact"/>
        <w:jc w:val="center"/>
        <w:outlineLvl w:val="1"/>
      </w:pPr>
      <w:r>
        <w:rPr>
          <w:rFonts w:ascii="黑体" w:hAnsi="黑体" w:eastAsia="黑体"/>
          <w:sz w:val="32"/>
        </w:rPr>
        <w:t>第一部分 单位概况</w:t>
      </w:r>
    </w:p>
    <w:p w14:paraId="1D520BBD">
      <w:pPr>
        <w:spacing w:line="640" w:lineRule="exact"/>
        <w:ind w:firstLine="640"/>
        <w:jc w:val="both"/>
        <w:outlineLvl w:val="2"/>
      </w:pPr>
      <w:r>
        <w:rPr>
          <w:rFonts w:ascii="黑体" w:hAnsi="黑体" w:eastAsia="黑体"/>
          <w:sz w:val="32"/>
        </w:rPr>
        <w:t>一、主要职能</w:t>
      </w:r>
    </w:p>
    <w:p w14:paraId="028B01EC">
      <w:pPr>
        <w:spacing w:line="580" w:lineRule="exact"/>
        <w:ind w:firstLine="640"/>
        <w:jc w:val="both"/>
      </w:pPr>
      <w:r>
        <w:rPr>
          <w:rFonts w:ascii="仿宋_GB2312" w:hAnsi="仿宋_GB2312" w:eastAsia="仿宋_GB2312"/>
          <w:sz w:val="32"/>
        </w:rPr>
        <w:t>负责全乡党政行政管理事务。以贯彻落实党的会议精神，以科学发展观为指导，坚决贯彻落实党中央会议精神，把党的各项优惠政策落实到实处，负责全乡经济社会发展、社会事务管理、基层组织建设等全面工作。以全面建设社会主义新农村为根本出发点，不断深化美丽乡村建设为总目标，不断铸牢全乡经济社会发展基础，为全乡群众提供社会服务。</w:t>
      </w:r>
    </w:p>
    <w:p w14:paraId="31659BB7">
      <w:pPr>
        <w:spacing w:line="640" w:lineRule="exact"/>
        <w:ind w:firstLine="640"/>
        <w:jc w:val="both"/>
        <w:outlineLvl w:val="2"/>
      </w:pPr>
      <w:r>
        <w:rPr>
          <w:rFonts w:ascii="黑体" w:hAnsi="黑体" w:eastAsia="黑体"/>
          <w:sz w:val="32"/>
        </w:rPr>
        <w:t>二、机构设置及人员情况</w:t>
      </w:r>
    </w:p>
    <w:p w14:paraId="1814AF50">
      <w:pPr>
        <w:spacing w:line="580" w:lineRule="exact"/>
        <w:ind w:firstLine="640"/>
        <w:jc w:val="both"/>
      </w:pPr>
      <w:r>
        <w:rPr>
          <w:rFonts w:ascii="仿宋_GB2312" w:hAnsi="仿宋_GB2312" w:eastAsia="仿宋_GB2312"/>
          <w:sz w:val="32"/>
        </w:rPr>
        <w:t>叶城县铁提乡人民政府2024年度，实有人数124人，其中：在职人员107人，减少3人；离休人员0人，增加0人；退休人员17人,增加3人。</w:t>
      </w:r>
    </w:p>
    <w:p w14:paraId="46C0A89E">
      <w:pPr>
        <w:spacing w:line="580" w:lineRule="exact"/>
        <w:ind w:firstLine="640"/>
        <w:jc w:val="both"/>
      </w:pPr>
      <w:r>
        <w:rPr>
          <w:rFonts w:ascii="仿宋_GB2312" w:hAnsi="仿宋_GB2312" w:eastAsia="仿宋_GB2312"/>
          <w:sz w:val="32"/>
        </w:rPr>
        <w:t>叶城县铁提乡人民政府无下属预算单位，下设5个科室，分别是：党政办、社会事务办、综治办、党建办、经济发展办。</w:t>
      </w:r>
    </w:p>
    <w:p w14:paraId="18F459DF">
      <w:r>
        <w:br w:type="page"/>
      </w:r>
    </w:p>
    <w:p w14:paraId="5CE28422">
      <w:pPr>
        <w:spacing w:line="240" w:lineRule="auto"/>
        <w:jc w:val="center"/>
        <w:outlineLvl w:val="1"/>
      </w:pPr>
      <w:r>
        <w:rPr>
          <w:rFonts w:ascii="黑体" w:hAnsi="黑体" w:eastAsia="黑体"/>
          <w:sz w:val="32"/>
        </w:rPr>
        <w:t>第二部分 部门决算情况说明</w:t>
      </w:r>
    </w:p>
    <w:p w14:paraId="2FA08201">
      <w:pPr>
        <w:spacing w:line="640" w:lineRule="exact"/>
        <w:ind w:firstLine="640"/>
        <w:jc w:val="both"/>
        <w:outlineLvl w:val="2"/>
      </w:pPr>
      <w:r>
        <w:rPr>
          <w:rFonts w:ascii="黑体" w:hAnsi="黑体" w:eastAsia="黑体"/>
          <w:sz w:val="32"/>
        </w:rPr>
        <w:t>一、收入支出决算总体情况说明</w:t>
      </w:r>
    </w:p>
    <w:p w14:paraId="15988248">
      <w:pPr>
        <w:spacing w:line="580" w:lineRule="exact"/>
        <w:ind w:firstLine="640"/>
        <w:jc w:val="both"/>
      </w:pPr>
      <w:r>
        <w:rPr>
          <w:rFonts w:ascii="仿宋_GB2312" w:hAnsi="仿宋_GB2312" w:eastAsia="仿宋_GB2312"/>
          <w:b/>
          <w:sz w:val="32"/>
        </w:rPr>
        <w:t>2024年度收入总计6,572.95万元，</w:t>
      </w:r>
      <w:r>
        <w:rPr>
          <w:rFonts w:ascii="仿宋_GB2312" w:hAnsi="仿宋_GB2312" w:eastAsia="仿宋_GB2312"/>
          <w:b w:val="0"/>
          <w:sz w:val="32"/>
        </w:rPr>
        <w:t>其中：本年收入合计6,572.95万元，使用非财政拨款结余（含专用结余）0.00万元，年初结转和结余0.00万元。</w:t>
      </w:r>
    </w:p>
    <w:p w14:paraId="38F1AD11">
      <w:pPr>
        <w:spacing w:line="580" w:lineRule="exact"/>
        <w:ind w:firstLine="640"/>
        <w:jc w:val="both"/>
      </w:pPr>
      <w:r>
        <w:rPr>
          <w:rFonts w:ascii="仿宋_GB2312" w:hAnsi="仿宋_GB2312" w:eastAsia="仿宋_GB2312"/>
          <w:b/>
          <w:sz w:val="32"/>
        </w:rPr>
        <w:t>2024年度支出总计6,572.95万元，</w:t>
      </w:r>
      <w:r>
        <w:rPr>
          <w:rFonts w:ascii="仿宋_GB2312" w:hAnsi="仿宋_GB2312" w:eastAsia="仿宋_GB2312"/>
          <w:b w:val="0"/>
          <w:sz w:val="32"/>
        </w:rPr>
        <w:t>其中：本年支出合计6,572.95万元，结余分配0.00万元，年末结转和结余0.00万元。</w:t>
      </w:r>
    </w:p>
    <w:p w14:paraId="00FE341F">
      <w:pPr>
        <w:spacing w:line="580" w:lineRule="exact"/>
        <w:ind w:firstLine="640"/>
        <w:jc w:val="both"/>
      </w:pPr>
      <w:r>
        <w:rPr>
          <w:rFonts w:ascii="仿宋_GB2312" w:hAnsi="仿宋_GB2312" w:eastAsia="仿宋_GB2312"/>
          <w:b w:val="0"/>
          <w:sz w:val="32"/>
        </w:rPr>
        <w:t>收入支出总体与上年相比，增加1,508.61万元，增长29.79%，主要原因是：本年在职人员社保、公积金基数调增，人员经费增加。本年度增加了2024年村级运转经费项目、2024年为民办实事经费项目、2024年新疆煤改电二期工程补助（中央、自治区补助资金）项目、叶城县铁提乡核桃高产示范园建设项目、叶城县铁提乡农牧产业基础设施改造提升中央财政以工代赈项目、叶城县铁提乡11村酿酒设备购置项目、叶城县铁提乡种植业基地配套建设项目、叶城县铁提乡种植业基地配套（二期）建设项目、叶城县铁提乡林果业整形修剪补助项目、叶城县铁提乡农业产业发展项目、铁提乡（4）村2024年中央综改农村公益事业财政奖补资金项目、铁提乡色日克吾斯塘（9）村2024年中央综改农村公益事业财政奖补资金项目</w:t>
      </w:r>
      <w:r>
        <w:rPr>
          <w:rFonts w:hint="eastAsia" w:ascii="仿宋_GB2312" w:hAnsi="仿宋_GB2312" w:eastAsia="仿宋_GB2312"/>
          <w:b w:val="0"/>
          <w:sz w:val="32"/>
          <w:lang w:eastAsia="zh-CN"/>
        </w:rPr>
        <w:t>。</w:t>
      </w:r>
      <w:r>
        <w:rPr>
          <w:rFonts w:ascii="仿宋_GB2312" w:hAnsi="仿宋_GB2312" w:eastAsia="仿宋_GB2312"/>
          <w:b w:val="0"/>
          <w:sz w:val="32"/>
        </w:rPr>
        <w:t>本年较上年增加援疆资金用于铁提乡产业园建设。</w:t>
      </w:r>
    </w:p>
    <w:p w14:paraId="64D5B784">
      <w:pPr>
        <w:spacing w:line="640" w:lineRule="exact"/>
        <w:ind w:firstLine="640"/>
        <w:jc w:val="both"/>
        <w:outlineLvl w:val="2"/>
      </w:pPr>
      <w:r>
        <w:rPr>
          <w:rFonts w:ascii="黑体" w:hAnsi="黑体" w:eastAsia="黑体"/>
          <w:sz w:val="32"/>
        </w:rPr>
        <w:t>二、收入决算情况说明</w:t>
      </w:r>
    </w:p>
    <w:p w14:paraId="1153B7C8">
      <w:pPr>
        <w:spacing w:line="580" w:lineRule="exact"/>
        <w:ind w:firstLine="640"/>
        <w:jc w:val="both"/>
      </w:pPr>
      <w:r>
        <w:rPr>
          <w:rFonts w:ascii="仿宋_GB2312" w:hAnsi="仿宋_GB2312" w:eastAsia="仿宋_GB2312"/>
          <w:b/>
          <w:sz w:val="32"/>
        </w:rPr>
        <w:t>本年收入6,572.95万元，</w:t>
      </w:r>
      <w:r>
        <w:rPr>
          <w:rFonts w:ascii="仿宋_GB2312" w:hAnsi="仿宋_GB2312" w:eastAsia="仿宋_GB2312"/>
          <w:b w:val="0"/>
          <w:sz w:val="32"/>
        </w:rPr>
        <w:t>其中：财政拨款收入6,239.08万元，占94.92%；上级补助收入0.00万元，占0.00%；事业收入0.00万元，占0.00%；经营收入0.00万元，占0.00%；附属单位上缴收入0.00万元，占0.00%；其他收入333.87万元，占5.08%。</w:t>
      </w:r>
    </w:p>
    <w:p w14:paraId="77C15163">
      <w:pPr>
        <w:spacing w:line="640" w:lineRule="exact"/>
        <w:ind w:firstLine="640"/>
        <w:jc w:val="both"/>
        <w:outlineLvl w:val="2"/>
      </w:pPr>
      <w:r>
        <w:rPr>
          <w:rFonts w:ascii="黑体" w:hAnsi="黑体" w:eastAsia="黑体"/>
          <w:sz w:val="32"/>
        </w:rPr>
        <w:t>三、支出决算情况说明</w:t>
      </w:r>
    </w:p>
    <w:p w14:paraId="6A8A8304">
      <w:pPr>
        <w:spacing w:line="580" w:lineRule="exact"/>
        <w:ind w:firstLine="640"/>
        <w:jc w:val="both"/>
      </w:pPr>
      <w:r>
        <w:rPr>
          <w:rFonts w:ascii="仿宋_GB2312" w:hAnsi="仿宋_GB2312" w:eastAsia="仿宋_GB2312"/>
          <w:b/>
          <w:sz w:val="32"/>
        </w:rPr>
        <w:t>本年支出6,572.95万元，</w:t>
      </w:r>
      <w:r>
        <w:rPr>
          <w:rFonts w:ascii="仿宋_GB2312" w:hAnsi="仿宋_GB2312" w:eastAsia="仿宋_GB2312"/>
          <w:b w:val="0"/>
          <w:sz w:val="32"/>
        </w:rPr>
        <w:t>其中：基本支出2,264.25万元，占34.45%；项目支出4,308.69万元，占65.55%；上缴上级支出0.00万元，占0.00%；经营支出0.00万元，占0.00%；对附属单位补助支出0.00万元，占0.00%。</w:t>
      </w:r>
    </w:p>
    <w:p w14:paraId="4DFF5622">
      <w:pPr>
        <w:spacing w:line="640" w:lineRule="exact"/>
        <w:ind w:firstLine="640"/>
        <w:jc w:val="both"/>
        <w:outlineLvl w:val="2"/>
      </w:pPr>
      <w:r>
        <w:rPr>
          <w:rFonts w:ascii="黑体" w:hAnsi="黑体" w:eastAsia="黑体"/>
          <w:sz w:val="32"/>
        </w:rPr>
        <w:t>四、财政拨款收入支出决算总体情况说明</w:t>
      </w:r>
    </w:p>
    <w:p w14:paraId="0AF17F8E">
      <w:pPr>
        <w:spacing w:line="580" w:lineRule="exact"/>
        <w:ind w:firstLine="640"/>
        <w:jc w:val="both"/>
      </w:pPr>
      <w:r>
        <w:rPr>
          <w:rFonts w:ascii="仿宋_GB2312" w:hAnsi="仿宋_GB2312" w:eastAsia="仿宋_GB2312"/>
          <w:b/>
          <w:sz w:val="32"/>
        </w:rPr>
        <w:t>2024年度财政拨款收入总计6,239.08万元，</w:t>
      </w:r>
      <w:r>
        <w:rPr>
          <w:rFonts w:ascii="仿宋_GB2312" w:hAnsi="仿宋_GB2312" w:eastAsia="仿宋_GB2312"/>
          <w:b w:val="0"/>
          <w:sz w:val="32"/>
        </w:rPr>
        <w:t>其中：年初财政拨款结转和结余0.00万元，本年财政拨款收入6,239.08万元。</w:t>
      </w:r>
      <w:r>
        <w:rPr>
          <w:rFonts w:ascii="仿宋_GB2312" w:hAnsi="仿宋_GB2312" w:eastAsia="仿宋_GB2312"/>
          <w:b/>
          <w:sz w:val="32"/>
        </w:rPr>
        <w:t>财政拨款支出总计6,239.08万元，</w:t>
      </w:r>
      <w:r>
        <w:rPr>
          <w:rFonts w:ascii="仿宋_GB2312" w:hAnsi="仿宋_GB2312" w:eastAsia="仿宋_GB2312"/>
          <w:b w:val="0"/>
          <w:sz w:val="32"/>
        </w:rPr>
        <w:t>其中：年末财政拨款结转和结余0.00万元，本年财政拨款支出6,239.08万元。</w:t>
      </w:r>
    </w:p>
    <w:p w14:paraId="2A5C27A9">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1,285.68万元，增长25.96%，主要原因是：本年在职人员社保、公积金基数调增，人员经费增加。本年度增加了2024年村级运转经费项目、2024年为民办实事经费项目、2024年新疆煤改电二期工程补助（中央、自治区补助资金）项目、叶城县铁提乡核桃高产示范园建设项目、叶城县铁提乡农牧产业基础设施改造提升中央财政以工代赈项目、叶城县铁提乡11村酿酒设备购置项目、叶城县铁提乡种植业基地配套建设项目、叶城县铁提乡种植业基地配套（二期）建设项目、叶城县铁提乡林果业整形修剪补助项目、叶城县铁提乡农业产业发展项目、铁提乡（4）村2024年中央综改农村公益事业财政奖补资金项目、铁提乡色日克吾斯塘（9）村2024年中央综改农村公益事业财政奖补资金项目。</w:t>
      </w:r>
      <w:r>
        <w:rPr>
          <w:rFonts w:ascii="仿宋_GB2312" w:hAnsi="仿宋_GB2312" w:eastAsia="仿宋_GB2312"/>
          <w:b/>
          <w:sz w:val="32"/>
        </w:rPr>
        <w:t>与年初预算相比，</w:t>
      </w:r>
      <w:r>
        <w:rPr>
          <w:rFonts w:ascii="仿宋_GB2312" w:hAnsi="仿宋_GB2312" w:eastAsia="仿宋_GB2312"/>
          <w:b w:val="0"/>
          <w:sz w:val="32"/>
        </w:rPr>
        <w:t>年初预算数2,366.51万元，决算数6,239.08万元，预决算差异率163.64%，主要原因是：年中追加了乡级人大代表活动经费项目、县级专项公用经费项目、中央政法纪检监察转移支付资金（装备购置费）项目、中央政法纪检监察转移支付资金（办案经费）项目、村级运转经费项目、管委会经费项目、乡镇信息奖励经费项目、中央补助地方美术馆、公共图书馆文化馆（站）免费开放补助资金项目、自治区美术馆、公共图书馆、文化馆（站）免费开放补助资金项目、铁提乡第一批中央补助地方公共文化服务体系建设补助资金项目、中央补助地方公共文化服务体系建设补助资金项目、自治区农村幸福大院运转补助资金项目、新疆煤改电二期工程补助（中央补助资金）项目、新疆煤改电二期工程补助（自治区补助资金）项目、铁提乡高素质农民培育项目-恰其巴格（5）村、铁提（7）村项目、叶城县铁提乡6村示范村乡村建设项目、叶城县铁提乡产业就业园附属配套建设项目、叶城县铁提乡5村示范村乡村建设项目、叶城县铁提乡核桃高产示范园建设项目、叶城县铁提乡农牧产业基础设施改造提升中央财政以工代赈项目、叶城县铁提乡11村酿酒设备购置项目、叶城县铁提乡节水灌溉项目、叶城县铁提乡种植业基地配套建设项目、叶城县林果业整形修剪补助项目、叶城县铁提乡种植业基地配套（二期）建设项目、叶城县铁提乡农业产业发展项目、铁提乡（4）村2024年中央综改农村公益事业财政奖补资金项目、铁提乡色日克吾斯塘（9）村2024年中央综改农村公益事业财政奖补资金项目、铁提乡（7）村2024年中央综改农村公益事业财政奖补资金项目、农牧区投递员专项财政补贴资金项目。</w:t>
      </w:r>
    </w:p>
    <w:p w14:paraId="1B43D0BF">
      <w:pPr>
        <w:spacing w:line="640" w:lineRule="exact"/>
        <w:ind w:firstLine="640"/>
        <w:jc w:val="both"/>
        <w:outlineLvl w:val="2"/>
      </w:pPr>
      <w:r>
        <w:rPr>
          <w:rFonts w:ascii="黑体" w:hAnsi="黑体" w:eastAsia="黑体"/>
          <w:sz w:val="32"/>
        </w:rPr>
        <w:t>五、一般公共预算财政拨款支出决算情况说明</w:t>
      </w:r>
    </w:p>
    <w:p w14:paraId="1482C7E0">
      <w:pPr>
        <w:spacing w:line="640" w:lineRule="exact"/>
        <w:ind w:firstLine="640"/>
        <w:jc w:val="both"/>
        <w:outlineLvl w:val="3"/>
      </w:pPr>
      <w:r>
        <w:rPr>
          <w:rFonts w:ascii="楷体_GB2312" w:hAnsi="楷体_GB2312" w:eastAsia="楷体_GB2312"/>
          <w:b/>
          <w:sz w:val="32"/>
        </w:rPr>
        <w:t>（一）一般公共预算财政拨款支出决算总体情况</w:t>
      </w:r>
    </w:p>
    <w:p w14:paraId="03BECD4C">
      <w:pPr>
        <w:spacing w:line="580" w:lineRule="exact"/>
        <w:ind w:firstLine="640"/>
        <w:jc w:val="both"/>
      </w:pPr>
      <w:r>
        <w:rPr>
          <w:rFonts w:ascii="仿宋_GB2312" w:hAnsi="仿宋_GB2312" w:eastAsia="仿宋_GB2312"/>
          <w:b/>
          <w:sz w:val="32"/>
        </w:rPr>
        <w:t>2024年度一般公共预算财政拨款支出6,239.08万元，</w:t>
      </w:r>
      <w:r>
        <w:rPr>
          <w:rFonts w:ascii="仿宋_GB2312" w:hAnsi="仿宋_GB2312" w:eastAsia="仿宋_GB2312"/>
          <w:b w:val="0"/>
          <w:sz w:val="32"/>
        </w:rPr>
        <w:t>占本年支出合计的94.92%。</w:t>
      </w:r>
      <w:r>
        <w:rPr>
          <w:rFonts w:ascii="仿宋_GB2312" w:hAnsi="仿宋_GB2312" w:eastAsia="仿宋_GB2312"/>
          <w:b/>
          <w:sz w:val="32"/>
        </w:rPr>
        <w:t>与上年相比，</w:t>
      </w:r>
      <w:r>
        <w:rPr>
          <w:rFonts w:ascii="仿宋_GB2312" w:hAnsi="仿宋_GB2312" w:eastAsia="仿宋_GB2312"/>
          <w:b w:val="0"/>
          <w:sz w:val="32"/>
        </w:rPr>
        <w:t>增加1,297.68万元，增长26.26%，主要原因是：本年在职人员社保、公积金基数调增，人员经费增加。本年度增加了2024年村级运转经费项目、2024年为民办实事经费项目、2024年新疆煤改电二期工程补助（中央、自治区补助资金）项目、叶城县铁提乡核桃高产示范园建设项目、叶城县铁提乡农牧产业基础设施改造提升中央财政以工代赈项目、叶城县铁提乡11村酿酒设备购置项目、叶城县铁提乡种植业基地配套建设项目、叶城县铁提乡种植业基地配套（二期）建设项目、叶城县铁提乡林果业整形修剪补助项目、叶城县铁提乡农业产业发展项目、铁提乡（4）村2024年中央综改农村公益事业财政奖补资金项目、铁提乡色日克吾斯塘（9）村2024年中央综改农村公益事业财政奖补资金项目。</w:t>
      </w:r>
      <w:r>
        <w:rPr>
          <w:rFonts w:ascii="仿宋_GB2312" w:hAnsi="仿宋_GB2312" w:eastAsia="仿宋_GB2312"/>
          <w:b/>
          <w:sz w:val="32"/>
        </w:rPr>
        <w:t>与年初预算相比,</w:t>
      </w:r>
      <w:r>
        <w:rPr>
          <w:rFonts w:ascii="仿宋_GB2312" w:hAnsi="仿宋_GB2312" w:eastAsia="仿宋_GB2312"/>
          <w:b w:val="0"/>
          <w:sz w:val="32"/>
        </w:rPr>
        <w:t>年初预算数2,366.51万元，决算数6,239.08万元，预决算差异率163.64%，主要原因是：年中追加了乡级人大代表活动经费项目、县级专项公用经费项目、中央政法纪检监察转移支付资金（装备购置费）项目、中央政法纪检监察转移支付资金（办案经费）项目、村级运转经费项目、管委会经费项目、乡镇信息奖励经费项目、中央补助地方美术馆、公共图书馆文化馆（站）免费开放补助资金项目、自治区美术馆、公共图书馆、文化馆（站）免费开放补助资金项目、铁提乡第一批中央补助地方公共文化服务体系建设补助资金项目、中央补助地方公共文化服务体系建设补助资金项目、自治区农村幸福大院运转补助资金项目、新疆煤改电二期工程补助（中央补助资金）项目、新疆煤改电二期工程补助（自治区补助资金）项目、铁提乡高素质农民培育项目-恰其巴格（5）村、铁提（7）村项目、叶城县铁提乡6村示范村乡村建设项目、叶城县铁提乡产业就业园附属配套建设项目、叶城县铁提乡5村示范村乡村建设项目、叶城县铁提乡核桃高产示范园建设项目、叶城县铁提乡农牧产业基础设施改造提升中央财政以工代赈项目、叶城县铁提乡11村酿酒设备购置项目、叶城县铁提乡节水灌溉项目、叶城县铁提乡种植业基地配套建设项目、叶城县林果业整形修剪补助项目、叶城县铁提乡种植业基地配套（二期）建设项目、叶城县铁提乡农业产业发展项目、铁提乡（4）村2024年中央综改农村公益事业财政奖补资金项目、铁提乡色日克吾斯塘（9）村2024年中央综改农村公益事业财政奖补资金项目、铁提乡（7）村2024年中央综改农村公益事业财政奖补资金项目、农牧区投递员专项财政补贴资金项目。</w:t>
      </w:r>
    </w:p>
    <w:p w14:paraId="30A75414">
      <w:pPr>
        <w:spacing w:line="640" w:lineRule="exact"/>
        <w:ind w:firstLine="640"/>
        <w:jc w:val="both"/>
        <w:outlineLvl w:val="3"/>
      </w:pPr>
      <w:r>
        <w:rPr>
          <w:rFonts w:ascii="楷体_GB2312" w:hAnsi="楷体_GB2312" w:eastAsia="楷体_GB2312"/>
          <w:b/>
          <w:sz w:val="32"/>
        </w:rPr>
        <w:t>（二）一般公共预算财政拨款支出决算结构情况</w:t>
      </w:r>
    </w:p>
    <w:p w14:paraId="783E5DDB">
      <w:pPr>
        <w:spacing w:line="580" w:lineRule="exact"/>
        <w:ind w:firstLine="640"/>
        <w:jc w:val="both"/>
      </w:pPr>
      <w:r>
        <w:rPr>
          <w:rFonts w:ascii="仿宋_GB2312" w:hAnsi="仿宋_GB2312" w:eastAsia="仿宋_GB2312"/>
          <w:b w:val="0"/>
          <w:sz w:val="32"/>
        </w:rPr>
        <w:t>1.一般公共服务支出(类)2,054.97万元,占32.94%。</w:t>
      </w:r>
    </w:p>
    <w:p w14:paraId="738B8C6E">
      <w:pPr>
        <w:spacing w:line="580" w:lineRule="exact"/>
        <w:ind w:firstLine="640"/>
        <w:jc w:val="both"/>
      </w:pPr>
      <w:r>
        <w:rPr>
          <w:rFonts w:ascii="仿宋_GB2312" w:hAnsi="仿宋_GB2312" w:eastAsia="仿宋_GB2312"/>
          <w:b w:val="0"/>
          <w:sz w:val="32"/>
        </w:rPr>
        <w:t>2.公共安全支出(类)4.35万元,占0.07%。</w:t>
      </w:r>
    </w:p>
    <w:p w14:paraId="1846BE42">
      <w:pPr>
        <w:spacing w:line="580" w:lineRule="exact"/>
        <w:ind w:firstLine="640"/>
        <w:jc w:val="both"/>
      </w:pPr>
      <w:r>
        <w:rPr>
          <w:rFonts w:ascii="仿宋_GB2312" w:hAnsi="仿宋_GB2312" w:eastAsia="仿宋_GB2312"/>
          <w:b w:val="0"/>
          <w:sz w:val="32"/>
        </w:rPr>
        <w:t>3.文化旅游体育与传媒支出(类)47.46万元,占0.76%。</w:t>
      </w:r>
    </w:p>
    <w:p w14:paraId="017CA137">
      <w:pPr>
        <w:spacing w:line="580" w:lineRule="exact"/>
        <w:ind w:firstLine="640"/>
        <w:jc w:val="both"/>
      </w:pPr>
      <w:r>
        <w:rPr>
          <w:rFonts w:ascii="仿宋_GB2312" w:hAnsi="仿宋_GB2312" w:eastAsia="仿宋_GB2312"/>
          <w:b w:val="0"/>
          <w:sz w:val="32"/>
        </w:rPr>
        <w:t>4.社会保障和就业支出(类)253.57万元,占4.06%。</w:t>
      </w:r>
    </w:p>
    <w:p w14:paraId="3516B6CB">
      <w:pPr>
        <w:spacing w:line="580" w:lineRule="exact"/>
        <w:ind w:firstLine="640"/>
        <w:jc w:val="both"/>
      </w:pPr>
      <w:r>
        <w:rPr>
          <w:rFonts w:ascii="仿宋_GB2312" w:hAnsi="仿宋_GB2312" w:eastAsia="仿宋_GB2312"/>
          <w:b w:val="0"/>
          <w:sz w:val="32"/>
        </w:rPr>
        <w:t>5.卫生健康支出(类)118.29万元,占1.90%。</w:t>
      </w:r>
    </w:p>
    <w:p w14:paraId="0E014C99">
      <w:pPr>
        <w:spacing w:line="580" w:lineRule="exact"/>
        <w:ind w:firstLine="640"/>
        <w:jc w:val="both"/>
      </w:pPr>
      <w:r>
        <w:rPr>
          <w:rFonts w:ascii="仿宋_GB2312" w:hAnsi="仿宋_GB2312" w:eastAsia="仿宋_GB2312"/>
          <w:b w:val="0"/>
          <w:sz w:val="32"/>
        </w:rPr>
        <w:t>6.节能环保支出(类)652.09万元,占10.45%。</w:t>
      </w:r>
    </w:p>
    <w:p w14:paraId="423603C0">
      <w:pPr>
        <w:spacing w:line="580" w:lineRule="exact"/>
        <w:ind w:firstLine="640"/>
        <w:jc w:val="both"/>
      </w:pPr>
      <w:r>
        <w:rPr>
          <w:rFonts w:ascii="仿宋_GB2312" w:hAnsi="仿宋_GB2312" w:eastAsia="仿宋_GB2312"/>
          <w:b w:val="0"/>
          <w:sz w:val="32"/>
        </w:rPr>
        <w:t>7.农林水支出(类)2,927.13万元,占46.92%。</w:t>
      </w:r>
    </w:p>
    <w:p w14:paraId="50E1A140">
      <w:pPr>
        <w:spacing w:line="580" w:lineRule="exact"/>
        <w:ind w:firstLine="640"/>
        <w:jc w:val="both"/>
      </w:pPr>
      <w:r>
        <w:rPr>
          <w:rFonts w:ascii="仿宋_GB2312" w:hAnsi="仿宋_GB2312" w:eastAsia="仿宋_GB2312"/>
          <w:b w:val="0"/>
          <w:sz w:val="32"/>
        </w:rPr>
        <w:t>8.交通运输支出(类)0.24万元,占0.004%。</w:t>
      </w:r>
    </w:p>
    <w:p w14:paraId="79951AC2">
      <w:pPr>
        <w:spacing w:line="580" w:lineRule="exact"/>
        <w:ind w:firstLine="640"/>
        <w:jc w:val="both"/>
      </w:pPr>
      <w:r>
        <w:rPr>
          <w:rFonts w:ascii="仿宋_GB2312" w:hAnsi="仿宋_GB2312" w:eastAsia="仿宋_GB2312"/>
          <w:b w:val="0"/>
          <w:sz w:val="32"/>
        </w:rPr>
        <w:t>9.住房保障支出(类)180.97万元,占2.90%。</w:t>
      </w:r>
    </w:p>
    <w:p w14:paraId="60AF010D">
      <w:pPr>
        <w:spacing w:line="640" w:lineRule="exact"/>
        <w:ind w:firstLine="640"/>
        <w:jc w:val="both"/>
        <w:outlineLvl w:val="3"/>
      </w:pPr>
      <w:r>
        <w:rPr>
          <w:rFonts w:ascii="楷体_GB2312" w:hAnsi="楷体_GB2312" w:eastAsia="楷体_GB2312"/>
          <w:b/>
          <w:sz w:val="32"/>
        </w:rPr>
        <w:t>（三）一般公共预算财政拨款支出决算具体情况</w:t>
      </w:r>
    </w:p>
    <w:p w14:paraId="29294CE5">
      <w:pPr>
        <w:spacing w:line="580" w:lineRule="exact"/>
        <w:ind w:firstLine="640"/>
        <w:jc w:val="both"/>
      </w:pPr>
      <w:r>
        <w:rPr>
          <w:rFonts w:ascii="仿宋_GB2312" w:hAnsi="仿宋_GB2312" w:eastAsia="仿宋_GB2312"/>
          <w:b w:val="0"/>
          <w:sz w:val="32"/>
        </w:rPr>
        <w:t>1.一般公共服务支出(类)人大事务(款)代表工作(项):支出决算数为2.41万元，比上年决算减少0.30万元，下降11.07%,主要原因是：本年度减少了自治区人大代表活动经费。</w:t>
      </w:r>
    </w:p>
    <w:p w14:paraId="56EFF9BE">
      <w:pPr>
        <w:spacing w:line="580" w:lineRule="exact"/>
        <w:ind w:firstLine="640"/>
        <w:jc w:val="both"/>
      </w:pPr>
      <w:r>
        <w:rPr>
          <w:rFonts w:ascii="仿宋_GB2312" w:hAnsi="仿宋_GB2312" w:eastAsia="仿宋_GB2312"/>
          <w:b w:val="0"/>
          <w:sz w:val="32"/>
        </w:rPr>
        <w:t>2.一般公共服务支出(类)政府办公厅（室）及相关机构事务(款)行政运行(项):支出决算数为1,716.42万元，比上年决算减少35.92万元，下降2.05%,主要原因是：本年在职人员减少，导致人员经费较上年减少。</w:t>
      </w:r>
    </w:p>
    <w:p w14:paraId="096594CD">
      <w:pPr>
        <w:spacing w:line="580" w:lineRule="exact"/>
        <w:ind w:firstLine="640"/>
        <w:jc w:val="both"/>
      </w:pPr>
      <w:r>
        <w:rPr>
          <w:rFonts w:ascii="仿宋_GB2312" w:hAnsi="仿宋_GB2312" w:eastAsia="仿宋_GB2312"/>
          <w:b w:val="0"/>
          <w:sz w:val="32"/>
        </w:rPr>
        <w:t>3.一般公共服务支出(类)政府办公厅（室）及相关机构事务(款)一般行政管理事务(项):支出决算数为44.77万元，比上年决算减少0.23万元，下降0.51%,主要原因是：本年减少了铁提乡县级专项公用经费项目。</w:t>
      </w:r>
    </w:p>
    <w:p w14:paraId="5A8F1D7D">
      <w:pPr>
        <w:spacing w:line="580" w:lineRule="exact"/>
        <w:ind w:firstLine="640"/>
        <w:jc w:val="both"/>
      </w:pPr>
      <w:r>
        <w:rPr>
          <w:rFonts w:ascii="仿宋_GB2312" w:hAnsi="仿宋_GB2312" w:eastAsia="仿宋_GB2312"/>
          <w:b w:val="0"/>
          <w:sz w:val="32"/>
        </w:rPr>
        <w:t>4.一般公共服务支出(类)纪检监察事务(款)其他纪检监察事务支出(项):支出决算数为2.00万元，比上年决算增加1.00万元，增长100.00%,主要原因是：本年度增加纪检经费。</w:t>
      </w:r>
    </w:p>
    <w:p w14:paraId="21A487D1">
      <w:pPr>
        <w:spacing w:line="580" w:lineRule="exact"/>
        <w:ind w:firstLine="640"/>
        <w:jc w:val="both"/>
      </w:pPr>
      <w:r>
        <w:rPr>
          <w:rFonts w:ascii="仿宋_GB2312" w:hAnsi="仿宋_GB2312" w:eastAsia="仿宋_GB2312"/>
          <w:b w:val="0"/>
          <w:sz w:val="32"/>
        </w:rPr>
        <w:t>5.一般公共服务支出(类)组织事务(款)其他组织事务支出(项):支出决算数为288.37万元，比上年决算增加151.19万元，增长110.21%,主要原因是：本年度增加了2024年村级运转经费项目、2024年为民办实事经费项目。</w:t>
      </w:r>
    </w:p>
    <w:p w14:paraId="58FBE00E">
      <w:pPr>
        <w:spacing w:line="580" w:lineRule="exact"/>
        <w:ind w:firstLine="640"/>
        <w:jc w:val="both"/>
      </w:pPr>
      <w:r>
        <w:rPr>
          <w:rFonts w:ascii="仿宋_GB2312" w:hAnsi="仿宋_GB2312" w:eastAsia="仿宋_GB2312"/>
          <w:b w:val="0"/>
          <w:sz w:val="32"/>
        </w:rPr>
        <w:t>6.一般公共服务支出(类)统战事务(款)宗教事务(项):支出决算数为1.00万元，比上年决算增加1.00万元，增长100.00%,主要原因是：本年铁提乡管委会经费项目经费从其他统战事务支出(项)调整本科目列支。</w:t>
      </w:r>
    </w:p>
    <w:p w14:paraId="377BF224">
      <w:pPr>
        <w:spacing w:line="580" w:lineRule="exact"/>
        <w:ind w:firstLine="640"/>
        <w:jc w:val="both"/>
      </w:pPr>
      <w:r>
        <w:rPr>
          <w:rFonts w:ascii="仿宋_GB2312" w:hAnsi="仿宋_GB2312" w:eastAsia="仿宋_GB2312"/>
          <w:b w:val="0"/>
          <w:sz w:val="32"/>
        </w:rPr>
        <w:t>7.一般公共服务支出(类)统战事务(款)其他统战事务支出(项):支出决算数为0.00万元，比上年决算减少5.00万元，下降100.00%,主要原因是：本年铁提乡管委会经费项目经费从本科目调整至一般公共服务支出(类)统战事务(款)宗教事务(项)列支。</w:t>
      </w:r>
    </w:p>
    <w:p w14:paraId="6B2176BA">
      <w:pPr>
        <w:spacing w:line="580" w:lineRule="exact"/>
        <w:ind w:firstLine="640"/>
        <w:jc w:val="both"/>
      </w:pPr>
      <w:r>
        <w:rPr>
          <w:rFonts w:ascii="仿宋_GB2312" w:hAnsi="仿宋_GB2312" w:eastAsia="仿宋_GB2312"/>
          <w:b w:val="0"/>
          <w:sz w:val="32"/>
        </w:rPr>
        <w:t>8.公共安全支出(类)其他公共安全支出(款)其他公共安全支出(项):支出决算数为4.35万元，比上年决算减少2.65万元，下降37.86%,主要原因是：本年乡镇信息奖励经费较上年减少。</w:t>
      </w:r>
    </w:p>
    <w:p w14:paraId="4E61F55C">
      <w:pPr>
        <w:spacing w:line="580" w:lineRule="exact"/>
        <w:ind w:firstLine="640"/>
        <w:jc w:val="both"/>
      </w:pPr>
      <w:r>
        <w:rPr>
          <w:rFonts w:ascii="仿宋_GB2312" w:hAnsi="仿宋_GB2312" w:eastAsia="仿宋_GB2312"/>
          <w:b w:val="0"/>
          <w:sz w:val="32"/>
        </w:rPr>
        <w:t>9.文化旅游体育与传媒支出(类)文化和旅游(款)其他文化和旅游支出(项):支出决算数为2.57万元，比上年决算减少2.41万元，下降48.39%,主要原因是：本年度文化站免费开放补助资金减少。</w:t>
      </w:r>
    </w:p>
    <w:p w14:paraId="1C780FED">
      <w:pPr>
        <w:spacing w:line="580" w:lineRule="exact"/>
        <w:ind w:firstLine="640"/>
        <w:jc w:val="both"/>
      </w:pPr>
      <w:r>
        <w:rPr>
          <w:rFonts w:ascii="仿宋_GB2312" w:hAnsi="仿宋_GB2312" w:eastAsia="仿宋_GB2312"/>
          <w:b w:val="0"/>
          <w:sz w:val="32"/>
        </w:rPr>
        <w:t>10.文化旅游体育与传媒支出(类)其他文化旅游体育与传媒支出(款)其他文化旅游体育与传媒支出(项):支出决算数为44.89万元，比上年决算增加16.67万元，增长59.07%,主要原因是：本年度增加了铁提乡2024年第一批中央补助地方公共文化服务体系建设补助资金项目、2023年中央补助地方公共文化服务体系建设补助资金项目。</w:t>
      </w:r>
    </w:p>
    <w:p w14:paraId="552B7EC7">
      <w:pPr>
        <w:spacing w:line="580" w:lineRule="exact"/>
        <w:ind w:firstLine="640"/>
        <w:jc w:val="both"/>
      </w:pPr>
      <w:r>
        <w:rPr>
          <w:rFonts w:ascii="仿宋_GB2312" w:hAnsi="仿宋_GB2312" w:eastAsia="仿宋_GB2312"/>
          <w:b w:val="0"/>
          <w:sz w:val="32"/>
        </w:rPr>
        <w:t>11.社会保障和就业支出(类)民政管理事务(款)其他民政管理事务支出(项):支出决算数为5.00万元，比上年决算增加0.00万元，增长0.00%,主要原因是：2024年自治区农村幸福大院补助资金与上年一致，无变化。</w:t>
      </w:r>
    </w:p>
    <w:p w14:paraId="04BB620D">
      <w:pPr>
        <w:spacing w:line="580" w:lineRule="exact"/>
        <w:ind w:firstLine="640"/>
        <w:jc w:val="both"/>
      </w:pPr>
      <w:r>
        <w:rPr>
          <w:rFonts w:ascii="仿宋_GB2312" w:hAnsi="仿宋_GB2312" w:eastAsia="仿宋_GB2312"/>
          <w:b w:val="0"/>
          <w:sz w:val="32"/>
        </w:rPr>
        <w:t>12.社会保障和就业支出(类)行政事业单位养老支出(款)行政单位离退休(项):支出决算数为19.76万元，比上年决算增加1.36万元，增长7.39%,主要原因是：本年退休人员增加，退休费支出增加。</w:t>
      </w:r>
    </w:p>
    <w:p w14:paraId="38107DA9">
      <w:pPr>
        <w:spacing w:line="580" w:lineRule="exact"/>
        <w:ind w:firstLine="640"/>
        <w:jc w:val="both"/>
      </w:pPr>
      <w:r>
        <w:rPr>
          <w:rFonts w:ascii="仿宋_GB2312" w:hAnsi="仿宋_GB2312" w:eastAsia="仿宋_GB2312"/>
          <w:b w:val="0"/>
          <w:sz w:val="32"/>
        </w:rPr>
        <w:t>13.社会保障和就业支出(类)行政事业单位养老支出(款)机关事业单位基本养老保险缴费支出(项):支出决算数为228.80万元，比上年决算增加56.47万元，增长32.77%,主要原因是：本年在职人员工资基数调增，养老缴费基数上涨，相应支出增加。</w:t>
      </w:r>
    </w:p>
    <w:p w14:paraId="6048924A">
      <w:pPr>
        <w:spacing w:line="580" w:lineRule="exact"/>
        <w:ind w:firstLine="640"/>
        <w:jc w:val="both"/>
      </w:pPr>
      <w:r>
        <w:rPr>
          <w:rFonts w:ascii="仿宋_GB2312" w:hAnsi="仿宋_GB2312" w:eastAsia="仿宋_GB2312"/>
          <w:b w:val="0"/>
          <w:sz w:val="32"/>
        </w:rPr>
        <w:t>14.社会保障和就业支出(类)行政事业单位养老支出(款)机关事业单位职业年金缴费支出(项):支出决算数为0.00万元，比上年决算减少14.40万元，下降100.00%,主要原因是：本年</w:t>
      </w:r>
      <w:r>
        <w:rPr>
          <w:rFonts w:hint="eastAsia" w:ascii="仿宋_GB2312" w:hAnsi="仿宋_GB2312" w:eastAsia="仿宋_GB2312"/>
          <w:b w:val="0"/>
          <w:sz w:val="32"/>
          <w:lang w:eastAsia="zh-CN"/>
        </w:rPr>
        <w:t>本单位</w:t>
      </w:r>
      <w:r>
        <w:rPr>
          <w:rFonts w:ascii="仿宋_GB2312" w:hAnsi="仿宋_GB2312" w:eastAsia="仿宋_GB2312"/>
          <w:b w:val="0"/>
          <w:sz w:val="32"/>
        </w:rPr>
        <w:t>新增退休人员职业年金次年做实，相应支出下降。</w:t>
      </w:r>
    </w:p>
    <w:p w14:paraId="68DB7E84">
      <w:pPr>
        <w:spacing w:line="580" w:lineRule="exact"/>
        <w:ind w:firstLine="640"/>
        <w:jc w:val="both"/>
      </w:pPr>
      <w:r>
        <w:rPr>
          <w:rFonts w:ascii="仿宋_GB2312" w:hAnsi="仿宋_GB2312" w:eastAsia="仿宋_GB2312"/>
          <w:b w:val="0"/>
          <w:sz w:val="32"/>
        </w:rPr>
        <w:t>15.社会保障和就业支出(类)抚恤(款)死亡抚恤(项):支出决算数为0.00万元，比上年决算减少15.93万元，下降100.00%,主要原因是：本年无新增死亡人员，死亡抚恤支出较上年减少。</w:t>
      </w:r>
    </w:p>
    <w:p w14:paraId="4087F35B">
      <w:pPr>
        <w:spacing w:line="580" w:lineRule="exact"/>
        <w:ind w:firstLine="640"/>
        <w:jc w:val="both"/>
      </w:pPr>
      <w:r>
        <w:rPr>
          <w:rFonts w:ascii="仿宋_GB2312" w:hAnsi="仿宋_GB2312" w:eastAsia="仿宋_GB2312"/>
          <w:b w:val="0"/>
          <w:sz w:val="32"/>
        </w:rPr>
        <w:t>16.卫生健康支出(类)公共卫生(款)突发公共卫生事件应急处理(项):支出决算数为0.00万元，比上年决算减少5.00万元，下降100.00%,主要原因是：本年度减少疾病灾害经费。</w:t>
      </w:r>
    </w:p>
    <w:p w14:paraId="1DA6D8C7">
      <w:pPr>
        <w:spacing w:line="580" w:lineRule="exact"/>
        <w:ind w:firstLine="640"/>
        <w:jc w:val="both"/>
      </w:pPr>
      <w:r>
        <w:rPr>
          <w:rFonts w:ascii="仿宋_GB2312" w:hAnsi="仿宋_GB2312" w:eastAsia="仿宋_GB2312"/>
          <w:b w:val="0"/>
          <w:sz w:val="32"/>
        </w:rPr>
        <w:t>17.卫生健康支出(类)行政事业单位医疗(款)行政单位医疗(项):支出决算数为97.24万元，比上年决算增加29.42万元，增长43.38%,主要原因是：本年在职人员工资基数调增，医疗缴费基数上涨，相应支出增加。</w:t>
      </w:r>
    </w:p>
    <w:p w14:paraId="33E37CDF">
      <w:pPr>
        <w:spacing w:line="580" w:lineRule="exact"/>
        <w:ind w:firstLine="640"/>
        <w:jc w:val="both"/>
      </w:pPr>
      <w:r>
        <w:rPr>
          <w:rFonts w:ascii="仿宋_GB2312" w:hAnsi="仿宋_GB2312" w:eastAsia="仿宋_GB2312"/>
          <w:b w:val="0"/>
          <w:sz w:val="32"/>
        </w:rPr>
        <w:t>18.卫生健康支出(类)行政事业单位医疗(款)公务员医疗补助(项):支出决算数为21.05万元，比上年决算增加5.30万元，增长33.65%,主要原因是：本年在职人员工资基数调增，公务员医疗补助缴费基数上涨，相应支出增加。</w:t>
      </w:r>
    </w:p>
    <w:p w14:paraId="2CEEEF61">
      <w:pPr>
        <w:spacing w:line="580" w:lineRule="exact"/>
        <w:ind w:firstLine="640"/>
        <w:jc w:val="both"/>
      </w:pPr>
      <w:r>
        <w:rPr>
          <w:rFonts w:ascii="仿宋_GB2312" w:hAnsi="仿宋_GB2312" w:eastAsia="仿宋_GB2312"/>
          <w:b w:val="0"/>
          <w:sz w:val="32"/>
        </w:rPr>
        <w:t>19.节能环保支出(类)能源节约利用(款)能源节约利用(项):支出决算数为652.09万元，比上年决算增加652.09万元，增长100.00%,主要原因是：本年度增加了2024年新疆煤改电二期工程补助（中央补助资金）项目、2024年新疆煤改电二期工程补助（自治区补助资金）项目。</w:t>
      </w:r>
    </w:p>
    <w:p w14:paraId="4F5A7E70">
      <w:pPr>
        <w:spacing w:line="580" w:lineRule="exact"/>
        <w:ind w:firstLine="640"/>
        <w:jc w:val="both"/>
      </w:pPr>
      <w:r>
        <w:rPr>
          <w:rFonts w:ascii="仿宋_GB2312" w:hAnsi="仿宋_GB2312" w:eastAsia="仿宋_GB2312"/>
          <w:b w:val="0"/>
          <w:sz w:val="32"/>
        </w:rPr>
        <w:t>20.农林水支出(类)农业农村(款)行政运行(项):支出决算数为0.00万元，比上年决算减少63.72万元，下降100.00%,主要原因是：本年度减少了2021年、2022年下半年乡镇基层工作补贴项目。</w:t>
      </w:r>
    </w:p>
    <w:p w14:paraId="1A8B538A">
      <w:pPr>
        <w:spacing w:line="580" w:lineRule="exact"/>
        <w:ind w:firstLine="640"/>
        <w:jc w:val="both"/>
      </w:pPr>
      <w:r>
        <w:rPr>
          <w:rFonts w:ascii="仿宋_GB2312" w:hAnsi="仿宋_GB2312" w:eastAsia="仿宋_GB2312"/>
          <w:b w:val="0"/>
          <w:sz w:val="32"/>
        </w:rPr>
        <w:t>21.农林水支出(类)农业农村(款)农业生产发展(项):支出决算数为3.52万元，比上年决算增加3.52万元，增长100.00%,主要原因是：本年度增加了铁提乡高素质农民培育项目-恰其巴格（5）村、铁提（7）村项目。</w:t>
      </w:r>
    </w:p>
    <w:p w14:paraId="5497206F">
      <w:pPr>
        <w:spacing w:line="580" w:lineRule="exact"/>
        <w:ind w:firstLine="640"/>
        <w:jc w:val="both"/>
      </w:pPr>
      <w:r>
        <w:rPr>
          <w:rFonts w:ascii="仿宋_GB2312" w:hAnsi="仿宋_GB2312" w:eastAsia="仿宋_GB2312"/>
          <w:b w:val="0"/>
          <w:sz w:val="32"/>
        </w:rPr>
        <w:t>22.农林水支出(类)巩固脱贫攻坚成果衔接乡村振兴(款)农村基础设施建设(项):支出决算数为0.00万元，比上年决算减少10.77万元，下降100.00%,主要原因是：本年度减少了铁提乡4村和8村示范村乡村建设项目。</w:t>
      </w:r>
    </w:p>
    <w:p w14:paraId="5E2FC88B">
      <w:pPr>
        <w:spacing w:line="580" w:lineRule="exact"/>
        <w:ind w:firstLine="640"/>
        <w:jc w:val="both"/>
      </w:pPr>
      <w:r>
        <w:rPr>
          <w:rFonts w:ascii="仿宋_GB2312" w:hAnsi="仿宋_GB2312" w:eastAsia="仿宋_GB2312"/>
          <w:b w:val="0"/>
          <w:sz w:val="32"/>
        </w:rPr>
        <w:t>23.农林水支出(类)巩固脱贫攻坚成果衔接乡村振兴(款)生产发展(项):支出决算数为2,798.61万元，比上年决算增加349.69万元，增长14.28%,主要原因是：本年增加了叶城县铁提乡核桃高产示范园建设项目、叶城县铁提乡农牧产业基础设施改造提升中央财政以工代赈项目、叶城县铁提乡11村酿酒设备购置项目、叶城县铁提乡种植业基地配套建设项目、叶城县铁提乡种植业基地配套（二期）建设项目、叶城县铁提乡林果业整形修剪补助项目、叶城县铁提乡农业产业发展项目。</w:t>
      </w:r>
    </w:p>
    <w:p w14:paraId="2C8256CB">
      <w:pPr>
        <w:spacing w:line="580" w:lineRule="exact"/>
        <w:ind w:firstLine="640"/>
        <w:jc w:val="both"/>
      </w:pPr>
      <w:r>
        <w:rPr>
          <w:rFonts w:ascii="仿宋_GB2312" w:hAnsi="仿宋_GB2312" w:eastAsia="仿宋_GB2312"/>
          <w:b w:val="0"/>
          <w:sz w:val="32"/>
        </w:rPr>
        <w:t>24.农林水支出(类)农村综合改革(款)对村级公益事业建设的补助(项):支出决算数为125.00万元，比上年决算增加125.00万元，增长100.00%,主要原因是：本年度增加铁提乡（4）村2024年中央综改农村公益事业财政奖补资金项目、铁提乡色日克吾斯塘（9）村2024年中央综改农村公益事业财政奖补资金项目。</w:t>
      </w:r>
    </w:p>
    <w:p w14:paraId="02749443">
      <w:pPr>
        <w:spacing w:line="580" w:lineRule="exact"/>
        <w:ind w:firstLine="640"/>
        <w:jc w:val="both"/>
      </w:pPr>
      <w:r>
        <w:rPr>
          <w:rFonts w:ascii="仿宋_GB2312" w:hAnsi="仿宋_GB2312" w:eastAsia="仿宋_GB2312"/>
          <w:b w:val="0"/>
          <w:sz w:val="32"/>
        </w:rPr>
        <w:t>25.交通运输支出(类)邮政业支出(款)邮政普遍服务与特殊服务(项):支出决算数为0.24万元，比上年决算增加0.00万元，增长0.00%,主要原因是：2024年农牧区投递员专项补贴资金与上年一致，无变化。</w:t>
      </w:r>
    </w:p>
    <w:p w14:paraId="56C9F1F1">
      <w:pPr>
        <w:spacing w:line="580" w:lineRule="exact"/>
        <w:ind w:firstLine="640"/>
        <w:jc w:val="both"/>
      </w:pPr>
      <w:r>
        <w:rPr>
          <w:rFonts w:ascii="仿宋_GB2312" w:hAnsi="仿宋_GB2312" w:eastAsia="仿宋_GB2312"/>
          <w:b w:val="0"/>
          <w:sz w:val="32"/>
        </w:rPr>
        <w:t>26.住房保障支出(类)住房改革支出(款)住房公积金(项):支出决算数为180.97万元，比上年决算增加61.28万元，增长51.20%,主要原因是：本年在职人员工资基数调增，公积金缴费基数上涨，相应支出增加。</w:t>
      </w:r>
    </w:p>
    <w:p w14:paraId="532C68B7">
      <w:pPr>
        <w:spacing w:line="640" w:lineRule="exact"/>
        <w:ind w:firstLine="640"/>
        <w:jc w:val="both"/>
        <w:outlineLvl w:val="2"/>
      </w:pPr>
      <w:r>
        <w:rPr>
          <w:rFonts w:ascii="黑体" w:hAnsi="黑体" w:eastAsia="黑体"/>
          <w:sz w:val="32"/>
        </w:rPr>
        <w:t>六、一般公共预算财政拨款基本支出决算情况说明</w:t>
      </w:r>
    </w:p>
    <w:p w14:paraId="4D47CE2D">
      <w:pPr>
        <w:spacing w:line="580" w:lineRule="exact"/>
        <w:ind w:firstLine="640"/>
        <w:jc w:val="both"/>
      </w:pPr>
      <w:r>
        <w:rPr>
          <w:rFonts w:ascii="仿宋_GB2312" w:hAnsi="仿宋_GB2312" w:eastAsia="仿宋_GB2312"/>
          <w:b w:val="0"/>
          <w:sz w:val="32"/>
        </w:rPr>
        <w:t>2024年度一般公共预算财政拨款基本支出2,264.25万元，其中：</w:t>
      </w:r>
      <w:r>
        <w:rPr>
          <w:rFonts w:ascii="仿宋_GB2312" w:hAnsi="仿宋_GB2312" w:eastAsia="仿宋_GB2312"/>
          <w:b/>
          <w:sz w:val="32"/>
        </w:rPr>
        <w:t>人员经费2,207.71万元，</w:t>
      </w:r>
      <w:r>
        <w:rPr>
          <w:rFonts w:ascii="仿宋_GB2312" w:hAnsi="仿宋_GB2312" w:eastAsia="仿宋_GB2312"/>
          <w:b w:val="0"/>
          <w:sz w:val="32"/>
        </w:rPr>
        <w:t>包括：基本工资、津贴补贴、奖金、绩效工资、机关事业单位基本养老保险缴费、职工基本医疗保险缴费、公务员医疗补助缴费、其他社会保障缴费、住房公积金、退休费、生活补助、奖励金。</w:t>
      </w:r>
    </w:p>
    <w:p w14:paraId="06930538">
      <w:pPr>
        <w:spacing w:line="580" w:lineRule="exact"/>
        <w:ind w:firstLine="640"/>
        <w:jc w:val="both"/>
      </w:pPr>
      <w:r>
        <w:rPr>
          <w:rFonts w:ascii="仿宋_GB2312" w:hAnsi="仿宋_GB2312" w:eastAsia="仿宋_GB2312"/>
          <w:b/>
          <w:sz w:val="32"/>
        </w:rPr>
        <w:t>公用经费56.54万元，</w:t>
      </w:r>
      <w:r>
        <w:rPr>
          <w:rFonts w:ascii="仿宋_GB2312" w:hAnsi="仿宋_GB2312" w:eastAsia="仿宋_GB2312"/>
          <w:b w:val="0"/>
          <w:sz w:val="32"/>
        </w:rPr>
        <w:t>包括：办公费、水费、电费、邮电费、劳务费、委托业务费、公务用车运行维护费。</w:t>
      </w:r>
    </w:p>
    <w:p w14:paraId="5BC83816">
      <w:pPr>
        <w:spacing w:line="640" w:lineRule="exact"/>
        <w:ind w:firstLine="640"/>
        <w:jc w:val="both"/>
        <w:outlineLvl w:val="2"/>
      </w:pPr>
      <w:r>
        <w:rPr>
          <w:rFonts w:ascii="黑体" w:hAnsi="黑体" w:eastAsia="黑体"/>
          <w:sz w:val="32"/>
        </w:rPr>
        <w:t>七、政府性基金预算财政拨款收入支出决算情况说明</w:t>
      </w:r>
    </w:p>
    <w:p w14:paraId="67F2E7FB">
      <w:pPr>
        <w:spacing w:line="580" w:lineRule="exact"/>
        <w:ind w:firstLine="640"/>
        <w:jc w:val="both"/>
      </w:pPr>
      <w:r>
        <w:rPr>
          <w:rFonts w:ascii="仿宋_GB2312" w:hAnsi="仿宋_GB2312" w:eastAsia="仿宋_GB2312"/>
          <w:b/>
          <w:sz w:val="32"/>
        </w:rPr>
        <w:t>2024年度政府性基金预算财政拨款收入总计0.00万元，</w:t>
      </w:r>
      <w:r>
        <w:rPr>
          <w:rFonts w:ascii="仿宋_GB2312" w:hAnsi="仿宋_GB2312" w:eastAsia="仿宋_GB2312"/>
          <w:b w:val="0"/>
          <w:sz w:val="32"/>
        </w:rPr>
        <w:t>其中：年初结转和结余0.00万元，本年收入0.00万元。</w:t>
      </w:r>
      <w:r>
        <w:rPr>
          <w:rFonts w:ascii="仿宋_GB2312" w:hAnsi="仿宋_GB2312" w:eastAsia="仿宋_GB2312"/>
          <w:b/>
          <w:sz w:val="32"/>
        </w:rPr>
        <w:t>政府性基金预算财政拨款支出总计0.00万元，</w:t>
      </w:r>
      <w:r>
        <w:rPr>
          <w:rFonts w:ascii="仿宋_GB2312" w:hAnsi="仿宋_GB2312" w:eastAsia="仿宋_GB2312"/>
          <w:b w:val="0"/>
          <w:sz w:val="32"/>
        </w:rPr>
        <w:t>其中：年末结转和结余0.00万元，本年支出0.00万元。</w:t>
      </w:r>
    </w:p>
    <w:p w14:paraId="161F5B3E">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减少12.00万元，下降100.00%，主要原因是：本年减少补偿款。</w:t>
      </w:r>
      <w:r>
        <w:rPr>
          <w:rFonts w:ascii="仿宋_GB2312" w:hAnsi="仿宋_GB2312" w:eastAsia="仿宋_GB2312"/>
          <w:b/>
          <w:sz w:val="32"/>
        </w:rPr>
        <w:t>与年初预算相比，</w:t>
      </w:r>
      <w:r>
        <w:rPr>
          <w:rFonts w:ascii="仿宋_GB2312" w:hAnsi="仿宋_GB2312" w:eastAsia="仿宋_GB2312"/>
          <w:b w:val="0"/>
          <w:sz w:val="32"/>
        </w:rPr>
        <w:t>年初预算数0.00万元，决算数0.00万元，预决算差异率0.00%，主要原因是：本年</w:t>
      </w:r>
      <w:bookmarkStart w:id="0" w:name="_GoBack"/>
      <w:r>
        <w:rPr>
          <w:rFonts w:hint="eastAsia" w:ascii="仿宋_GB2312" w:hAnsi="仿宋_GB2312" w:eastAsia="仿宋_GB2312"/>
          <w:b w:val="0"/>
          <w:sz w:val="32"/>
          <w:lang w:eastAsia="zh-CN"/>
        </w:rPr>
        <w:t>本单位</w:t>
      </w:r>
      <w:bookmarkEnd w:id="0"/>
      <w:r>
        <w:rPr>
          <w:rFonts w:ascii="仿宋_GB2312" w:hAnsi="仿宋_GB2312" w:eastAsia="仿宋_GB2312"/>
          <w:b w:val="0"/>
          <w:sz w:val="32"/>
        </w:rPr>
        <w:t>无政府性基金财政拨款。</w:t>
      </w:r>
    </w:p>
    <w:p w14:paraId="765CAE29">
      <w:pPr>
        <w:spacing w:line="580" w:lineRule="exact"/>
        <w:ind w:firstLine="640"/>
        <w:jc w:val="both"/>
      </w:pPr>
      <w:r>
        <w:rPr>
          <w:rFonts w:ascii="仿宋_GB2312" w:hAnsi="仿宋_GB2312" w:eastAsia="仿宋_GB2312"/>
          <w:b w:val="0"/>
          <w:sz w:val="32"/>
        </w:rPr>
        <w:t>政府性基金预算财政拨款支出0.00万元。</w:t>
      </w:r>
    </w:p>
    <w:p w14:paraId="0AA7B06C">
      <w:pPr>
        <w:spacing w:line="580" w:lineRule="exact"/>
        <w:ind w:firstLine="640"/>
        <w:jc w:val="both"/>
      </w:pPr>
      <w:r>
        <w:rPr>
          <w:rFonts w:ascii="仿宋_GB2312" w:hAnsi="仿宋_GB2312" w:eastAsia="仿宋_GB2312"/>
          <w:b w:val="0"/>
          <w:sz w:val="32"/>
        </w:rPr>
        <w:t>1.城乡社区支出(类)国有土地使用权出让收入安排的支出(款)征地和拆迁补偿支出(项):支出决算数为0.00万元，比上年决算减少12.00万元，下降100.00%,主要原因是：本年减少补偿款。</w:t>
      </w:r>
    </w:p>
    <w:p w14:paraId="67874183">
      <w:pPr>
        <w:spacing w:line="640" w:lineRule="exact"/>
        <w:ind w:firstLine="640"/>
        <w:jc w:val="both"/>
        <w:outlineLvl w:val="2"/>
      </w:pPr>
      <w:r>
        <w:rPr>
          <w:rFonts w:ascii="黑体" w:hAnsi="黑体" w:eastAsia="黑体"/>
          <w:sz w:val="32"/>
        </w:rPr>
        <w:t>八、国有资本经营预算财政拨款收入支出决算情况说明</w:t>
      </w:r>
    </w:p>
    <w:p w14:paraId="154A5804">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51EEB01C">
      <w:pPr>
        <w:spacing w:line="640" w:lineRule="exact"/>
        <w:ind w:firstLine="640"/>
        <w:jc w:val="both"/>
        <w:outlineLvl w:val="2"/>
      </w:pPr>
      <w:r>
        <w:rPr>
          <w:rFonts w:ascii="黑体" w:hAnsi="黑体" w:eastAsia="黑体"/>
          <w:sz w:val="32"/>
        </w:rPr>
        <w:t>九、财政拨款“三公”经费支出决算情况说明</w:t>
      </w:r>
    </w:p>
    <w:p w14:paraId="29A18820">
      <w:pPr>
        <w:spacing w:line="580" w:lineRule="exact"/>
        <w:ind w:firstLine="640"/>
        <w:jc w:val="both"/>
      </w:pPr>
      <w:r>
        <w:rPr>
          <w:rFonts w:ascii="仿宋_GB2312" w:hAnsi="仿宋_GB2312" w:eastAsia="仿宋_GB2312"/>
          <w:b/>
          <w:sz w:val="32"/>
        </w:rPr>
        <w:t>2024年度财政拨款“三公”经费支出4.25万元，</w:t>
      </w:r>
      <w:r>
        <w:rPr>
          <w:rFonts w:ascii="仿宋_GB2312" w:hAnsi="仿宋_GB2312" w:eastAsia="仿宋_GB2312"/>
          <w:b w:val="0"/>
          <w:sz w:val="32"/>
        </w:rPr>
        <w:t>比上年减少0.04万元，下降0.93%，主要原因是：严格执行</w:t>
      </w:r>
      <w:r>
        <w:rPr>
          <w:rFonts w:hint="eastAsia" w:ascii="仿宋_GB2312" w:hAnsi="仿宋_GB2312" w:eastAsia="仿宋_GB2312"/>
          <w:b w:val="0"/>
          <w:sz w:val="32"/>
          <w:lang w:eastAsia="zh-CN"/>
        </w:rPr>
        <w:t>中央八项规定</w:t>
      </w:r>
      <w:r>
        <w:rPr>
          <w:rFonts w:ascii="仿宋_GB2312" w:hAnsi="仿宋_GB2312" w:eastAsia="仿宋_GB2312"/>
          <w:b w:val="0"/>
          <w:sz w:val="32"/>
        </w:rPr>
        <w:t>，厉行节约，减少公务用车运行维护费。其中：因公出国（境）费支出0.00万元，占0.00%，比上年增加0.00万元，增长0.00%，主要原因是：2023年与2024年均未安排因公出国（境）费支出。公务用车购置及运行维护费支出4.25万元，占100.00%，比上年减少0.04万元，下降0.93%，主要原因是：严格执行</w:t>
      </w:r>
      <w:r>
        <w:rPr>
          <w:rFonts w:hint="eastAsia" w:ascii="仿宋_GB2312" w:hAnsi="仿宋_GB2312" w:eastAsia="仿宋_GB2312"/>
          <w:b w:val="0"/>
          <w:sz w:val="32"/>
          <w:lang w:eastAsia="zh-CN"/>
        </w:rPr>
        <w:t>中央八项规定</w:t>
      </w:r>
      <w:r>
        <w:rPr>
          <w:rFonts w:ascii="仿宋_GB2312" w:hAnsi="仿宋_GB2312" w:eastAsia="仿宋_GB2312"/>
          <w:b w:val="0"/>
          <w:sz w:val="32"/>
        </w:rPr>
        <w:t>，厉行节约，减少公务用车运行维护费。公务接待费支出0.00万元，占0.00%，比上年增加0.00万元，增长0.00%，主要原因是：2023年与2024年均未安排公务接待费支出。</w:t>
      </w:r>
    </w:p>
    <w:p w14:paraId="1B11C57A">
      <w:pPr>
        <w:spacing w:line="580" w:lineRule="exact"/>
        <w:ind w:firstLine="640"/>
        <w:jc w:val="both"/>
      </w:pPr>
      <w:r>
        <w:rPr>
          <w:rFonts w:ascii="仿宋_GB2312" w:hAnsi="仿宋_GB2312" w:eastAsia="仿宋_GB2312"/>
          <w:b/>
          <w:sz w:val="32"/>
        </w:rPr>
        <w:t>具体情况如下：</w:t>
      </w:r>
    </w:p>
    <w:p w14:paraId="438EC9C6">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A9E462E">
      <w:pPr>
        <w:spacing w:line="580" w:lineRule="exact"/>
        <w:ind w:firstLine="640"/>
        <w:jc w:val="both"/>
      </w:pPr>
      <w:r>
        <w:rPr>
          <w:rFonts w:ascii="仿宋_GB2312" w:hAnsi="仿宋_GB2312" w:eastAsia="仿宋_GB2312"/>
          <w:b w:val="0"/>
          <w:sz w:val="32"/>
        </w:rPr>
        <w:t>公务用车购置及运行维护费4.25万元，其中：公务用车购置费0.00万元，公务用车运行维护费4.25万元。公务用车运行维护费开支内容包括车辆燃油费、维修费、保险费。公务用车购置数0辆，公务用车保有量3辆。国有资产占用情况中固定资产车辆3辆，与公务用车保有量差异原因是：本单位固定资产车辆与公务用车保有量一致无差异。</w:t>
      </w:r>
    </w:p>
    <w:p w14:paraId="3B62C48B">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42167892">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4.25万元，决算数4.25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4.25万元，决算数4.25万元，预决算差异率0.00%，主要原因是：严格按照预算执行，预决算无差异。公务接待费全年预算数0.00万元，决算数0.00万元，预决算差异率0.00%，主要原因是：本单位无公务接待费。</w:t>
      </w:r>
    </w:p>
    <w:p w14:paraId="7E944991">
      <w:pPr>
        <w:spacing w:line="640" w:lineRule="exact"/>
        <w:ind w:firstLine="640"/>
        <w:jc w:val="both"/>
        <w:outlineLvl w:val="2"/>
      </w:pPr>
      <w:r>
        <w:rPr>
          <w:rFonts w:ascii="黑体" w:hAnsi="黑体" w:eastAsia="黑体"/>
          <w:sz w:val="32"/>
        </w:rPr>
        <w:t>十、其他重要事项的情况说明</w:t>
      </w:r>
    </w:p>
    <w:p w14:paraId="5A60243E">
      <w:pPr>
        <w:spacing w:line="640" w:lineRule="exact"/>
        <w:ind w:firstLine="640"/>
        <w:jc w:val="both"/>
        <w:outlineLvl w:val="3"/>
      </w:pPr>
      <w:r>
        <w:rPr>
          <w:rFonts w:ascii="楷体_GB2312" w:hAnsi="楷体_GB2312" w:eastAsia="楷体_GB2312"/>
          <w:b/>
          <w:sz w:val="32"/>
        </w:rPr>
        <w:t>（一）机关运行经费及公用经费支出情况</w:t>
      </w:r>
    </w:p>
    <w:p w14:paraId="5101D25C">
      <w:pPr>
        <w:spacing w:line="580" w:lineRule="exact"/>
        <w:ind w:firstLine="640"/>
        <w:jc w:val="both"/>
      </w:pPr>
      <w:r>
        <w:rPr>
          <w:rFonts w:ascii="仿宋_GB2312" w:hAnsi="仿宋_GB2312" w:eastAsia="仿宋_GB2312"/>
          <w:b w:val="0"/>
          <w:sz w:val="32"/>
        </w:rPr>
        <w:t>2024年度叶城县铁提乡人民政府（行政单位和参照公务员法管理事业单位）机关运行经费支出56.54万元，比上年增加10.14万元，增长21.85%，主要原因是：本年增加办公费、水费、电费，导致</w:t>
      </w:r>
      <w:r>
        <w:rPr>
          <w:rFonts w:hint="eastAsia" w:ascii="仿宋_GB2312" w:hAnsi="仿宋_GB2312" w:eastAsia="仿宋_GB2312"/>
          <w:b w:val="0"/>
          <w:sz w:val="32"/>
          <w:lang w:val="en-US" w:eastAsia="zh-CN"/>
        </w:rPr>
        <w:t>运行</w:t>
      </w:r>
      <w:r>
        <w:rPr>
          <w:rFonts w:ascii="仿宋_GB2312" w:hAnsi="仿宋_GB2312" w:eastAsia="仿宋_GB2312"/>
          <w:b w:val="0"/>
          <w:sz w:val="32"/>
        </w:rPr>
        <w:t>经费增加。</w:t>
      </w:r>
    </w:p>
    <w:p w14:paraId="26393D85">
      <w:pPr>
        <w:spacing w:line="640" w:lineRule="exact"/>
        <w:ind w:firstLine="640"/>
        <w:jc w:val="both"/>
        <w:outlineLvl w:val="3"/>
      </w:pPr>
      <w:r>
        <w:rPr>
          <w:rFonts w:ascii="楷体_GB2312" w:hAnsi="楷体_GB2312" w:eastAsia="楷体_GB2312"/>
          <w:b/>
          <w:sz w:val="32"/>
        </w:rPr>
        <w:t>（二）政府采购情况</w:t>
      </w:r>
    </w:p>
    <w:p w14:paraId="070EA946">
      <w:pPr>
        <w:spacing w:line="580" w:lineRule="exact"/>
        <w:ind w:firstLine="640"/>
        <w:jc w:val="both"/>
      </w:pPr>
      <w:r>
        <w:rPr>
          <w:rFonts w:ascii="仿宋_GB2312" w:hAnsi="仿宋_GB2312" w:eastAsia="仿宋_GB2312"/>
          <w:b w:val="0"/>
          <w:sz w:val="32"/>
        </w:rPr>
        <w:t>2024年度政府采购支出总额322.44万元，其中：政府采购货物支出294.30万元、政府采购工程支出0.00万元、政府采购服务支出28.15万元。</w:t>
      </w:r>
    </w:p>
    <w:p w14:paraId="3C7F8A51">
      <w:pPr>
        <w:spacing w:line="580" w:lineRule="exact"/>
        <w:ind w:firstLine="640"/>
        <w:jc w:val="both"/>
      </w:pPr>
      <w:r>
        <w:rPr>
          <w:rFonts w:ascii="仿宋_GB2312" w:hAnsi="仿宋_GB2312" w:eastAsia="仿宋_GB2312"/>
          <w:b w:val="0"/>
          <w:sz w:val="32"/>
        </w:rPr>
        <w:t>授予中小企业合同金额299.31万元，占政府采购支出总额的92.83%，其中：授予小微企业合同金额291.89万元，占政府采购支出总额的90.53%。</w:t>
      </w:r>
    </w:p>
    <w:p w14:paraId="07664193">
      <w:pPr>
        <w:spacing w:line="640" w:lineRule="exact"/>
        <w:ind w:firstLine="640"/>
        <w:jc w:val="both"/>
        <w:outlineLvl w:val="3"/>
      </w:pPr>
      <w:r>
        <w:rPr>
          <w:rFonts w:ascii="楷体_GB2312" w:hAnsi="楷体_GB2312" w:eastAsia="楷体_GB2312"/>
          <w:b/>
          <w:sz w:val="32"/>
        </w:rPr>
        <w:t>（三）国有资产占用情况说明</w:t>
      </w:r>
    </w:p>
    <w:p w14:paraId="1912CD1B">
      <w:pPr>
        <w:spacing w:line="580" w:lineRule="exact"/>
        <w:ind w:firstLine="640"/>
        <w:jc w:val="both"/>
      </w:pPr>
      <w:r>
        <w:rPr>
          <w:rFonts w:ascii="仿宋_GB2312" w:hAnsi="仿宋_GB2312" w:eastAsia="仿宋_GB2312"/>
          <w:b w:val="0"/>
          <w:sz w:val="32"/>
        </w:rPr>
        <w:t>截至2024年12月31日，房屋4,896.24平方米，价值352.51万元。车辆3辆，价值25.16万元，其中：副部（省）级及以上领导用车0辆、主要负责人用车0辆、机要通信用车0辆、应急保障用车0辆、执法执勤用车0辆、特种专业技术用车0辆、离退休干部服务用车0辆、其他用车3辆，其他用车主要是：一般公务用车。单价100万元（含）以上设备（不含车辆）0台（套）。</w:t>
      </w:r>
    </w:p>
    <w:p w14:paraId="02A555AA">
      <w:pPr>
        <w:spacing w:line="640" w:lineRule="exact"/>
        <w:ind w:firstLine="640"/>
        <w:jc w:val="both"/>
        <w:outlineLvl w:val="2"/>
      </w:pPr>
      <w:r>
        <w:rPr>
          <w:rFonts w:ascii="黑体" w:hAnsi="黑体" w:eastAsia="黑体"/>
          <w:sz w:val="32"/>
        </w:rPr>
        <w:t>十一、预算绩效的情况说明</w:t>
      </w:r>
    </w:p>
    <w:p w14:paraId="5C8E9ADF">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6,572.94万元，实际执行总额6,572.94万元；预算绩效评价项目2个，全年预算数1,083.74万元，全年执行数696.84万元。预算绩效管理取得的成效：开展绩效评价，提高了绩效工作管理水平，科学制定目标，促进了绩效目标顺利实现，增强了项目资金使用的绩效意识，以便项目实施完成，进行问效评价，对下一年此类项目预算编制提供参考。发现的问题及原因：绩效管理专业人员匮乏，规范管理有盲点。预算绩效管理工作的覆盖面广、专业性强，不论预算单位在开展日常管理，还是财政部门组织实施绩效评价，都需要具备一定专业素养和实战经验的人力资源。下一步改进措施：高度重视，加强领导，精心组织，逐步推开，实现编制预算绩效目标全覆盖。积极开展绩效</w:t>
      </w:r>
      <w:r>
        <w:rPr>
          <w:rFonts w:hint="eastAsia" w:ascii="仿宋_GB2312" w:hAnsi="仿宋_GB2312" w:eastAsia="仿宋_GB2312"/>
          <w:b w:val="0"/>
          <w:sz w:val="32"/>
          <w:lang w:val="en-US" w:eastAsia="zh-CN"/>
        </w:rPr>
        <w:t>追踪监督</w:t>
      </w:r>
      <w:r>
        <w:rPr>
          <w:rFonts w:ascii="仿宋_GB2312" w:hAnsi="仿宋_GB2312" w:eastAsia="仿宋_GB2312"/>
          <w:b w:val="0"/>
          <w:sz w:val="32"/>
        </w:rPr>
        <w:t>，及时纠偏，确保绩效目标实现；财政管理部门对各部门绩效自评工作进行指导、监督、检查，积极运用评价结果，提高资金使用效率。具体附整体支出绩效自评表，项目支出绩效自评表和评价报告。</w:t>
      </w:r>
    </w:p>
    <w:p w14:paraId="333D4995">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9D3A640">
        <w:tblPrEx>
          <w:tblCellMar>
            <w:top w:w="0" w:type="dxa"/>
            <w:left w:w="108" w:type="dxa"/>
            <w:bottom w:w="0" w:type="dxa"/>
            <w:right w:w="108" w:type="dxa"/>
          </w:tblCellMar>
        </w:tblPrEx>
        <w:tc>
          <w:tcPr>
            <w:tcW w:w="8847" w:type="dxa"/>
            <w:gridSpan w:val="9"/>
            <w:vAlign w:val="center"/>
          </w:tcPr>
          <w:p w14:paraId="3AF69855">
            <w:pPr>
              <w:jc w:val="center"/>
            </w:pPr>
            <w:r>
              <w:rPr>
                <w:rFonts w:ascii="宋体" w:hAnsi="宋体" w:eastAsia="宋体"/>
                <w:sz w:val="24"/>
              </w:rPr>
              <w:t>单位整体支出绩效自评表</w:t>
            </w:r>
          </w:p>
        </w:tc>
      </w:tr>
      <w:tr w14:paraId="5A57CBBA">
        <w:tblPrEx>
          <w:tblCellMar>
            <w:top w:w="0" w:type="dxa"/>
            <w:left w:w="108" w:type="dxa"/>
            <w:bottom w:w="0" w:type="dxa"/>
            <w:right w:w="108" w:type="dxa"/>
          </w:tblCellMar>
        </w:tblPrEx>
        <w:tc>
          <w:tcPr>
            <w:tcW w:w="8847" w:type="dxa"/>
            <w:gridSpan w:val="9"/>
            <w:vAlign w:val="center"/>
          </w:tcPr>
          <w:p w14:paraId="5EFE1494">
            <w:pPr>
              <w:jc w:val="center"/>
            </w:pPr>
            <w:r>
              <w:rPr>
                <w:rFonts w:ascii="宋体" w:hAnsi="宋体" w:eastAsia="宋体"/>
                <w:sz w:val="24"/>
              </w:rPr>
              <w:t>（2024年度）</w:t>
            </w:r>
          </w:p>
        </w:tc>
      </w:tr>
      <w:tr w14:paraId="27F0A7B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FEB33B">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2B06D01">
            <w:pPr>
              <w:jc w:val="center"/>
            </w:pPr>
            <w:r>
              <w:rPr>
                <w:rFonts w:ascii="宋体" w:hAnsi="宋体" w:eastAsia="宋体"/>
                <w:sz w:val="16"/>
              </w:rPr>
              <w:t>叶城县铁提乡人民政府</w:t>
            </w:r>
          </w:p>
        </w:tc>
      </w:tr>
      <w:tr w14:paraId="40FF792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92F63B">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C7DDAC">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023670">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09DEE2">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C3DC0B">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9497FD">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96C484">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8BF781">
            <w:pPr>
              <w:jc w:val="center"/>
            </w:pPr>
            <w:r>
              <w:rPr>
                <w:rFonts w:ascii="宋体" w:hAnsi="宋体" w:eastAsia="宋体"/>
                <w:sz w:val="16"/>
              </w:rPr>
              <w:t>得分</w:t>
            </w:r>
          </w:p>
        </w:tc>
      </w:tr>
      <w:tr w14:paraId="08F1D89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3B426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591E6C">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B2ED1D">
            <w:pPr>
              <w:jc w:val="center"/>
            </w:pPr>
            <w:r>
              <w:rPr>
                <w:rFonts w:ascii="宋体" w:hAnsi="宋体" w:eastAsia="宋体"/>
                <w:sz w:val="16"/>
              </w:rPr>
              <w:t>2,366.51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539130">
            <w:pPr>
              <w:jc w:val="center"/>
            </w:pPr>
            <w:r>
              <w:rPr>
                <w:rFonts w:ascii="宋体" w:hAnsi="宋体" w:eastAsia="宋体"/>
                <w:sz w:val="16"/>
              </w:rPr>
              <w:t>6,572.94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589D03">
            <w:pPr>
              <w:jc w:val="center"/>
            </w:pPr>
            <w:r>
              <w:rPr>
                <w:rFonts w:ascii="宋体" w:hAnsi="宋体" w:eastAsia="宋体"/>
                <w:sz w:val="16"/>
              </w:rPr>
              <w:t>6,572.94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5BB07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74F679">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479578">
            <w:pPr>
              <w:jc w:val="center"/>
            </w:pPr>
            <w:r>
              <w:rPr>
                <w:rFonts w:ascii="宋体" w:hAnsi="宋体" w:eastAsia="宋体"/>
                <w:sz w:val="16"/>
              </w:rPr>
              <w:t>10</w:t>
            </w:r>
          </w:p>
        </w:tc>
      </w:tr>
      <w:tr w14:paraId="74D7FB9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B0FF5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E9640D">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4CCAD1">
            <w:pPr>
              <w:jc w:val="center"/>
            </w:pPr>
            <w:r>
              <w:rPr>
                <w:rFonts w:ascii="宋体" w:hAnsi="宋体" w:eastAsia="宋体"/>
                <w:sz w:val="16"/>
              </w:rPr>
              <w:t>65.40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A56823">
            <w:pPr>
              <w:jc w:val="center"/>
            </w:pPr>
            <w:r>
              <w:rPr>
                <w:rFonts w:ascii="宋体" w:hAnsi="宋体" w:eastAsia="宋体"/>
                <w:sz w:val="16"/>
              </w:rPr>
              <w:t>3,974.82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572883">
            <w:pPr>
              <w:jc w:val="center"/>
            </w:pPr>
            <w:r>
              <w:rPr>
                <w:rFonts w:ascii="宋体" w:hAnsi="宋体" w:eastAsia="宋体"/>
                <w:sz w:val="16"/>
              </w:rPr>
              <w:t>3,974.82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F7BD3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E0A865">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12B7E0">
            <w:pPr>
              <w:jc w:val="center"/>
            </w:pPr>
            <w:r>
              <w:rPr>
                <w:rFonts w:ascii="宋体" w:hAnsi="宋体" w:eastAsia="宋体"/>
                <w:sz w:val="16"/>
              </w:rPr>
              <w:t>—</w:t>
            </w:r>
          </w:p>
        </w:tc>
      </w:tr>
      <w:tr w14:paraId="7AEC109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1B5B5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893738">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1D0212">
            <w:pPr>
              <w:jc w:val="center"/>
            </w:pPr>
            <w:r>
              <w:rPr>
                <w:rFonts w:ascii="宋体" w:hAnsi="宋体" w:eastAsia="宋体"/>
                <w:sz w:val="16"/>
              </w:rPr>
              <w:t>2,301.11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B29883">
            <w:pPr>
              <w:jc w:val="center"/>
            </w:pPr>
            <w:r>
              <w:rPr>
                <w:rFonts w:ascii="宋体" w:hAnsi="宋体" w:eastAsia="宋体"/>
                <w:sz w:val="16"/>
              </w:rPr>
              <w:t>2,264.25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A56C0C">
            <w:pPr>
              <w:jc w:val="center"/>
            </w:pPr>
            <w:r>
              <w:rPr>
                <w:rFonts w:ascii="宋体" w:hAnsi="宋体" w:eastAsia="宋体"/>
                <w:sz w:val="16"/>
              </w:rPr>
              <w:t>2,264.25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61CE8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287CDD">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A88E6B">
            <w:pPr>
              <w:jc w:val="center"/>
            </w:pPr>
            <w:r>
              <w:rPr>
                <w:rFonts w:ascii="宋体" w:hAnsi="宋体" w:eastAsia="宋体"/>
                <w:sz w:val="16"/>
              </w:rPr>
              <w:t>—</w:t>
            </w:r>
          </w:p>
        </w:tc>
      </w:tr>
      <w:tr w14:paraId="509D690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E8155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E96097">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F3A5C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7B6967">
            <w:pPr>
              <w:jc w:val="center"/>
            </w:pPr>
            <w:r>
              <w:rPr>
                <w:rFonts w:ascii="宋体" w:hAnsi="宋体" w:eastAsia="宋体"/>
                <w:sz w:val="16"/>
              </w:rPr>
              <w:t>333.87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C62F1F">
            <w:pPr>
              <w:jc w:val="center"/>
            </w:pPr>
            <w:r>
              <w:rPr>
                <w:rFonts w:ascii="宋体" w:hAnsi="宋体" w:eastAsia="宋体"/>
                <w:sz w:val="16"/>
              </w:rPr>
              <w:t>333.87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89ACF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892462">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068699">
            <w:pPr>
              <w:jc w:val="center"/>
            </w:pPr>
            <w:r>
              <w:rPr>
                <w:rFonts w:ascii="宋体" w:hAnsi="宋体" w:eastAsia="宋体"/>
                <w:sz w:val="16"/>
              </w:rPr>
              <w:t>—</w:t>
            </w:r>
          </w:p>
        </w:tc>
      </w:tr>
      <w:tr w14:paraId="7A7AA27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FA248F">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5842507">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6B07462">
            <w:pPr>
              <w:jc w:val="center"/>
            </w:pPr>
            <w:r>
              <w:rPr>
                <w:rFonts w:ascii="宋体" w:hAnsi="宋体" w:eastAsia="宋体"/>
                <w:sz w:val="16"/>
              </w:rPr>
              <w:t>实际完成情况</w:t>
            </w:r>
          </w:p>
        </w:tc>
      </w:tr>
      <w:tr w14:paraId="36427B9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FB3283"/>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10E8AE2">
            <w:pPr>
              <w:jc w:val="both"/>
            </w:pPr>
            <w:r>
              <w:rPr>
                <w:rFonts w:ascii="宋体" w:hAnsi="宋体" w:eastAsia="宋体"/>
                <w:sz w:val="16"/>
              </w:rPr>
              <w:t>负责全乡党政行政管理事务，贯彻落实党的二十大精神，以</w:t>
            </w:r>
            <w:r>
              <w:rPr>
                <w:rFonts w:hint="eastAsia" w:ascii="宋体" w:hAnsi="宋体"/>
                <w:sz w:val="16"/>
                <w:lang w:eastAsia="zh-CN"/>
              </w:rPr>
              <w:t>习近平总书记重要讲话精神</w:t>
            </w:r>
            <w:r>
              <w:rPr>
                <w:rFonts w:ascii="宋体" w:hAnsi="宋体" w:eastAsia="宋体"/>
                <w:sz w:val="16"/>
              </w:rPr>
              <w:t>、自治区九届全委会议精神为指导，坚决贯彻执行党中央、国务院、自治区、地区及县委、县人民政府的有关方面政策指示，把党的各项优惠政策落实到实处，负责全乡经济社会发展、社会事务管理、安全稳定、基层组织建设等全面工作。以全面建设社会主义新农村为根本出发点，不断深化美丽乡村建设，乡村振兴为总目标，不断铸牢全乡经济社会发展基础，为全乡各族群众提供社会服务。</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7650C87">
            <w:pPr>
              <w:jc w:val="both"/>
            </w:pPr>
            <w:r>
              <w:rPr>
                <w:rFonts w:ascii="宋体" w:hAnsi="宋体" w:eastAsia="宋体"/>
                <w:sz w:val="16"/>
              </w:rPr>
              <w:t>2024年度，铁提乡积极完成各个项目绩效，完成率100%。切实贯彻落实党的二十大精神，以</w:t>
            </w:r>
            <w:r>
              <w:rPr>
                <w:rFonts w:hint="eastAsia" w:ascii="宋体" w:hAnsi="宋体"/>
                <w:sz w:val="16"/>
                <w:lang w:eastAsia="zh-CN"/>
              </w:rPr>
              <w:t>习近平总书记重要讲话精神</w:t>
            </w:r>
            <w:r>
              <w:rPr>
                <w:rFonts w:ascii="宋体" w:hAnsi="宋体" w:eastAsia="宋体"/>
                <w:sz w:val="16"/>
              </w:rPr>
              <w:t>、自治区九届全委会议精神为指导，坚决贯彻执行党中央、国务院、自治区、地区及县委、县人民政府的有关方面政策指示，把党的各项优惠政策落实到实处，负责全乡经济社会发展、种植小麦面积15400亩，种植正播玉米6300亩，种植经济作物面积2300亩，社会事务管理、安全稳定、基层组织建设等全面工作。以全面建设社会主义新农村为根本出发点，不断深化美丽乡村建设，乡村振兴为总目标，不断铸牢全乡经济社会发展基础，为全乡各族群众提供社会服务。</w:t>
            </w:r>
          </w:p>
        </w:tc>
      </w:tr>
      <w:tr w14:paraId="337F752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85C01E">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536749">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C4899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4D6E6A">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4E6119">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20E097">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361E79">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B77287">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45B2EF">
            <w:pPr>
              <w:jc w:val="center"/>
            </w:pPr>
            <w:r>
              <w:rPr>
                <w:rFonts w:ascii="宋体" w:hAnsi="宋体" w:eastAsia="宋体"/>
                <w:sz w:val="16"/>
              </w:rPr>
              <w:t>得分</w:t>
            </w:r>
          </w:p>
        </w:tc>
      </w:tr>
      <w:tr w14:paraId="63EA458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3900F9">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8E3761">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767E94">
            <w:pPr>
              <w:jc w:val="center"/>
            </w:pPr>
            <w:r>
              <w:rPr>
                <w:rFonts w:ascii="宋体" w:hAnsi="宋体" w:eastAsia="宋体"/>
                <w:sz w:val="16"/>
              </w:rPr>
              <w:t>保障幸福大院运转数量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1AF65B">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2CA881">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564502">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7946B8">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0C558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78E9A7">
            <w:pPr>
              <w:jc w:val="center"/>
            </w:pPr>
            <w:r>
              <w:rPr>
                <w:rFonts w:ascii="宋体" w:hAnsi="宋体" w:eastAsia="宋体"/>
                <w:sz w:val="16"/>
              </w:rPr>
              <w:t>15</w:t>
            </w:r>
          </w:p>
        </w:tc>
      </w:tr>
      <w:tr w14:paraId="4087876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33D2D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62E7F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1AB7F7">
            <w:pPr>
              <w:jc w:val="center"/>
            </w:pPr>
            <w:r>
              <w:rPr>
                <w:rFonts w:ascii="宋体" w:hAnsi="宋体" w:eastAsia="宋体"/>
                <w:sz w:val="16"/>
              </w:rPr>
              <w:t>种植小麦面积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DF4848">
            <w:pPr>
              <w:jc w:val="center"/>
            </w:pPr>
            <w:r>
              <w:rPr>
                <w:rFonts w:ascii="宋体" w:hAnsi="宋体" w:eastAsia="宋体"/>
                <w:sz w:val="16"/>
              </w:rPr>
              <w:t>=15400亩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920589">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8477BC">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0D472C">
            <w:pPr>
              <w:jc w:val="center"/>
            </w:pPr>
            <w:r>
              <w:rPr>
                <w:rFonts w:ascii="宋体" w:hAnsi="宋体" w:eastAsia="宋体"/>
                <w:sz w:val="16"/>
              </w:rPr>
              <w:t>=15400亩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4ED04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05B0F2">
            <w:pPr>
              <w:jc w:val="center"/>
            </w:pPr>
            <w:r>
              <w:rPr>
                <w:rFonts w:ascii="宋体" w:hAnsi="宋体" w:eastAsia="宋体"/>
                <w:sz w:val="16"/>
              </w:rPr>
              <w:t>15</w:t>
            </w:r>
          </w:p>
        </w:tc>
      </w:tr>
      <w:tr w14:paraId="22EF11E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C1D48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48942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F1613F">
            <w:pPr>
              <w:jc w:val="center"/>
            </w:pPr>
            <w:r>
              <w:rPr>
                <w:rFonts w:ascii="宋体" w:hAnsi="宋体" w:eastAsia="宋体"/>
                <w:sz w:val="16"/>
              </w:rPr>
              <w:t>种植正播玉米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E40D2E">
            <w:pPr>
              <w:jc w:val="center"/>
            </w:pPr>
            <w:r>
              <w:rPr>
                <w:rFonts w:ascii="宋体" w:hAnsi="宋体" w:eastAsia="宋体"/>
                <w:sz w:val="16"/>
              </w:rPr>
              <w:t>=6300亩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EA1902">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2803B9">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8B1EA0">
            <w:pPr>
              <w:jc w:val="center"/>
            </w:pPr>
            <w:r>
              <w:rPr>
                <w:rFonts w:ascii="宋体" w:hAnsi="宋体" w:eastAsia="宋体"/>
                <w:sz w:val="16"/>
              </w:rPr>
              <w:t>=6300亩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79B23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231157">
            <w:pPr>
              <w:jc w:val="center"/>
            </w:pPr>
            <w:r>
              <w:rPr>
                <w:rFonts w:ascii="宋体" w:hAnsi="宋体" w:eastAsia="宋体"/>
                <w:sz w:val="16"/>
              </w:rPr>
              <w:t>15</w:t>
            </w:r>
          </w:p>
        </w:tc>
      </w:tr>
      <w:tr w14:paraId="34E7EEA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0D2A3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A2E4C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0C8F02">
            <w:pPr>
              <w:jc w:val="center"/>
            </w:pPr>
            <w:r>
              <w:rPr>
                <w:rFonts w:ascii="宋体" w:hAnsi="宋体" w:eastAsia="宋体"/>
                <w:sz w:val="16"/>
              </w:rPr>
              <w:t>种植经济作物面积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C15A3C">
            <w:pPr>
              <w:jc w:val="center"/>
            </w:pPr>
            <w:r>
              <w:rPr>
                <w:rFonts w:ascii="宋体" w:hAnsi="宋体" w:eastAsia="宋体"/>
                <w:sz w:val="16"/>
              </w:rPr>
              <w:t>=2300亩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589D65">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560662">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B55E2E">
            <w:pPr>
              <w:jc w:val="center"/>
            </w:pPr>
            <w:r>
              <w:rPr>
                <w:rFonts w:ascii="宋体" w:hAnsi="宋体" w:eastAsia="宋体"/>
                <w:sz w:val="16"/>
              </w:rPr>
              <w:t>=2300亩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1629D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9379E1">
            <w:pPr>
              <w:jc w:val="center"/>
            </w:pPr>
            <w:r>
              <w:rPr>
                <w:rFonts w:ascii="宋体" w:hAnsi="宋体" w:eastAsia="宋体"/>
                <w:sz w:val="16"/>
              </w:rPr>
              <w:t>15</w:t>
            </w:r>
          </w:p>
        </w:tc>
      </w:tr>
      <w:tr w14:paraId="2EC9527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0E5E4E">
            <w:pPr>
              <w:jc w:val="center"/>
            </w:pPr>
            <w:r>
              <w:rPr>
                <w:rFonts w:ascii="宋体" w:hAnsi="宋体" w:eastAsia="宋体"/>
                <w:sz w:val="16"/>
              </w:rPr>
              <w:t>社会效应</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2342DB">
            <w:pPr>
              <w:jc w:val="center"/>
            </w:pPr>
            <w:r>
              <w:rPr>
                <w:rFonts w:ascii="宋体" w:hAnsi="宋体" w:eastAsia="宋体"/>
                <w:sz w:val="16"/>
              </w:rPr>
              <w:t>社会效益</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AC6A25">
            <w:pPr>
              <w:jc w:val="center"/>
            </w:pPr>
            <w:r>
              <w:rPr>
                <w:rFonts w:ascii="宋体" w:hAnsi="宋体" w:eastAsia="宋体"/>
                <w:sz w:val="16"/>
              </w:rPr>
              <w:t>政策宣讲覆盖率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1B3F5A">
            <w:pPr>
              <w:jc w:val="center"/>
            </w:pPr>
            <w:r>
              <w:rPr>
                <w:rFonts w:ascii="宋体" w:hAnsi="宋体" w:eastAsia="宋体"/>
                <w:sz w:val="16"/>
              </w:rPr>
              <w:t>&gt;=100%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C06211">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203DB1">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77044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C3DF6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650560">
            <w:pPr>
              <w:jc w:val="center"/>
            </w:pPr>
            <w:r>
              <w:rPr>
                <w:rFonts w:ascii="宋体" w:hAnsi="宋体" w:eastAsia="宋体"/>
                <w:sz w:val="16"/>
              </w:rPr>
              <w:t>15</w:t>
            </w:r>
          </w:p>
        </w:tc>
      </w:tr>
      <w:tr w14:paraId="2C3CF53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BB0FE3">
            <w:pPr>
              <w:jc w:val="center"/>
            </w:pPr>
            <w:r>
              <w:rPr>
                <w:rFonts w:ascii="宋体" w:hAnsi="宋体" w:eastAsia="宋体"/>
                <w:sz w:val="16"/>
              </w:rPr>
              <w:t>可持续发展能力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201750">
            <w:pPr>
              <w:jc w:val="center"/>
            </w:pPr>
            <w:r>
              <w:rPr>
                <w:rFonts w:ascii="宋体" w:hAnsi="宋体" w:eastAsia="宋体"/>
                <w:sz w:val="16"/>
              </w:rPr>
              <w:t>生态效益</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9D04E2">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B413E0">
            <w:pPr>
              <w:jc w:val="center"/>
            </w:pPr>
            <w:r>
              <w:rPr>
                <w:rFonts w:ascii="宋体" w:hAnsi="宋体" w:eastAsia="宋体"/>
                <w:sz w:val="16"/>
              </w:rPr>
              <w:t>&gt;=100%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0C48C8">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961037">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12B10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0629F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57FA8B">
            <w:pPr>
              <w:jc w:val="center"/>
            </w:pPr>
            <w:r>
              <w:rPr>
                <w:rFonts w:ascii="宋体" w:hAnsi="宋体" w:eastAsia="宋体"/>
                <w:sz w:val="16"/>
              </w:rPr>
              <w:t>15</w:t>
            </w:r>
          </w:p>
        </w:tc>
      </w:tr>
    </w:tbl>
    <w:p w14:paraId="5414D03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96"/>
        <w:gridCol w:w="632"/>
        <w:gridCol w:w="632"/>
        <w:gridCol w:w="632"/>
      </w:tblGrid>
      <w:tr w14:paraId="4B4F5E50">
        <w:tblPrEx>
          <w:tblCellMar>
            <w:top w:w="0" w:type="dxa"/>
            <w:left w:w="108" w:type="dxa"/>
            <w:bottom w:w="0" w:type="dxa"/>
            <w:right w:w="108" w:type="dxa"/>
          </w:tblCellMar>
        </w:tblPrEx>
        <w:tc>
          <w:tcPr>
            <w:tcW w:w="8848" w:type="dxa"/>
            <w:gridSpan w:val="14"/>
            <w:vAlign w:val="center"/>
          </w:tcPr>
          <w:p w14:paraId="56896742">
            <w:pPr>
              <w:jc w:val="center"/>
            </w:pPr>
            <w:r>
              <w:rPr>
                <w:rFonts w:ascii="宋体" w:hAnsi="宋体" w:eastAsia="宋体"/>
                <w:sz w:val="24"/>
              </w:rPr>
              <w:t>项目支出绩效自评表</w:t>
            </w:r>
          </w:p>
        </w:tc>
      </w:tr>
      <w:tr w14:paraId="3F0FA798">
        <w:tblPrEx>
          <w:tblCellMar>
            <w:top w:w="0" w:type="dxa"/>
            <w:left w:w="108" w:type="dxa"/>
            <w:bottom w:w="0" w:type="dxa"/>
            <w:right w:w="108" w:type="dxa"/>
          </w:tblCellMar>
        </w:tblPrEx>
        <w:tc>
          <w:tcPr>
            <w:tcW w:w="8848" w:type="dxa"/>
            <w:gridSpan w:val="14"/>
            <w:vAlign w:val="center"/>
          </w:tcPr>
          <w:p w14:paraId="51E13AFA">
            <w:pPr>
              <w:jc w:val="center"/>
            </w:pPr>
            <w:r>
              <w:rPr>
                <w:rFonts w:ascii="宋体" w:hAnsi="宋体" w:eastAsia="宋体"/>
                <w:sz w:val="24"/>
              </w:rPr>
              <w:t>(2024年度)</w:t>
            </w:r>
          </w:p>
        </w:tc>
      </w:tr>
      <w:tr w14:paraId="346FD1B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464D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434954B">
            <w:pPr>
              <w:jc w:val="center"/>
            </w:pPr>
            <w:r>
              <w:rPr>
                <w:rFonts w:ascii="宋体" w:hAnsi="宋体" w:eastAsia="宋体"/>
                <w:sz w:val="16"/>
              </w:rPr>
              <w:t>叶城县2024年铁提乡煤改电入户工程项目</w:t>
            </w:r>
          </w:p>
        </w:tc>
      </w:tr>
      <w:tr w14:paraId="60F0DA6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5C4E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C44FE5">
            <w:pPr>
              <w:jc w:val="center"/>
            </w:pPr>
            <w:r>
              <w:rPr>
                <w:rFonts w:ascii="宋体" w:hAnsi="宋体" w:eastAsia="宋体"/>
                <w:sz w:val="16"/>
              </w:rPr>
              <w:t>叶城县铁提乡人民政府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73B8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5415A2B">
            <w:pPr>
              <w:jc w:val="center"/>
            </w:pPr>
            <w:r>
              <w:rPr>
                <w:rFonts w:ascii="宋体" w:hAnsi="宋体" w:eastAsia="宋体"/>
                <w:sz w:val="16"/>
              </w:rPr>
              <w:t>叶城县铁提乡人民政府</w:t>
            </w:r>
          </w:p>
        </w:tc>
      </w:tr>
      <w:tr w14:paraId="1A9453A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99BC5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55AD8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0CE25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6E8DB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06C16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9A3E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098EF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F079E">
            <w:pPr>
              <w:jc w:val="center"/>
            </w:pPr>
            <w:r>
              <w:rPr>
                <w:rFonts w:ascii="宋体" w:hAnsi="宋体" w:eastAsia="宋体"/>
                <w:sz w:val="16"/>
              </w:rPr>
              <w:t>得分</w:t>
            </w:r>
          </w:p>
        </w:tc>
      </w:tr>
      <w:tr w14:paraId="026BB5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36698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C28DC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79F079">
            <w:pPr>
              <w:jc w:val="center"/>
            </w:pPr>
            <w:r>
              <w:rPr>
                <w:rFonts w:ascii="宋体" w:hAnsi="宋体" w:eastAsia="宋体"/>
                <w:sz w:val="16"/>
              </w:rPr>
              <w:t>1,038.24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ECBC3F">
            <w:pPr>
              <w:jc w:val="center"/>
            </w:pPr>
            <w:r>
              <w:rPr>
                <w:rFonts w:ascii="宋体" w:hAnsi="宋体" w:eastAsia="宋体"/>
                <w:sz w:val="16"/>
              </w:rPr>
              <w:t>1,038.24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17C6A1">
            <w:pPr>
              <w:jc w:val="center"/>
            </w:pPr>
            <w:r>
              <w:rPr>
                <w:rFonts w:ascii="宋体" w:hAnsi="宋体" w:eastAsia="宋体"/>
                <w:sz w:val="16"/>
              </w:rPr>
              <w:t>652.08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552FC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9A5CF0">
            <w:pPr>
              <w:jc w:val="center"/>
            </w:pPr>
            <w:r>
              <w:rPr>
                <w:rFonts w:ascii="宋体" w:hAnsi="宋体" w:eastAsia="宋体"/>
                <w:sz w:val="16"/>
              </w:rPr>
              <w:t>62.8%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B638C">
            <w:pPr>
              <w:jc w:val="center"/>
            </w:pPr>
            <w:r>
              <w:rPr>
                <w:rFonts w:ascii="宋体" w:hAnsi="宋体" w:eastAsia="宋体"/>
                <w:sz w:val="16"/>
              </w:rPr>
              <w:t>0.70分</w:t>
            </w:r>
          </w:p>
        </w:tc>
      </w:tr>
      <w:tr w14:paraId="1CCA10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CA58C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E124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D40BE">
            <w:pPr>
              <w:jc w:val="center"/>
            </w:pPr>
            <w:r>
              <w:rPr>
                <w:rFonts w:ascii="宋体" w:hAnsi="宋体" w:eastAsia="宋体"/>
                <w:sz w:val="16"/>
              </w:rPr>
              <w:t>778.68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BC254B">
            <w:pPr>
              <w:jc w:val="center"/>
            </w:pPr>
            <w:r>
              <w:rPr>
                <w:rFonts w:ascii="宋体" w:hAnsi="宋体" w:eastAsia="宋体"/>
                <w:sz w:val="16"/>
              </w:rPr>
              <w:t>778.68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AB1C5">
            <w:pPr>
              <w:jc w:val="center"/>
            </w:pPr>
            <w:r>
              <w:rPr>
                <w:rFonts w:ascii="宋体" w:hAnsi="宋体" w:eastAsia="宋体"/>
                <w:sz w:val="16"/>
              </w:rPr>
              <w:t>652.08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AAD8D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081B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1BB56">
            <w:pPr>
              <w:jc w:val="center"/>
            </w:pPr>
            <w:r>
              <w:rPr>
                <w:rFonts w:ascii="宋体" w:hAnsi="宋体" w:eastAsia="宋体"/>
                <w:sz w:val="16"/>
              </w:rPr>
              <w:t>—</w:t>
            </w:r>
          </w:p>
        </w:tc>
      </w:tr>
      <w:tr w14:paraId="51D639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69CDA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C12C2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2E70F8">
            <w:pPr>
              <w:jc w:val="center"/>
            </w:pPr>
            <w:r>
              <w:rPr>
                <w:rFonts w:ascii="宋体" w:hAnsi="宋体" w:eastAsia="宋体"/>
                <w:sz w:val="16"/>
              </w:rPr>
              <w:t>259.56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07580F">
            <w:pPr>
              <w:jc w:val="center"/>
            </w:pPr>
            <w:r>
              <w:rPr>
                <w:rFonts w:ascii="宋体" w:hAnsi="宋体" w:eastAsia="宋体"/>
                <w:sz w:val="16"/>
              </w:rPr>
              <w:t>259.56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C73BB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4CA9E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0732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72C68">
            <w:pPr>
              <w:jc w:val="center"/>
            </w:pPr>
            <w:r>
              <w:rPr>
                <w:rFonts w:ascii="宋体" w:hAnsi="宋体" w:eastAsia="宋体"/>
                <w:sz w:val="16"/>
              </w:rPr>
              <w:t>—</w:t>
            </w:r>
          </w:p>
        </w:tc>
      </w:tr>
      <w:tr w14:paraId="57FB9DB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A1385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2AECD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5F06960">
            <w:pPr>
              <w:jc w:val="center"/>
            </w:pPr>
            <w:r>
              <w:rPr>
                <w:rFonts w:ascii="宋体" w:hAnsi="宋体" w:eastAsia="宋体"/>
                <w:sz w:val="16"/>
              </w:rPr>
              <w:t>实际完成情况</w:t>
            </w:r>
          </w:p>
        </w:tc>
      </w:tr>
      <w:tr w14:paraId="7558AD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D9D0D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4FCEA2">
            <w:pPr>
              <w:jc w:val="both"/>
            </w:pPr>
            <w:r>
              <w:rPr>
                <w:rFonts w:ascii="宋体" w:hAnsi="宋体" w:eastAsia="宋体"/>
                <w:sz w:val="16"/>
              </w:rPr>
              <w:t>总投资1038.24万元，其中：中央财政补贴389.34万元（占投资37.5%），自治区财政补贴389.34万元（占投资的37.5%），农户自筹259.56万元（占投资的25%），对铁提乡、依提木孔镇、河园镇2884户农户进行煤改电改造，改善农村居民生活环境和取暖条件，不断提升各族群众幸福指数，为叶城县铁提乡、依提木孔镇、河园镇经济高质量发展、乡村振兴作出积极贡献。</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DD6A083">
            <w:pPr>
              <w:jc w:val="both"/>
            </w:pPr>
            <w:r>
              <w:rPr>
                <w:rFonts w:ascii="宋体" w:hAnsi="宋体" w:eastAsia="宋体"/>
                <w:sz w:val="16"/>
              </w:rPr>
              <w:t>总投资1038.24万元，</w:t>
            </w:r>
            <w:r>
              <w:rPr>
                <w:rFonts w:hint="eastAsia" w:ascii="宋体" w:hAnsi="宋体"/>
                <w:sz w:val="16"/>
                <w:lang w:eastAsia="zh-CN"/>
              </w:rPr>
              <w:t>截至2024</w:t>
            </w:r>
            <w:r>
              <w:rPr>
                <w:rFonts w:ascii="宋体" w:hAnsi="宋体" w:eastAsia="宋体"/>
                <w:sz w:val="16"/>
              </w:rPr>
              <w:t>年12月31日，项目实际支出652.08万元，对铁提乡、依提木孔镇、河园镇2884户农户进行煤改电改造，改善农村居民生活环境和取暖条件，不断提升各族群众幸福指数，为叶城县铁提乡、依提木孔镇、河园镇经济高质量发展、乡村振兴作出积极贡献，项目有待验收。</w:t>
            </w:r>
          </w:p>
        </w:tc>
      </w:tr>
      <w:tr w14:paraId="17B7C2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B2664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867F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AE4E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C50A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28F1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237C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D302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8A11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39D0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D399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9F68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F4D4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7088F0">
            <w:pPr>
              <w:jc w:val="center"/>
            </w:pPr>
            <w:r>
              <w:rPr>
                <w:rFonts w:ascii="宋体" w:hAnsi="宋体" w:eastAsia="宋体"/>
                <w:sz w:val="16"/>
              </w:rPr>
              <w:t>偏差原因分析及改进措施</w:t>
            </w:r>
          </w:p>
        </w:tc>
      </w:tr>
      <w:tr w14:paraId="5C27858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3A94D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55AC6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B6B03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4F85D">
            <w:pPr>
              <w:jc w:val="center"/>
            </w:pPr>
            <w:r>
              <w:rPr>
                <w:rFonts w:ascii="宋体" w:hAnsi="宋体" w:eastAsia="宋体"/>
                <w:sz w:val="16"/>
              </w:rPr>
              <w:t>煤改电户数（户）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EA3D8">
            <w:pPr>
              <w:jc w:val="center"/>
            </w:pPr>
            <w:r>
              <w:rPr>
                <w:rFonts w:ascii="宋体" w:hAnsi="宋体" w:eastAsia="宋体"/>
                <w:sz w:val="16"/>
              </w:rPr>
              <w:t>=2884户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B82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FDB7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881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FE1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D9A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45A9C">
            <w:pPr>
              <w:jc w:val="center"/>
            </w:pPr>
            <w:r>
              <w:rPr>
                <w:rFonts w:ascii="宋体" w:hAnsi="宋体" w:eastAsia="宋体"/>
                <w:sz w:val="16"/>
              </w:rPr>
              <w:t>=2884户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50A4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3E86C3">
            <w:pPr>
              <w:jc w:val="center"/>
            </w:pPr>
          </w:p>
        </w:tc>
      </w:tr>
      <w:tr w14:paraId="110522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6B08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E2C8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4DC4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5D265">
            <w:pPr>
              <w:jc w:val="center"/>
            </w:pPr>
            <w:r>
              <w:rPr>
                <w:rFonts w:ascii="宋体" w:hAnsi="宋体" w:eastAsia="宋体"/>
                <w:sz w:val="16"/>
              </w:rPr>
              <w:t>覆盖乡镇（个）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8BDBD">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287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9392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2D7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185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935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A0098">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A7BE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FE6BF">
            <w:pPr>
              <w:jc w:val="center"/>
            </w:pPr>
          </w:p>
        </w:tc>
      </w:tr>
      <w:tr w14:paraId="2565A8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598B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14CA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9A15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E71DE">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90C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00C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AB3B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0BAB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7E8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A58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AB58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9151B">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1C3832">
            <w:pPr>
              <w:jc w:val="center"/>
            </w:pPr>
            <w:r>
              <w:rPr>
                <w:rFonts w:ascii="宋体" w:hAnsi="宋体" w:eastAsia="宋体"/>
                <w:sz w:val="16"/>
              </w:rPr>
              <w:t>偏差原因：项目未完工验收。整改措施：项目完工后尽快完成验收。</w:t>
            </w:r>
          </w:p>
        </w:tc>
      </w:tr>
      <w:tr w14:paraId="650E81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5347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BB1C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59A1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3BF99">
            <w:pPr>
              <w:jc w:val="center"/>
            </w:pPr>
            <w:r>
              <w:rPr>
                <w:rFonts w:ascii="宋体" w:hAnsi="宋体" w:eastAsia="宋体"/>
                <w:sz w:val="16"/>
              </w:rPr>
              <w:t>项目完成时间（年/月）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C7E87">
            <w:pPr>
              <w:jc w:val="center"/>
            </w:pPr>
            <w:r>
              <w:rPr>
                <w:rFonts w:ascii="宋体" w:hAnsi="宋体" w:eastAsia="宋体"/>
                <w:sz w:val="16"/>
              </w:rPr>
              <w:t>2024年9月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05E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BED7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CE7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988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8B8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494E9">
            <w:pPr>
              <w:jc w:val="center"/>
            </w:pPr>
            <w:r>
              <w:rPr>
                <w:rFonts w:ascii="宋体" w:hAnsi="宋体" w:eastAsia="宋体"/>
                <w:sz w:val="16"/>
              </w:rPr>
              <w:t>部分实现目标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A4FB4">
            <w:pPr>
              <w:jc w:val="center"/>
            </w:pPr>
            <w:r>
              <w:rPr>
                <w:rFonts w:ascii="宋体" w:hAnsi="宋体" w:eastAsia="宋体"/>
                <w:sz w:val="16"/>
              </w:rPr>
              <w:t>0.97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C8B2AD">
            <w:pPr>
              <w:jc w:val="center"/>
            </w:pPr>
            <w:r>
              <w:rPr>
                <w:rFonts w:ascii="宋体" w:hAnsi="宋体" w:eastAsia="宋体"/>
                <w:sz w:val="16"/>
              </w:rPr>
              <w:t>偏差原因：项目未能按节按点完成。整改措施：做好年初预算。</w:t>
            </w:r>
          </w:p>
        </w:tc>
      </w:tr>
      <w:tr w14:paraId="2511E7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AF7D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6648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5B3C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7B5B5">
            <w:pPr>
              <w:jc w:val="center"/>
            </w:pPr>
            <w:r>
              <w:rPr>
                <w:rFonts w:ascii="宋体" w:hAnsi="宋体" w:eastAsia="宋体"/>
                <w:sz w:val="16"/>
              </w:rPr>
              <w:t>煤改电改造成本（万元/户）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BEFAC">
            <w:pPr>
              <w:jc w:val="center"/>
            </w:pPr>
            <w:r>
              <w:rPr>
                <w:rFonts w:ascii="宋体" w:hAnsi="宋体" w:eastAsia="宋体"/>
                <w:sz w:val="16"/>
              </w:rPr>
              <w:t>&lt;=0.36万元/户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402F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33DB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EFA1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B4D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16E4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FA227">
            <w:pPr>
              <w:jc w:val="center"/>
            </w:pPr>
            <w:r>
              <w:rPr>
                <w:rFonts w:ascii="宋体" w:hAnsi="宋体" w:eastAsia="宋体"/>
                <w:sz w:val="16"/>
              </w:rPr>
              <w:t>&lt;=0.23万元/户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17354">
            <w:pPr>
              <w:jc w:val="center"/>
            </w:pPr>
            <w:r>
              <w:rPr>
                <w:rFonts w:ascii="宋体" w:hAnsi="宋体" w:eastAsia="宋体"/>
                <w:sz w:val="16"/>
              </w:rPr>
              <w:t>1.94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685A61">
            <w:pPr>
              <w:jc w:val="center"/>
            </w:pPr>
            <w:r>
              <w:rPr>
                <w:rFonts w:ascii="宋体" w:hAnsi="宋体" w:eastAsia="宋体"/>
                <w:sz w:val="16"/>
              </w:rPr>
              <w:t>偏差原因：因项目未按计划完工，导致资金没能按时拨付。整改措施：加快支付进度。</w:t>
            </w:r>
          </w:p>
        </w:tc>
      </w:tr>
      <w:tr w14:paraId="1380CA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0474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661E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844A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6308D">
            <w:pPr>
              <w:jc w:val="center"/>
            </w:pPr>
            <w:r>
              <w:rPr>
                <w:rFonts w:ascii="宋体" w:hAnsi="宋体" w:eastAsia="宋体"/>
                <w:sz w:val="16"/>
              </w:rPr>
              <w:t>改善村民取暖条件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ED66B">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59D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3089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60A8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FFE7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2015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494BE">
            <w:pPr>
              <w:jc w:val="center"/>
            </w:pPr>
            <w:r>
              <w:rPr>
                <w:rFonts w:ascii="宋体" w:hAnsi="宋体" w:eastAsia="宋体"/>
                <w:sz w:val="16"/>
              </w:rPr>
              <w:t>部分实现目标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CE6B5">
            <w:pPr>
              <w:jc w:val="center"/>
            </w:pPr>
            <w:r>
              <w:rPr>
                <w:rFonts w:ascii="宋体" w:hAnsi="宋体" w:eastAsia="宋体"/>
                <w:sz w:val="16"/>
              </w:rPr>
              <w:t>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312A89">
            <w:pPr>
              <w:jc w:val="center"/>
            </w:pPr>
            <w:r>
              <w:rPr>
                <w:rFonts w:ascii="宋体" w:hAnsi="宋体" w:eastAsia="宋体"/>
                <w:sz w:val="16"/>
              </w:rPr>
              <w:t>偏差原因：项目未能按时完工，导致效益效果不明显。整改措施：加快进度。</w:t>
            </w:r>
          </w:p>
        </w:tc>
      </w:tr>
      <w:tr w14:paraId="1ABBFB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908C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DF14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0CDE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3A9F2">
            <w:pPr>
              <w:jc w:val="center"/>
            </w:pPr>
            <w:r>
              <w:rPr>
                <w:rFonts w:ascii="宋体" w:hAnsi="宋体" w:eastAsia="宋体"/>
                <w:sz w:val="16"/>
              </w:rPr>
              <w:t>受益村民满意度（%）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8BD4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B5F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2FCE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4DB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F534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F6A2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96AC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E432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CCEBAE">
            <w:pPr>
              <w:jc w:val="center"/>
            </w:pPr>
          </w:p>
        </w:tc>
      </w:tr>
      <w:tr w14:paraId="7A341ABE">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25268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6DE93">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F28EE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70D8A">
            <w:pPr>
              <w:jc w:val="center"/>
            </w:pPr>
            <w:r>
              <w:rPr>
                <w:rFonts w:ascii="宋体" w:hAnsi="宋体" w:eastAsia="宋体"/>
                <w:sz w:val="16"/>
              </w:rPr>
              <w:t>45.61分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F99267F"/>
        </w:tc>
      </w:tr>
    </w:tbl>
    <w:p w14:paraId="3EF0EF89">
      <w:r>
        <w:br w:type="page"/>
      </w:r>
    </w:p>
    <w:tbl>
      <w:tblPr>
        <w:tblStyle w:val="9"/>
        <w:tblW w:w="0" w:type="auto"/>
        <w:tblInd w:w="0" w:type="dxa"/>
        <w:tblLayout w:type="autofit"/>
        <w:tblCellMar>
          <w:top w:w="0" w:type="dxa"/>
          <w:left w:w="108" w:type="dxa"/>
          <w:bottom w:w="0" w:type="dxa"/>
          <w:right w:w="108" w:type="dxa"/>
        </w:tblCellMar>
      </w:tblPr>
      <w:tblGrid>
        <w:gridCol w:w="629"/>
        <w:gridCol w:w="626"/>
        <w:gridCol w:w="626"/>
        <w:gridCol w:w="696"/>
        <w:gridCol w:w="696"/>
        <w:gridCol w:w="626"/>
        <w:gridCol w:w="626"/>
        <w:gridCol w:w="628"/>
        <w:gridCol w:w="626"/>
        <w:gridCol w:w="626"/>
        <w:gridCol w:w="776"/>
        <w:gridCol w:w="632"/>
        <w:gridCol w:w="617"/>
        <w:gridCol w:w="630"/>
      </w:tblGrid>
      <w:tr w14:paraId="630FEE7F">
        <w:tblPrEx>
          <w:tblCellMar>
            <w:top w:w="0" w:type="dxa"/>
            <w:left w:w="108" w:type="dxa"/>
            <w:bottom w:w="0" w:type="dxa"/>
            <w:right w:w="108" w:type="dxa"/>
          </w:tblCellMar>
        </w:tblPrEx>
        <w:tc>
          <w:tcPr>
            <w:tcW w:w="8848" w:type="dxa"/>
            <w:gridSpan w:val="14"/>
            <w:vAlign w:val="center"/>
          </w:tcPr>
          <w:p w14:paraId="12767E42">
            <w:pPr>
              <w:jc w:val="center"/>
            </w:pPr>
            <w:r>
              <w:rPr>
                <w:rFonts w:ascii="宋体" w:hAnsi="宋体" w:eastAsia="宋体"/>
                <w:sz w:val="24"/>
              </w:rPr>
              <w:t>项目支出绩效自评表</w:t>
            </w:r>
          </w:p>
        </w:tc>
      </w:tr>
      <w:tr w14:paraId="3D8FD362">
        <w:tblPrEx>
          <w:tblCellMar>
            <w:top w:w="0" w:type="dxa"/>
            <w:left w:w="108" w:type="dxa"/>
            <w:bottom w:w="0" w:type="dxa"/>
            <w:right w:w="108" w:type="dxa"/>
          </w:tblCellMar>
        </w:tblPrEx>
        <w:tc>
          <w:tcPr>
            <w:tcW w:w="8848" w:type="dxa"/>
            <w:gridSpan w:val="14"/>
            <w:vAlign w:val="center"/>
          </w:tcPr>
          <w:p w14:paraId="6220382E">
            <w:pPr>
              <w:jc w:val="center"/>
            </w:pPr>
            <w:r>
              <w:rPr>
                <w:rFonts w:ascii="宋体" w:hAnsi="宋体" w:eastAsia="宋体"/>
                <w:sz w:val="24"/>
              </w:rPr>
              <w:t>(2024年度)</w:t>
            </w:r>
          </w:p>
        </w:tc>
      </w:tr>
      <w:tr w14:paraId="7D3D47A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DBF6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0E52347">
            <w:pPr>
              <w:jc w:val="center"/>
            </w:pPr>
            <w:r>
              <w:rPr>
                <w:rFonts w:ascii="宋体" w:hAnsi="宋体" w:eastAsia="宋体"/>
                <w:sz w:val="16"/>
              </w:rPr>
              <w:t>2024年县级专项公用经费项目</w:t>
            </w:r>
          </w:p>
        </w:tc>
      </w:tr>
      <w:tr w14:paraId="7377241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C45C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55031B">
            <w:pPr>
              <w:jc w:val="center"/>
            </w:pPr>
            <w:r>
              <w:rPr>
                <w:rFonts w:ascii="宋体" w:hAnsi="宋体" w:eastAsia="宋体"/>
                <w:sz w:val="16"/>
              </w:rPr>
              <w:t>叶城县铁提乡人民政府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4CB6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5D29D75">
            <w:pPr>
              <w:jc w:val="center"/>
            </w:pPr>
            <w:r>
              <w:rPr>
                <w:rFonts w:ascii="宋体" w:hAnsi="宋体" w:eastAsia="宋体"/>
                <w:sz w:val="16"/>
              </w:rPr>
              <w:t>叶城县铁提乡人民政府</w:t>
            </w:r>
          </w:p>
        </w:tc>
      </w:tr>
      <w:tr w14:paraId="69F497B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C65A9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F40BF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E24C2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07FB1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52207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C0446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55DC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5D712">
            <w:pPr>
              <w:jc w:val="center"/>
            </w:pPr>
            <w:r>
              <w:rPr>
                <w:rFonts w:ascii="宋体" w:hAnsi="宋体" w:eastAsia="宋体"/>
                <w:sz w:val="16"/>
              </w:rPr>
              <w:t>得分</w:t>
            </w:r>
          </w:p>
        </w:tc>
      </w:tr>
      <w:tr w14:paraId="694AED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EC62F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69F97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550F2F">
            <w:pPr>
              <w:jc w:val="center"/>
            </w:pPr>
            <w:r>
              <w:rPr>
                <w:rFonts w:ascii="宋体" w:hAnsi="宋体" w:eastAsia="宋体"/>
                <w:sz w:val="16"/>
              </w:rPr>
              <w:t>45.50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D20E99">
            <w:pPr>
              <w:jc w:val="center"/>
            </w:pPr>
            <w:r>
              <w:rPr>
                <w:rFonts w:ascii="宋体" w:hAnsi="宋体" w:eastAsia="宋体"/>
                <w:sz w:val="16"/>
              </w:rPr>
              <w:t>45.50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F9C1D">
            <w:pPr>
              <w:jc w:val="center"/>
            </w:pPr>
            <w:r>
              <w:rPr>
                <w:rFonts w:ascii="宋体" w:hAnsi="宋体" w:eastAsia="宋体"/>
                <w:sz w:val="16"/>
              </w:rPr>
              <w:t>44.76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54167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3B4CF5">
            <w:pPr>
              <w:jc w:val="center"/>
            </w:pPr>
            <w:r>
              <w:rPr>
                <w:rFonts w:ascii="宋体" w:hAnsi="宋体" w:eastAsia="宋体"/>
                <w:sz w:val="16"/>
              </w:rPr>
              <w:t>98.4%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7CC0E">
            <w:pPr>
              <w:jc w:val="center"/>
            </w:pPr>
            <w:r>
              <w:rPr>
                <w:rFonts w:ascii="宋体" w:hAnsi="宋体" w:eastAsia="宋体"/>
                <w:sz w:val="16"/>
              </w:rPr>
              <w:t>9.59分</w:t>
            </w:r>
          </w:p>
        </w:tc>
      </w:tr>
      <w:tr w14:paraId="3E7350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A8A3C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513C9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304371">
            <w:pPr>
              <w:jc w:val="center"/>
            </w:pPr>
            <w:r>
              <w:rPr>
                <w:rFonts w:ascii="宋体" w:hAnsi="宋体" w:eastAsia="宋体"/>
                <w:sz w:val="16"/>
              </w:rPr>
              <w:t>45.50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017E6F">
            <w:pPr>
              <w:jc w:val="center"/>
            </w:pPr>
            <w:r>
              <w:rPr>
                <w:rFonts w:ascii="宋体" w:hAnsi="宋体" w:eastAsia="宋体"/>
                <w:sz w:val="16"/>
              </w:rPr>
              <w:t>45.50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FE03B8">
            <w:pPr>
              <w:jc w:val="center"/>
            </w:pPr>
            <w:r>
              <w:rPr>
                <w:rFonts w:ascii="宋体" w:hAnsi="宋体" w:eastAsia="宋体"/>
                <w:sz w:val="16"/>
              </w:rPr>
              <w:t>44.76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6E5D5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BC72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82E99">
            <w:pPr>
              <w:jc w:val="center"/>
            </w:pPr>
            <w:r>
              <w:rPr>
                <w:rFonts w:ascii="宋体" w:hAnsi="宋体" w:eastAsia="宋体"/>
                <w:sz w:val="16"/>
              </w:rPr>
              <w:t>—</w:t>
            </w:r>
          </w:p>
        </w:tc>
      </w:tr>
      <w:tr w14:paraId="158E52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B0DA7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EBF5A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7E70D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B60A5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DE4B2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712F4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A927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7EDD4">
            <w:pPr>
              <w:jc w:val="center"/>
            </w:pPr>
            <w:r>
              <w:rPr>
                <w:rFonts w:ascii="宋体" w:hAnsi="宋体" w:eastAsia="宋体"/>
                <w:sz w:val="16"/>
              </w:rPr>
              <w:t>—</w:t>
            </w:r>
          </w:p>
        </w:tc>
      </w:tr>
      <w:tr w14:paraId="0869163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B32CE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01D1D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DDAD47E">
            <w:pPr>
              <w:jc w:val="center"/>
            </w:pPr>
            <w:r>
              <w:rPr>
                <w:rFonts w:ascii="宋体" w:hAnsi="宋体" w:eastAsia="宋体"/>
                <w:sz w:val="16"/>
              </w:rPr>
              <w:t>实际完成情况</w:t>
            </w:r>
          </w:p>
        </w:tc>
      </w:tr>
      <w:tr w14:paraId="47AEBB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FE0E9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05A59D">
            <w:pPr>
              <w:jc w:val="both"/>
            </w:pPr>
            <w:r>
              <w:rPr>
                <w:rFonts w:ascii="宋体" w:hAnsi="宋体" w:eastAsia="宋体"/>
                <w:sz w:val="16"/>
              </w:rPr>
              <w:t>铁提乡实施2024年县级专项公用经费项目资金总金额45.5万元</w:t>
            </w:r>
            <w:r>
              <w:rPr>
                <w:rFonts w:hint="eastAsia" w:ascii="宋体" w:hAnsi="宋体"/>
                <w:sz w:val="16"/>
                <w:lang w:eastAsia="zh-CN"/>
              </w:rPr>
              <w:t>，</w:t>
            </w:r>
            <w:r>
              <w:rPr>
                <w:rFonts w:ascii="宋体" w:hAnsi="宋体" w:eastAsia="宋体"/>
                <w:sz w:val="16"/>
              </w:rPr>
              <w:t>主要是有力保障基层组织顺利运转，不断强化经费保障,夯实基层基础，不断加强基层党组织建设，治理，提高干部队伍建设，提高基层党组织服务群众能力。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1E9B5A">
            <w:pPr>
              <w:jc w:val="both"/>
            </w:pPr>
            <w:r>
              <w:rPr>
                <w:rFonts w:ascii="宋体" w:hAnsi="宋体" w:eastAsia="宋体"/>
                <w:sz w:val="16"/>
              </w:rPr>
              <w:t>实际完成目标：</w:t>
            </w:r>
            <w:r>
              <w:rPr>
                <w:rFonts w:hint="eastAsia" w:ascii="宋体" w:hAnsi="宋体"/>
                <w:sz w:val="16"/>
                <w:lang w:eastAsia="zh-CN"/>
              </w:rPr>
              <w:t>截至2024</w:t>
            </w:r>
            <w:r>
              <w:rPr>
                <w:rFonts w:ascii="宋体" w:hAnsi="宋体" w:eastAsia="宋体"/>
                <w:sz w:val="16"/>
              </w:rPr>
              <w:t>年12月31日，铁提乡实施2024年县级专项公用经费项目资金总金额45.5万元，到位资金45.5万元，实际支出44.76万元，项目实施后有力保障基层组织顺利运转，还能强化经费保障,夯实基层基础，不断加强基层党组织建设，治理，有效提高干部队伍建设，提高基层党组织服务群众能力，提高受益群众幸福感。</w:t>
            </w:r>
          </w:p>
        </w:tc>
      </w:tr>
      <w:tr w14:paraId="4BA6F54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37A18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4457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62E4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2321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800C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2818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F831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C4E5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FCE3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7143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4DEA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4045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16673A">
            <w:pPr>
              <w:jc w:val="center"/>
            </w:pPr>
            <w:r>
              <w:rPr>
                <w:rFonts w:ascii="宋体" w:hAnsi="宋体" w:eastAsia="宋体"/>
                <w:sz w:val="16"/>
              </w:rPr>
              <w:t>偏差原因分析及改进措施</w:t>
            </w:r>
          </w:p>
        </w:tc>
      </w:tr>
      <w:tr w14:paraId="566BC7C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2BF2A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9F03C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003A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70A1D">
            <w:pPr>
              <w:jc w:val="center"/>
            </w:pPr>
            <w:r>
              <w:rPr>
                <w:rFonts w:ascii="宋体" w:hAnsi="宋体" w:eastAsia="宋体"/>
                <w:sz w:val="16"/>
              </w:rPr>
              <w:t>保障运转个数（个）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7B77A">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E08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CE33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C7CDE">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7DA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46B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312E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2429C">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A82D74">
            <w:pPr>
              <w:jc w:val="center"/>
            </w:pPr>
          </w:p>
        </w:tc>
      </w:tr>
      <w:tr w14:paraId="1C280B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794D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63BE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290C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544EC">
            <w:pPr>
              <w:jc w:val="center"/>
            </w:pPr>
            <w:r>
              <w:rPr>
                <w:rFonts w:ascii="宋体" w:hAnsi="宋体" w:eastAsia="宋体"/>
                <w:sz w:val="16"/>
              </w:rPr>
              <w:t>经费保障率（%）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4D4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975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51D6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BE73C">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73B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E73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8E6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D14DA">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D1404F">
            <w:pPr>
              <w:jc w:val="center"/>
            </w:pPr>
          </w:p>
        </w:tc>
      </w:tr>
      <w:tr w14:paraId="0D07B1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704A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2EB11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A8A47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21693">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E0D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064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9C0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76B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ACC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2FB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46FAE">
            <w:pPr>
              <w:jc w:val="center"/>
            </w:pPr>
            <w:r>
              <w:rPr>
                <w:rFonts w:ascii="宋体" w:hAnsi="宋体" w:eastAsia="宋体"/>
                <w:sz w:val="16"/>
              </w:rPr>
              <w:t>=98.37%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34D61">
            <w:pPr>
              <w:jc w:val="center"/>
            </w:pPr>
            <w:r>
              <w:rPr>
                <w:rFonts w:ascii="宋体" w:hAnsi="宋体" w:eastAsia="宋体"/>
                <w:sz w:val="16"/>
              </w:rPr>
              <w:t>9.59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BEC629">
            <w:pPr>
              <w:jc w:val="center"/>
            </w:pPr>
            <w:r>
              <w:rPr>
                <w:rFonts w:ascii="宋体" w:hAnsi="宋体" w:eastAsia="宋体"/>
                <w:sz w:val="16"/>
              </w:rPr>
              <w:t>偏差原因：该项目拨付支付进度较慢，故产生偏差；改进措施：加快资金支付进度。</w:t>
            </w:r>
          </w:p>
        </w:tc>
      </w:tr>
      <w:tr w14:paraId="4E563D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F3BD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96BD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ED76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D725D">
            <w:pPr>
              <w:jc w:val="center"/>
            </w:pPr>
            <w:r>
              <w:rPr>
                <w:rFonts w:ascii="宋体" w:hAnsi="宋体" w:eastAsia="宋体"/>
                <w:sz w:val="16"/>
              </w:rPr>
              <w:t>项目完工时间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1B5BB">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E29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3CB3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84C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6F7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292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67E08">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6EC9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6A4C03">
            <w:pPr>
              <w:jc w:val="center"/>
            </w:pPr>
          </w:p>
        </w:tc>
      </w:tr>
      <w:tr w14:paraId="711052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5C843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63044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32C2C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4A9F6">
            <w:pPr>
              <w:jc w:val="center"/>
            </w:pPr>
            <w:r>
              <w:rPr>
                <w:rFonts w:ascii="宋体" w:hAnsi="宋体" w:eastAsia="宋体"/>
                <w:sz w:val="16"/>
              </w:rPr>
              <w:t>办公经费（万元）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04D8F">
            <w:pPr>
              <w:jc w:val="center"/>
            </w:pPr>
            <w:r>
              <w:rPr>
                <w:rFonts w:ascii="宋体" w:hAnsi="宋体" w:eastAsia="宋体"/>
                <w:sz w:val="16"/>
              </w:rPr>
              <w:t>=26.7万元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E248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B8B2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5A6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8BB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B77D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FB7C2">
            <w:pPr>
              <w:jc w:val="center"/>
            </w:pPr>
            <w:r>
              <w:rPr>
                <w:rFonts w:ascii="宋体" w:hAnsi="宋体" w:eastAsia="宋体"/>
                <w:sz w:val="16"/>
              </w:rPr>
              <w:t>=25.97万元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45D90">
            <w:pPr>
              <w:jc w:val="center"/>
            </w:pPr>
            <w:r>
              <w:rPr>
                <w:rFonts w:ascii="宋体" w:hAnsi="宋体" w:eastAsia="宋体"/>
                <w:sz w:val="16"/>
              </w:rPr>
              <w:t>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334D8E">
            <w:pPr>
              <w:jc w:val="center"/>
            </w:pPr>
            <w:r>
              <w:rPr>
                <w:rFonts w:ascii="宋体" w:hAnsi="宋体" w:eastAsia="宋体"/>
                <w:sz w:val="16"/>
              </w:rPr>
              <w:t>偏差原因：该项目办公经费支付进度较慢，故产生偏差；改进措施：加快资金支付进度。</w:t>
            </w:r>
          </w:p>
        </w:tc>
      </w:tr>
      <w:tr w14:paraId="2A9B65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17EE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31A5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B127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74077">
            <w:pPr>
              <w:jc w:val="center"/>
            </w:pPr>
            <w:r>
              <w:rPr>
                <w:rFonts w:ascii="宋体" w:hAnsi="宋体" w:eastAsia="宋体"/>
                <w:sz w:val="16"/>
              </w:rPr>
              <w:t>支付电费（万元）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77304">
            <w:pPr>
              <w:jc w:val="center"/>
            </w:pPr>
            <w:r>
              <w:rPr>
                <w:rFonts w:ascii="宋体" w:hAnsi="宋体" w:eastAsia="宋体"/>
                <w:sz w:val="16"/>
              </w:rPr>
              <w:t>=18.79万元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10DF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D8BF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30F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CC2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F0F1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31FEC">
            <w:pPr>
              <w:jc w:val="center"/>
            </w:pPr>
            <w:r>
              <w:rPr>
                <w:rFonts w:ascii="宋体" w:hAnsi="宋体" w:eastAsia="宋体"/>
                <w:sz w:val="16"/>
              </w:rPr>
              <w:t>=18.79万元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B809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1625E3">
            <w:pPr>
              <w:jc w:val="center"/>
            </w:pPr>
          </w:p>
        </w:tc>
      </w:tr>
      <w:tr w14:paraId="264AB8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CFCB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79F4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F4E1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8F3CA">
            <w:pPr>
              <w:jc w:val="center"/>
            </w:pPr>
            <w:r>
              <w:rPr>
                <w:rFonts w:ascii="宋体" w:hAnsi="宋体" w:eastAsia="宋体"/>
                <w:sz w:val="16"/>
              </w:rPr>
              <w:t>提高办事效率（%）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F74A4">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570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A33E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D20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B6F7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CC1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05DE6">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36BF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D64DFF">
            <w:pPr>
              <w:jc w:val="center"/>
            </w:pPr>
          </w:p>
        </w:tc>
      </w:tr>
      <w:tr w14:paraId="2935CE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002D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BE28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5D47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082A7">
            <w:pPr>
              <w:jc w:val="center"/>
            </w:pPr>
            <w:r>
              <w:rPr>
                <w:rFonts w:ascii="宋体" w:hAnsi="宋体" w:eastAsia="宋体"/>
                <w:sz w:val="16"/>
              </w:rPr>
              <w:t>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C069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EEE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66BE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517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8081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F0B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A31F7">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9F06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4A2D5E">
            <w:pPr>
              <w:jc w:val="center"/>
            </w:pPr>
          </w:p>
        </w:tc>
      </w:tr>
      <w:tr w14:paraId="4033D9F3">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4C7D1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187EC">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42BAC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39CCC">
            <w:pPr>
              <w:jc w:val="center"/>
            </w:pPr>
            <w:r>
              <w:rPr>
                <w:rFonts w:ascii="宋体" w:hAnsi="宋体" w:eastAsia="宋体"/>
                <w:sz w:val="16"/>
              </w:rPr>
              <w:t>98.48分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FCD45B5"/>
        </w:tc>
      </w:tr>
    </w:tbl>
    <w:p w14:paraId="43B5385D">
      <w:r>
        <w:br w:type="page"/>
      </w:r>
    </w:p>
    <w:p w14:paraId="1865C523">
      <w:pPr>
        <w:spacing w:line="640" w:lineRule="exact"/>
        <w:ind w:firstLine="640"/>
        <w:jc w:val="both"/>
        <w:outlineLvl w:val="2"/>
      </w:pPr>
      <w:r>
        <w:rPr>
          <w:rFonts w:ascii="黑体" w:hAnsi="黑体" w:eastAsia="黑体"/>
          <w:sz w:val="32"/>
        </w:rPr>
        <w:t>十二、其他需说明的事项</w:t>
      </w:r>
    </w:p>
    <w:p w14:paraId="4AF6AEAA">
      <w:pPr>
        <w:spacing w:line="580" w:lineRule="exact"/>
        <w:ind w:firstLine="640"/>
        <w:jc w:val="both"/>
      </w:pPr>
      <w:r>
        <w:rPr>
          <w:rFonts w:ascii="仿宋_GB2312" w:hAnsi="仿宋_GB2312" w:eastAsia="仿宋_GB2312"/>
          <w:b w:val="0"/>
          <w:sz w:val="32"/>
        </w:rPr>
        <w:t>本单位无其他需说明的事项。</w:t>
      </w:r>
    </w:p>
    <w:p w14:paraId="4967D7F7">
      <w:r>
        <w:br w:type="page"/>
      </w:r>
    </w:p>
    <w:p w14:paraId="07CD79D7">
      <w:pPr>
        <w:spacing w:line="240" w:lineRule="auto"/>
        <w:jc w:val="center"/>
        <w:outlineLvl w:val="1"/>
      </w:pPr>
      <w:r>
        <w:rPr>
          <w:rFonts w:ascii="黑体" w:hAnsi="黑体" w:eastAsia="黑体"/>
          <w:sz w:val="32"/>
        </w:rPr>
        <w:t>第三部分 专业名词解释</w:t>
      </w:r>
    </w:p>
    <w:p w14:paraId="7A13E4DA">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A281A37">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DA36522">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0D7A3F0">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D5B1FC3">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004ED50">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80AA90A">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1CB862B">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B75CA0A">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AD30BA6">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B599C91">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7B58601">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1898CAE">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71DE746">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D8AC0A8">
      <w:r>
        <w:br w:type="page"/>
      </w:r>
    </w:p>
    <w:p w14:paraId="68360C45">
      <w:pPr>
        <w:spacing w:line="240" w:lineRule="auto"/>
        <w:jc w:val="center"/>
        <w:outlineLvl w:val="1"/>
      </w:pPr>
      <w:r>
        <w:rPr>
          <w:rFonts w:ascii="黑体" w:hAnsi="黑体" w:eastAsia="黑体"/>
          <w:sz w:val="32"/>
        </w:rPr>
        <w:t>第四部分 部门决算报表（见附表）</w:t>
      </w:r>
    </w:p>
    <w:p w14:paraId="25675F64">
      <w:pPr>
        <w:spacing w:line="240" w:lineRule="auto"/>
        <w:ind w:firstLine="640"/>
        <w:jc w:val="both"/>
      </w:pPr>
      <w:r>
        <w:rPr>
          <w:rFonts w:ascii="仿宋_GB2312" w:hAnsi="仿宋_GB2312" w:eastAsia="仿宋_GB2312"/>
          <w:b w:val="0"/>
          <w:sz w:val="32"/>
        </w:rPr>
        <w:t>一、《收入支出决算总表》</w:t>
      </w:r>
    </w:p>
    <w:p w14:paraId="1B730D8C">
      <w:pPr>
        <w:spacing w:line="240" w:lineRule="auto"/>
        <w:ind w:firstLine="640"/>
        <w:jc w:val="both"/>
      </w:pPr>
      <w:r>
        <w:rPr>
          <w:rFonts w:ascii="仿宋_GB2312" w:hAnsi="仿宋_GB2312" w:eastAsia="仿宋_GB2312"/>
          <w:b w:val="0"/>
          <w:sz w:val="32"/>
        </w:rPr>
        <w:t>二、《收入决算表》</w:t>
      </w:r>
    </w:p>
    <w:p w14:paraId="1554EAC7">
      <w:pPr>
        <w:spacing w:line="240" w:lineRule="auto"/>
        <w:ind w:firstLine="640"/>
        <w:jc w:val="both"/>
      </w:pPr>
      <w:r>
        <w:rPr>
          <w:rFonts w:ascii="仿宋_GB2312" w:hAnsi="仿宋_GB2312" w:eastAsia="仿宋_GB2312"/>
          <w:b w:val="0"/>
          <w:sz w:val="32"/>
        </w:rPr>
        <w:t>三、《支出决算表》</w:t>
      </w:r>
    </w:p>
    <w:p w14:paraId="3F82BC7B">
      <w:pPr>
        <w:spacing w:line="240" w:lineRule="auto"/>
        <w:ind w:firstLine="640"/>
        <w:jc w:val="both"/>
      </w:pPr>
      <w:r>
        <w:rPr>
          <w:rFonts w:ascii="仿宋_GB2312" w:hAnsi="仿宋_GB2312" w:eastAsia="仿宋_GB2312"/>
          <w:b w:val="0"/>
          <w:sz w:val="32"/>
        </w:rPr>
        <w:t>四、《财政拨款收入支出决算总表》</w:t>
      </w:r>
    </w:p>
    <w:p w14:paraId="3971DC14">
      <w:pPr>
        <w:spacing w:line="240" w:lineRule="auto"/>
        <w:ind w:firstLine="640"/>
        <w:jc w:val="both"/>
      </w:pPr>
      <w:r>
        <w:rPr>
          <w:rFonts w:ascii="仿宋_GB2312" w:hAnsi="仿宋_GB2312" w:eastAsia="仿宋_GB2312"/>
          <w:b w:val="0"/>
          <w:sz w:val="32"/>
        </w:rPr>
        <w:t>五、《一般公共预算财政拨款支出决算表》</w:t>
      </w:r>
    </w:p>
    <w:p w14:paraId="12E22DBD">
      <w:pPr>
        <w:spacing w:line="240" w:lineRule="auto"/>
        <w:ind w:firstLine="640"/>
        <w:jc w:val="both"/>
      </w:pPr>
      <w:r>
        <w:rPr>
          <w:rFonts w:ascii="仿宋_GB2312" w:hAnsi="仿宋_GB2312" w:eastAsia="仿宋_GB2312"/>
          <w:b w:val="0"/>
          <w:sz w:val="32"/>
        </w:rPr>
        <w:t>六、《一般公共预算财政拨款基本支出决算表》</w:t>
      </w:r>
    </w:p>
    <w:p w14:paraId="165EAEED">
      <w:pPr>
        <w:spacing w:line="240" w:lineRule="auto"/>
        <w:ind w:firstLine="640"/>
        <w:jc w:val="both"/>
      </w:pPr>
      <w:r>
        <w:rPr>
          <w:rFonts w:ascii="仿宋_GB2312" w:hAnsi="仿宋_GB2312" w:eastAsia="仿宋_GB2312"/>
          <w:b w:val="0"/>
          <w:sz w:val="32"/>
        </w:rPr>
        <w:t>七、《政府性基金预算财政拨款收入支出决算表》</w:t>
      </w:r>
    </w:p>
    <w:p w14:paraId="18842156">
      <w:pPr>
        <w:spacing w:line="240" w:lineRule="auto"/>
        <w:ind w:firstLine="640"/>
        <w:jc w:val="both"/>
      </w:pPr>
      <w:r>
        <w:rPr>
          <w:rFonts w:ascii="仿宋_GB2312" w:hAnsi="仿宋_GB2312" w:eastAsia="仿宋_GB2312"/>
          <w:b w:val="0"/>
          <w:sz w:val="32"/>
        </w:rPr>
        <w:t>八、《国有资本经营预算财政拨款收入支出决算表》</w:t>
      </w:r>
    </w:p>
    <w:p w14:paraId="5CE82ABC">
      <w:pPr>
        <w:spacing w:line="240" w:lineRule="auto"/>
        <w:ind w:firstLine="640"/>
        <w:jc w:val="both"/>
      </w:pPr>
      <w:r>
        <w:rPr>
          <w:rFonts w:ascii="仿宋_GB2312" w:hAnsi="仿宋_GB2312" w:eastAsia="仿宋_GB2312"/>
          <w:b w:val="0"/>
          <w:sz w:val="32"/>
        </w:rPr>
        <w:t>九、《财政拨款“三公”经费支出决算表》</w:t>
      </w:r>
    </w:p>
    <w:p w14:paraId="60C5BE88">
      <w:pPr>
        <w:spacing w:line="240" w:lineRule="auto"/>
        <w:ind w:firstLine="640"/>
        <w:jc w:val="both"/>
      </w:pPr>
    </w:p>
    <w:p w14:paraId="55554652">
      <w:pPr>
        <w:spacing w:line="240" w:lineRule="auto"/>
        <w:ind w:firstLine="640"/>
        <w:jc w:val="both"/>
      </w:pPr>
    </w:p>
    <w:p w14:paraId="1780EFE1">
      <w:pPr>
        <w:spacing w:line="240" w:lineRule="auto"/>
        <w:ind w:firstLine="640"/>
        <w:jc w:val="both"/>
      </w:pPr>
    </w:p>
    <w:p w14:paraId="32079B6C">
      <w:pPr>
        <w:spacing w:line="240" w:lineRule="auto"/>
        <w:ind w:firstLine="640"/>
        <w:jc w:val="both"/>
      </w:pPr>
    </w:p>
    <w:p w14:paraId="13C322EF">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9"/>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BDC147E"/>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8220AD"/>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29</Pages>
  <Words>9243</Words>
  <Characters>10668</Characters>
  <Lines>0</Lines>
  <Paragraphs>0</Paragraphs>
  <TotalTime>10</TotalTime>
  <ScaleCrop>false</ScaleCrop>
  <LinksUpToDate>false</LinksUpToDate>
  <CharactersWithSpaces>10676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GaYi.</cp:lastModifiedBy>
  <cp:lastPrinted>2024-07-22T11:58:00Z</cp:lastPrinted>
  <dcterms:modified xsi:type="dcterms:W3CDTF">2025-09-29T10:19:21Z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eyJoZGlkIjoiNTliMzZiYjRlN2VlNDIwNWJkNWMyNGYxMWEyN2ViYWUiLCJ1c2VySWQiOiI0NDQ5NDYzNjEifQ==</vt:lpwstr>
  </property>
</Properties>
</file>