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23409D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叶城县阿克塔什镇人民政府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428EA8">
      <w:r>
        <w:br w:type="page"/>
      </w:r>
    </w:p>
    <w:p w14:paraId="1511F895">
      <w:pPr>
        <w:spacing w:line="640" w:lineRule="exact"/>
        <w:jc w:val="center"/>
        <w:outlineLvl w:val="1"/>
      </w:pPr>
      <w:r>
        <w:rPr>
          <w:rFonts w:ascii="黑体" w:hAnsi="黑体" w:eastAsia="黑体"/>
          <w:sz w:val="32"/>
        </w:rPr>
        <w:t>第一部分 单位概况</w:t>
      </w:r>
    </w:p>
    <w:p w14:paraId="200103F4">
      <w:pPr>
        <w:spacing w:line="640" w:lineRule="exact"/>
        <w:ind w:firstLine="640"/>
        <w:jc w:val="both"/>
        <w:outlineLvl w:val="2"/>
      </w:pPr>
      <w:r>
        <w:rPr>
          <w:rFonts w:ascii="黑体" w:hAnsi="黑体" w:eastAsia="黑体"/>
          <w:sz w:val="32"/>
        </w:rPr>
        <w:t>一、主要职能</w:t>
      </w:r>
    </w:p>
    <w:p w14:paraId="75C81E4B">
      <w:pPr>
        <w:spacing w:line="580" w:lineRule="exact"/>
        <w:ind w:firstLine="640"/>
        <w:jc w:val="both"/>
      </w:pPr>
      <w:r>
        <w:rPr>
          <w:rFonts w:ascii="仿宋_GB2312" w:hAnsi="仿宋_GB2312" w:eastAsia="仿宋_GB2312"/>
          <w:sz w:val="32"/>
        </w:rPr>
        <w:t>作为乡镇党政机关，其主要职能为：负责全镇党政行政管理事务坚决贯彻县委、县人民政府各项指示，负责全镇经济社会发展、社会事务管理、基层组织建设等全面工作。以乡村振兴为引领实现社会发展“总目标”，不断铸牢全镇经济社会发展基础，为全镇各族群众提供社会服务。</w:t>
      </w:r>
    </w:p>
    <w:p w14:paraId="19EB99F3">
      <w:pPr>
        <w:spacing w:line="640" w:lineRule="exact"/>
        <w:ind w:firstLine="640"/>
        <w:jc w:val="both"/>
        <w:outlineLvl w:val="2"/>
      </w:pPr>
      <w:r>
        <w:rPr>
          <w:rFonts w:ascii="黑体" w:hAnsi="黑体" w:eastAsia="黑体"/>
          <w:sz w:val="32"/>
        </w:rPr>
        <w:t>二、机构设置及人员情况</w:t>
      </w:r>
    </w:p>
    <w:p w14:paraId="2995F3E2">
      <w:pPr>
        <w:spacing w:line="580" w:lineRule="exact"/>
        <w:ind w:firstLine="640"/>
        <w:jc w:val="both"/>
      </w:pPr>
      <w:r>
        <w:rPr>
          <w:rFonts w:ascii="仿宋_GB2312" w:hAnsi="仿宋_GB2312" w:eastAsia="仿宋_GB2312"/>
          <w:sz w:val="32"/>
        </w:rPr>
        <w:t>叶城县阿克塔什镇人民政府2024年度，实有人数86人，其中：在职人员83人，增加9人；离休人员0人，增加0人；退休人员3人,增加2人。</w:t>
      </w:r>
    </w:p>
    <w:p w14:paraId="00BA7D92">
      <w:pPr>
        <w:spacing w:line="580" w:lineRule="exact"/>
        <w:ind w:firstLine="640"/>
        <w:jc w:val="both"/>
      </w:pPr>
      <w:r>
        <w:rPr>
          <w:rFonts w:ascii="仿宋_GB2312" w:hAnsi="仿宋_GB2312" w:eastAsia="仿宋_GB2312"/>
          <w:sz w:val="32"/>
        </w:rPr>
        <w:t>叶城县阿克塔什镇人民政府无下属预算单位，下设5个科室，分别是：党政办、社会事务办、综治办、党建办、经济发展办。</w:t>
      </w:r>
    </w:p>
    <w:p w14:paraId="5411D8F4">
      <w:r>
        <w:br w:type="page"/>
      </w:r>
    </w:p>
    <w:p w14:paraId="0F7FD56B">
      <w:pPr>
        <w:spacing w:line="240" w:lineRule="auto"/>
        <w:jc w:val="center"/>
        <w:outlineLvl w:val="1"/>
      </w:pPr>
      <w:r>
        <w:rPr>
          <w:rFonts w:ascii="黑体" w:hAnsi="黑体" w:eastAsia="黑体"/>
          <w:sz w:val="32"/>
        </w:rPr>
        <w:t>第二部分 部门决算情况说明</w:t>
      </w:r>
    </w:p>
    <w:p w14:paraId="3896CABB">
      <w:pPr>
        <w:spacing w:line="640" w:lineRule="exact"/>
        <w:ind w:firstLine="640"/>
        <w:jc w:val="both"/>
        <w:outlineLvl w:val="2"/>
      </w:pPr>
      <w:r>
        <w:rPr>
          <w:rFonts w:ascii="黑体" w:hAnsi="黑体" w:eastAsia="黑体"/>
          <w:sz w:val="32"/>
        </w:rPr>
        <w:t>一、收入支出决算总体情况说明</w:t>
      </w:r>
    </w:p>
    <w:p w14:paraId="010CA861">
      <w:pPr>
        <w:spacing w:line="580" w:lineRule="exact"/>
        <w:ind w:firstLine="640"/>
        <w:jc w:val="both"/>
      </w:pPr>
      <w:r>
        <w:rPr>
          <w:rFonts w:ascii="仿宋_GB2312" w:hAnsi="仿宋_GB2312" w:eastAsia="仿宋_GB2312"/>
          <w:b/>
          <w:sz w:val="32"/>
        </w:rPr>
        <w:t>2024年度收入总计4,305.98万元，</w:t>
      </w:r>
      <w:r>
        <w:rPr>
          <w:rFonts w:ascii="仿宋_GB2312" w:hAnsi="仿宋_GB2312" w:eastAsia="仿宋_GB2312"/>
          <w:b w:val="0"/>
          <w:sz w:val="32"/>
        </w:rPr>
        <w:t>其中：本年收入合计4,305.98万元，使用非财政拨款结余（含专用结余）0.00万元，年初结转和结余0.00万元。</w:t>
      </w:r>
    </w:p>
    <w:p w14:paraId="2FB7F3E6">
      <w:pPr>
        <w:spacing w:line="580" w:lineRule="exact"/>
        <w:ind w:firstLine="640"/>
        <w:jc w:val="both"/>
      </w:pPr>
      <w:r>
        <w:rPr>
          <w:rFonts w:ascii="仿宋_GB2312" w:hAnsi="仿宋_GB2312" w:eastAsia="仿宋_GB2312"/>
          <w:b/>
          <w:sz w:val="32"/>
        </w:rPr>
        <w:t>2024年度支出总计4,305.98万元，</w:t>
      </w:r>
      <w:r>
        <w:rPr>
          <w:rFonts w:ascii="仿宋_GB2312" w:hAnsi="仿宋_GB2312" w:eastAsia="仿宋_GB2312"/>
          <w:b w:val="0"/>
          <w:sz w:val="32"/>
        </w:rPr>
        <w:t>其中：本年支出合计4,305.98万元，结余分配0.00万元，年末结转和结余0.00万元。</w:t>
      </w:r>
    </w:p>
    <w:p w14:paraId="017BF2DD">
      <w:pPr>
        <w:spacing w:line="580" w:lineRule="exact"/>
        <w:ind w:firstLine="640"/>
        <w:jc w:val="both"/>
      </w:pPr>
      <w:r>
        <w:rPr>
          <w:rFonts w:ascii="仿宋_GB2312" w:hAnsi="仿宋_GB2312" w:eastAsia="仿宋_GB2312"/>
          <w:b w:val="0"/>
          <w:sz w:val="32"/>
        </w:rPr>
        <w:t>收入支出总体与上年相比，减少7,062.35万元，下降62.12%，主要原因是：本年减少温室大棚建设项目、设施农业产业基地建设项目、叶城县阿克塔什镇白玉（7）村示范村乡村建设项目、叶城县阿克塔什镇防渗渠建设、国有农牧场税收税费改革转移支付资金、2023年土地出让金（良种场）等。</w:t>
      </w:r>
    </w:p>
    <w:p w14:paraId="3E93002E">
      <w:pPr>
        <w:spacing w:line="640" w:lineRule="exact"/>
        <w:ind w:firstLine="640"/>
        <w:jc w:val="both"/>
        <w:outlineLvl w:val="2"/>
      </w:pPr>
      <w:r>
        <w:rPr>
          <w:rFonts w:ascii="黑体" w:hAnsi="黑体" w:eastAsia="黑体"/>
          <w:sz w:val="32"/>
        </w:rPr>
        <w:t>二、收入决算情况说明</w:t>
      </w:r>
    </w:p>
    <w:p w14:paraId="5E89F1FD">
      <w:pPr>
        <w:spacing w:line="580" w:lineRule="exact"/>
        <w:ind w:firstLine="640"/>
        <w:jc w:val="both"/>
      </w:pPr>
      <w:r>
        <w:rPr>
          <w:rFonts w:ascii="仿宋_GB2312" w:hAnsi="仿宋_GB2312" w:eastAsia="仿宋_GB2312"/>
          <w:b/>
          <w:sz w:val="32"/>
        </w:rPr>
        <w:t>本年收入4,305.98万元，</w:t>
      </w:r>
      <w:r>
        <w:rPr>
          <w:rFonts w:ascii="仿宋_GB2312" w:hAnsi="仿宋_GB2312" w:eastAsia="仿宋_GB2312"/>
          <w:b w:val="0"/>
          <w:sz w:val="32"/>
        </w:rPr>
        <w:t>其中：财政拨款收入4,143.50万元，占96.23%；上级补助收入0.00万元，占0.00%；事业收入0.00万元，占0.00%；经营收入0.00万元，占0.00%；附属单位上缴收入0.00万元，占0.00%；其他收入162.48万元，占3.77%。</w:t>
      </w:r>
    </w:p>
    <w:p w14:paraId="4334FC35">
      <w:pPr>
        <w:spacing w:line="640" w:lineRule="exact"/>
        <w:ind w:firstLine="640"/>
        <w:jc w:val="both"/>
        <w:outlineLvl w:val="2"/>
      </w:pPr>
      <w:r>
        <w:rPr>
          <w:rFonts w:ascii="黑体" w:hAnsi="黑体" w:eastAsia="黑体"/>
          <w:sz w:val="32"/>
        </w:rPr>
        <w:t>三、支出决算情况说明</w:t>
      </w:r>
    </w:p>
    <w:p w14:paraId="4607994C">
      <w:pPr>
        <w:spacing w:line="580" w:lineRule="exact"/>
        <w:ind w:firstLine="640"/>
        <w:jc w:val="both"/>
      </w:pPr>
      <w:r>
        <w:rPr>
          <w:rFonts w:ascii="仿宋_GB2312" w:hAnsi="仿宋_GB2312" w:eastAsia="仿宋_GB2312"/>
          <w:b/>
          <w:sz w:val="32"/>
        </w:rPr>
        <w:t>本年支出4,305.98万元，</w:t>
      </w:r>
      <w:r>
        <w:rPr>
          <w:rFonts w:ascii="仿宋_GB2312" w:hAnsi="仿宋_GB2312" w:eastAsia="仿宋_GB2312"/>
          <w:b w:val="0"/>
          <w:sz w:val="32"/>
        </w:rPr>
        <w:t>其中：基本支出1,737.88万元，占40.36%；项目支出2,568.11万元，占59.64%；上缴上级支出0.00万元，占0.00%；经营支出0.00万元，占0.00%；对附属单位补助支出0.00万元，占0.00%。</w:t>
      </w:r>
    </w:p>
    <w:p w14:paraId="6F94773B">
      <w:pPr>
        <w:spacing w:line="640" w:lineRule="exact"/>
        <w:ind w:firstLine="640"/>
        <w:jc w:val="both"/>
        <w:outlineLvl w:val="2"/>
      </w:pPr>
      <w:r>
        <w:rPr>
          <w:rFonts w:ascii="黑体" w:hAnsi="黑体" w:eastAsia="黑体"/>
          <w:sz w:val="32"/>
        </w:rPr>
        <w:t>四、财政拨款收入支出决算总体情况说明</w:t>
      </w:r>
    </w:p>
    <w:p w14:paraId="0D042068">
      <w:pPr>
        <w:spacing w:line="580" w:lineRule="exact"/>
        <w:ind w:firstLine="640"/>
        <w:jc w:val="both"/>
      </w:pPr>
      <w:r>
        <w:rPr>
          <w:rFonts w:ascii="仿宋_GB2312" w:hAnsi="仿宋_GB2312" w:eastAsia="仿宋_GB2312"/>
          <w:b/>
          <w:sz w:val="32"/>
        </w:rPr>
        <w:t>2024年度财政拨款收入总计4,143.50万元，</w:t>
      </w:r>
      <w:r>
        <w:rPr>
          <w:rFonts w:ascii="仿宋_GB2312" w:hAnsi="仿宋_GB2312" w:eastAsia="仿宋_GB2312"/>
          <w:b w:val="0"/>
          <w:sz w:val="32"/>
        </w:rPr>
        <w:t>其中：年初财政拨款结转和结余0.00万元，本年财政拨款收入4,143.50万元。</w:t>
      </w:r>
      <w:r>
        <w:rPr>
          <w:rFonts w:ascii="仿宋_GB2312" w:hAnsi="仿宋_GB2312" w:eastAsia="仿宋_GB2312"/>
          <w:b/>
          <w:sz w:val="32"/>
        </w:rPr>
        <w:t>财政拨款支出总计4,143.50万元，</w:t>
      </w:r>
      <w:r>
        <w:rPr>
          <w:rFonts w:ascii="仿宋_GB2312" w:hAnsi="仿宋_GB2312" w:eastAsia="仿宋_GB2312"/>
          <w:b w:val="0"/>
          <w:sz w:val="32"/>
        </w:rPr>
        <w:t>其中：年末财政拨款结转和结余0.00万元，本年财政拨款支出4,143.50万元。</w:t>
      </w:r>
    </w:p>
    <w:p w14:paraId="2B9DC7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6,795.49万元，下降62.12%，主要原因是：本年减少温室大棚建设项目、设施农业产业基地建设项目、叶城县阿克塔什镇白玉（7）村示范村乡村建设项目、叶城县阿克塔什镇防渗渠建设、国有农牧场税收税费改革转移支付资金、2023年土地出让金（良种场）等。</w:t>
      </w:r>
      <w:r>
        <w:rPr>
          <w:rFonts w:ascii="仿宋_GB2312" w:hAnsi="仿宋_GB2312" w:eastAsia="仿宋_GB2312"/>
          <w:b/>
          <w:sz w:val="32"/>
        </w:rPr>
        <w:t>与年初预算相比，</w:t>
      </w:r>
      <w:r>
        <w:rPr>
          <w:rFonts w:ascii="仿宋_GB2312" w:hAnsi="仿宋_GB2312" w:eastAsia="仿宋_GB2312"/>
          <w:b w:val="0"/>
          <w:sz w:val="32"/>
        </w:rPr>
        <w:t>年初预算数2,042.45万元，决算数4,143.50万元，预决算差异率102.87%，主要原因是：年中追加土地碎片化整理项目、就业园区附属设施提升改造项目等，年中追加人员工资、社保、公积金基数调增部分资金，导致预决算存在差异。</w:t>
      </w:r>
    </w:p>
    <w:p w14:paraId="575E4F62">
      <w:pPr>
        <w:spacing w:line="640" w:lineRule="exact"/>
        <w:ind w:firstLine="640"/>
        <w:jc w:val="both"/>
        <w:outlineLvl w:val="2"/>
      </w:pPr>
      <w:r>
        <w:rPr>
          <w:rFonts w:ascii="黑体" w:hAnsi="黑体" w:eastAsia="黑体"/>
          <w:sz w:val="32"/>
        </w:rPr>
        <w:t>五、一般公共预算财政拨款支出决算情况说明</w:t>
      </w:r>
    </w:p>
    <w:p w14:paraId="3FD28B2D">
      <w:pPr>
        <w:spacing w:line="640" w:lineRule="exact"/>
        <w:ind w:firstLine="640"/>
        <w:jc w:val="both"/>
        <w:outlineLvl w:val="3"/>
      </w:pPr>
      <w:r>
        <w:rPr>
          <w:rFonts w:ascii="楷体_GB2312" w:hAnsi="楷体_GB2312" w:eastAsia="楷体_GB2312"/>
          <w:b/>
          <w:sz w:val="32"/>
        </w:rPr>
        <w:t>（一）一般公共预算财政拨款支出决算总体情况</w:t>
      </w:r>
    </w:p>
    <w:p w14:paraId="291AA4AC">
      <w:pPr>
        <w:spacing w:line="580" w:lineRule="exact"/>
        <w:ind w:firstLine="640"/>
        <w:jc w:val="both"/>
      </w:pPr>
      <w:r>
        <w:rPr>
          <w:rFonts w:ascii="仿宋_GB2312" w:hAnsi="仿宋_GB2312" w:eastAsia="仿宋_GB2312"/>
          <w:b/>
          <w:sz w:val="32"/>
        </w:rPr>
        <w:t>2024年度一般公共预算财政拨款支出4,143.50万元，</w:t>
      </w:r>
      <w:r>
        <w:rPr>
          <w:rFonts w:ascii="仿宋_GB2312" w:hAnsi="仿宋_GB2312" w:eastAsia="仿宋_GB2312"/>
          <w:b w:val="0"/>
          <w:sz w:val="32"/>
        </w:rPr>
        <w:t>占本年支出合计的96.23%。</w:t>
      </w:r>
      <w:r>
        <w:rPr>
          <w:rFonts w:ascii="仿宋_GB2312" w:hAnsi="仿宋_GB2312" w:eastAsia="仿宋_GB2312"/>
          <w:b/>
          <w:sz w:val="32"/>
        </w:rPr>
        <w:t>与上年相比，</w:t>
      </w:r>
      <w:r>
        <w:rPr>
          <w:rFonts w:ascii="仿宋_GB2312" w:hAnsi="仿宋_GB2312" w:eastAsia="仿宋_GB2312"/>
          <w:b w:val="0"/>
          <w:sz w:val="32"/>
        </w:rPr>
        <w:t>减少6,181.15万元，下降59.87%，主要原因是：本年减少温室大棚建设项目、设施农业产业基地建设项目、叶城县阿克塔什镇白玉（7）村示范村乡村建设项目、叶城县阿克塔什镇防渗渠建设、国有农牧场税收税费改革转移支付资金等。</w:t>
      </w:r>
      <w:r>
        <w:rPr>
          <w:rFonts w:ascii="仿宋_GB2312" w:hAnsi="仿宋_GB2312" w:eastAsia="仿宋_GB2312"/>
          <w:b/>
          <w:sz w:val="32"/>
        </w:rPr>
        <w:t>与年初预算相比,</w:t>
      </w:r>
      <w:r>
        <w:rPr>
          <w:rFonts w:ascii="仿宋_GB2312" w:hAnsi="仿宋_GB2312" w:eastAsia="仿宋_GB2312"/>
          <w:b w:val="0"/>
          <w:sz w:val="32"/>
        </w:rPr>
        <w:t>年初预算数2,042.45万元，决算数4,143.50万元，预决算差异率102.87%，主要原因是：年中追加土地碎片化整理项目、就业园区附属设施提升改造项目等，年中追加人员工资、社保、公积金基数调增部分资金，导致预决算存在差异。</w:t>
      </w:r>
    </w:p>
    <w:p w14:paraId="68AF3632">
      <w:pPr>
        <w:spacing w:line="640" w:lineRule="exact"/>
        <w:ind w:firstLine="640"/>
        <w:jc w:val="both"/>
        <w:outlineLvl w:val="3"/>
      </w:pPr>
      <w:r>
        <w:rPr>
          <w:rFonts w:ascii="楷体_GB2312" w:hAnsi="楷体_GB2312" w:eastAsia="楷体_GB2312"/>
          <w:b/>
          <w:sz w:val="32"/>
        </w:rPr>
        <w:t>（二）一般公共预算财政拨款支出决算结构情况</w:t>
      </w:r>
    </w:p>
    <w:p w14:paraId="23530DE8">
      <w:pPr>
        <w:spacing w:line="580" w:lineRule="exact"/>
        <w:ind w:firstLine="640"/>
        <w:jc w:val="both"/>
      </w:pPr>
      <w:r>
        <w:rPr>
          <w:rFonts w:ascii="仿宋_GB2312" w:hAnsi="仿宋_GB2312" w:eastAsia="仿宋_GB2312"/>
          <w:b w:val="0"/>
          <w:sz w:val="32"/>
        </w:rPr>
        <w:t>1.一般公共服务支出(类)1,439.10万元,占34.73%。</w:t>
      </w:r>
    </w:p>
    <w:p w14:paraId="13E22EB3">
      <w:pPr>
        <w:spacing w:line="580" w:lineRule="exact"/>
        <w:ind w:firstLine="640"/>
        <w:jc w:val="both"/>
      </w:pPr>
      <w:r>
        <w:rPr>
          <w:rFonts w:ascii="仿宋_GB2312" w:hAnsi="仿宋_GB2312" w:eastAsia="仿宋_GB2312"/>
          <w:b w:val="0"/>
          <w:sz w:val="32"/>
        </w:rPr>
        <w:t>2.公共安全支出(类)2.50万元,占0.06%。</w:t>
      </w:r>
    </w:p>
    <w:p w14:paraId="73A377C5">
      <w:pPr>
        <w:spacing w:line="580" w:lineRule="exact"/>
        <w:ind w:firstLine="640"/>
        <w:jc w:val="both"/>
      </w:pPr>
      <w:r>
        <w:rPr>
          <w:rFonts w:ascii="仿宋_GB2312" w:hAnsi="仿宋_GB2312" w:eastAsia="仿宋_GB2312"/>
          <w:b w:val="0"/>
          <w:sz w:val="32"/>
        </w:rPr>
        <w:t>3.文化旅游体育与传媒支出(类)4.92万元,占0.12%。</w:t>
      </w:r>
    </w:p>
    <w:p w14:paraId="30BBC434">
      <w:pPr>
        <w:spacing w:line="580" w:lineRule="exact"/>
        <w:ind w:firstLine="640"/>
        <w:jc w:val="both"/>
      </w:pPr>
      <w:r>
        <w:rPr>
          <w:rFonts w:ascii="仿宋_GB2312" w:hAnsi="仿宋_GB2312" w:eastAsia="仿宋_GB2312"/>
          <w:b w:val="0"/>
          <w:sz w:val="32"/>
        </w:rPr>
        <w:t>4.社会保障和就业支出(类)192.35万元,占4.64%。</w:t>
      </w:r>
    </w:p>
    <w:p w14:paraId="5C96789D">
      <w:pPr>
        <w:spacing w:line="580" w:lineRule="exact"/>
        <w:ind w:firstLine="640"/>
        <w:jc w:val="both"/>
      </w:pPr>
      <w:r>
        <w:rPr>
          <w:rFonts w:ascii="仿宋_GB2312" w:hAnsi="仿宋_GB2312" w:eastAsia="仿宋_GB2312"/>
          <w:b w:val="0"/>
          <w:sz w:val="32"/>
        </w:rPr>
        <w:t>5.卫生健康支出(类)92.30万元,占2.23%。</w:t>
      </w:r>
    </w:p>
    <w:p w14:paraId="0F9EFE57">
      <w:pPr>
        <w:spacing w:line="580" w:lineRule="exact"/>
        <w:ind w:firstLine="640"/>
        <w:jc w:val="both"/>
      </w:pPr>
      <w:r>
        <w:rPr>
          <w:rFonts w:ascii="仿宋_GB2312" w:hAnsi="仿宋_GB2312" w:eastAsia="仿宋_GB2312"/>
          <w:b w:val="0"/>
          <w:sz w:val="32"/>
        </w:rPr>
        <w:t>6.农林水支出(类)2,272.38万元,占54.84%。</w:t>
      </w:r>
    </w:p>
    <w:p w14:paraId="1D4C2D35">
      <w:pPr>
        <w:spacing w:line="580" w:lineRule="exact"/>
        <w:ind w:firstLine="640"/>
        <w:jc w:val="both"/>
      </w:pPr>
      <w:r>
        <w:rPr>
          <w:rFonts w:ascii="仿宋_GB2312" w:hAnsi="仿宋_GB2312" w:eastAsia="仿宋_GB2312"/>
          <w:b w:val="0"/>
          <w:sz w:val="32"/>
        </w:rPr>
        <w:t>7.住房保障支出(类)139.95万元,占3.38%。</w:t>
      </w:r>
    </w:p>
    <w:p w14:paraId="47104F18">
      <w:pPr>
        <w:spacing w:line="640" w:lineRule="exact"/>
        <w:ind w:firstLine="640"/>
        <w:jc w:val="both"/>
        <w:outlineLvl w:val="3"/>
      </w:pPr>
      <w:r>
        <w:rPr>
          <w:rFonts w:ascii="楷体_GB2312" w:hAnsi="楷体_GB2312" w:eastAsia="楷体_GB2312"/>
          <w:b/>
          <w:sz w:val="32"/>
        </w:rPr>
        <w:t>（三）一般公共预算财政拨款支出决算具体情况</w:t>
      </w:r>
    </w:p>
    <w:p w14:paraId="27212F17">
      <w:pPr>
        <w:spacing w:line="580" w:lineRule="exact"/>
        <w:ind w:firstLine="640"/>
        <w:jc w:val="both"/>
      </w:pPr>
      <w:r>
        <w:rPr>
          <w:rFonts w:ascii="仿宋_GB2312" w:hAnsi="仿宋_GB2312" w:eastAsia="仿宋_GB2312"/>
          <w:b w:val="0"/>
          <w:sz w:val="32"/>
        </w:rPr>
        <w:t>1.一般公共服务支出(类)人大事务(款)代表工作(项):支出决算数为2.45万元，比上年决算增加0.13万元，增长5.60%,主要原因是：本年度增加乡级人大代表活动经费。</w:t>
      </w:r>
    </w:p>
    <w:p w14:paraId="31F87D7E">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2.一般公共服务支出(类)人大事务(款)其他人大事务支出(项):支出决算数为0.00万元，比上年决算减少1.20万元，下降100.00%,主要原因是：本年减少自治区人大代表活动经费。</w:t>
      </w:r>
    </w:p>
    <w:p w14:paraId="39BFDC83">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1,318.27万元，比上年决算增加257.39万元，增长24.26%,主要原因是：本年新增在职人员，人员工资调增，人员经费增加，导致经费较上年有所增加。</w:t>
      </w:r>
    </w:p>
    <w:p w14:paraId="296CA5D8">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4.一般公共服务支出(类)政府办公厅（室）及相关机构事务(款)一般行政管理事务(项):支出决算数为10.44万元，比上年决算增加10.44万元，增长100.00%,主要原因是：本年度增加专项公用经费。</w:t>
      </w:r>
    </w:p>
    <w:p w14:paraId="10A48C7C">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5.一般公共服务支出(类)纪检监察事务(款)其他纪检监察事务支出(项):支出决算数为2.00万元，比上年决算增加1.00万元，增长100.00%,主要原因是：本年度增加纪检经费。</w:t>
      </w:r>
    </w:p>
    <w:p w14:paraId="6DD56469">
      <w:pPr>
        <w:spacing w:line="580" w:lineRule="exact"/>
        <w:ind w:firstLine="640"/>
        <w:jc w:val="both"/>
      </w:pPr>
      <w:r>
        <w:rPr>
          <w:rFonts w:ascii="仿宋_GB2312" w:hAnsi="仿宋_GB2312" w:eastAsia="仿宋_GB2312"/>
          <w:b w:val="0"/>
          <w:sz w:val="32"/>
        </w:rPr>
        <w:t>6.一般公共服务支出(类)组织事务(款)其他组织事务支出(项):支出决算数为104.44万元，比上年决算增加10.24万元，增长10.87%,主要原因是：本年度增加为民办实事经费和村级运转经费。</w:t>
      </w:r>
    </w:p>
    <w:p w14:paraId="376AB531">
      <w:pPr>
        <w:spacing w:line="580" w:lineRule="exact"/>
        <w:ind w:firstLine="640"/>
        <w:jc w:val="both"/>
      </w:pPr>
      <w:r>
        <w:rPr>
          <w:rFonts w:ascii="仿宋_GB2312" w:hAnsi="仿宋_GB2312" w:eastAsia="仿宋_GB2312"/>
          <w:b w:val="0"/>
          <w:sz w:val="32"/>
        </w:rPr>
        <w:t>7.一般公共服务支出(类)统战事务(款)宗教事务(项):支出决算数为1.00万元，比上年决算增加1.00万元，增长100.00%,主要原因是：本年新增叶城县阿克塔什镇2024年管委会经费项目。</w:t>
      </w:r>
    </w:p>
    <w:p w14:paraId="662D4970">
      <w:pPr>
        <w:spacing w:line="580" w:lineRule="exact"/>
        <w:ind w:firstLine="640"/>
        <w:jc w:val="both"/>
      </w:pPr>
      <w:r>
        <w:rPr>
          <w:rFonts w:ascii="仿宋_GB2312" w:hAnsi="仿宋_GB2312" w:eastAsia="仿宋_GB2312"/>
          <w:b w:val="0"/>
          <w:sz w:val="32"/>
        </w:rPr>
        <w:t>8.一般公共服务支出(类)统战事务(款)其他统战事务支出(项):支出决算数为0.50万元，比上年决算减少1.99万元，下降79.92%,主要原因是：2023年度管委会经费较上年减少。</w:t>
      </w:r>
    </w:p>
    <w:p w14:paraId="1947713B">
      <w:pPr>
        <w:spacing w:line="580" w:lineRule="exact"/>
        <w:ind w:firstLine="640"/>
        <w:jc w:val="both"/>
      </w:pPr>
      <w:r>
        <w:rPr>
          <w:rFonts w:ascii="仿宋_GB2312" w:hAnsi="仿宋_GB2312" w:eastAsia="仿宋_GB2312"/>
          <w:b w:val="0"/>
          <w:sz w:val="32"/>
        </w:rPr>
        <w:t>9.公共安全支出(类)其他公共安全支出(款)其他公共安全支出(项):支出决算数为2.50万元，比上年决算减少9.50万元，下降79.17%,主要原因是：本年度减少集中整治工作经费项目及转移支付资金。</w:t>
      </w:r>
    </w:p>
    <w:p w14:paraId="6DE79A40">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10.文化旅游体育与传媒支出(类)文化和旅游(款)其他文化和旅游支出(项):支出决算数为1.00万元，比上年决算减少13.84万元，下降93.26%,主要原因是：本年度减少文化站免费开放补助资金。</w:t>
      </w:r>
    </w:p>
    <w:p w14:paraId="32697F67">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3.92万元，比上年决算增加0.00万元，增长0.00%,主要原因是：2024年第一批中央补助地方公共文化服务体系建设补助资金与上年一致，无变化。</w:t>
      </w:r>
    </w:p>
    <w:p w14:paraId="5D7DB548">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12.社会保障和就业支出(类)民政管理事务(款)其他民政管理事务支出(项):支出决算数为5.00万元，比上年决算增加0.00万元，增长0.00%,主要原因是：2024年自治区农村幸福大院补助资金与上年一致，无变化。</w:t>
      </w:r>
    </w:p>
    <w:p w14:paraId="757C9694">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13.社会保障和就业支出(类)行政事业单位养老支出(款)行政单位离退休(项):支出决算数为1.69万元，比上年决算增加1.44万元，增长576.00%,主要原因是：本年新增退休人员，行政单位离退休经费增加。</w:t>
      </w:r>
    </w:p>
    <w:p w14:paraId="42BBCC99">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14.社会保障和就业支出(类)行政事业单位养老支出(款)机关事业单位基本养老保险缴费支出(项):支出决算数为177.11万元，比上年决算增加79.12万元，增长80.74%,</w:t>
      </w:r>
      <w:bookmarkStart w:id="0" w:name="_GoBack"/>
      <w:bookmarkEnd w:id="0"/>
      <w:r>
        <w:rPr>
          <w:rFonts w:ascii="仿宋_GB2312" w:hAnsi="仿宋_GB2312" w:eastAsia="仿宋_GB2312"/>
          <w:b w:val="0"/>
          <w:sz w:val="32"/>
        </w:rPr>
        <w:t>主要原因是：本年在职人员增加，人员工资基数调增，养老缴费基数上涨，相应支出增加。</w:t>
      </w:r>
    </w:p>
    <w:p w14:paraId="09BE930E">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15.社会保障和就业支出(类)行政事业单位养老支出(款)机关事业单位职业年金缴费支出(项):支出决算数为8.55万元，比上年决算增加8.55万元，增长100.00%,主要原因是：本年</w:t>
      </w:r>
      <w:r>
        <w:rPr>
          <w:rFonts w:hint="eastAsia" w:ascii="仿宋_GB2312" w:hAnsi="仿宋_GB2312" w:eastAsia="仿宋_GB2312"/>
          <w:b w:val="0"/>
          <w:sz w:val="32"/>
          <w:lang w:val="en-US" w:eastAsia="zh-CN"/>
        </w:rPr>
        <w:t>新增退休人员，职业年金支出增加，</w:t>
      </w:r>
      <w:r>
        <w:rPr>
          <w:rFonts w:ascii="仿宋_GB2312" w:hAnsi="仿宋_GB2312" w:eastAsia="仿宋_GB2312"/>
          <w:b w:val="0"/>
          <w:sz w:val="32"/>
        </w:rPr>
        <w:t>导致经费较上年增加。</w:t>
      </w:r>
    </w:p>
    <w:p w14:paraId="445F19C3">
      <w:pPr>
        <w:spacing w:line="580" w:lineRule="exact"/>
        <w:ind w:firstLine="640"/>
        <w:jc w:val="both"/>
      </w:pPr>
      <w:r>
        <w:rPr>
          <w:rFonts w:ascii="仿宋_GB2312" w:hAnsi="仿宋_GB2312" w:eastAsia="仿宋_GB2312"/>
          <w:b w:val="0"/>
          <w:sz w:val="32"/>
        </w:rPr>
        <w:t>16.卫生健康支出(类)行政事业单位医疗(款)行政单位医疗(项):支出决算数为75.27万元，比上年决算增加33.87万元，增长81.81%,主要原因是：本年在职人员增加，人员工资基数调增，医疗缴费基数上涨，相应支出增加。</w:t>
      </w:r>
    </w:p>
    <w:p w14:paraId="4C4D2400">
      <w:pPr>
        <w:spacing w:line="580" w:lineRule="exact"/>
        <w:ind w:firstLine="640"/>
        <w:jc w:val="both"/>
      </w:pPr>
      <w:r>
        <w:rPr>
          <w:rFonts w:ascii="仿宋_GB2312" w:hAnsi="仿宋_GB2312" w:eastAsia="仿宋_GB2312"/>
          <w:b w:val="0"/>
          <w:sz w:val="32"/>
        </w:rPr>
        <w:t>17.卫生健康支出(类)行政事业单位医疗(款)公务员医疗补助(项):支出决算数为17.03万元，比上年决算增加6.25万元，增长57.98%,主要原因是：本年在职人员增加，人员工资基数调增，医疗缴费基数上涨，公务员医疗补助较上年增加。</w:t>
      </w:r>
    </w:p>
    <w:p w14:paraId="0176E668">
      <w:pPr>
        <w:spacing w:line="580" w:lineRule="exact"/>
        <w:ind w:firstLine="640"/>
        <w:jc w:val="both"/>
      </w:pPr>
      <w:r>
        <w:rPr>
          <w:rFonts w:ascii="仿宋_GB2312" w:hAnsi="仿宋_GB2312" w:eastAsia="仿宋_GB2312"/>
          <w:b w:val="0"/>
          <w:sz w:val="32"/>
        </w:rPr>
        <w:t>18.农林水支出(类)农业农村(款)行政运行(项):支出决算数为0.00万元，比上年决算减少43.03万元，下降100.00%,主要原因是：本年减少此科目安排的津贴补贴支出，导致经费支出减少。</w:t>
      </w:r>
    </w:p>
    <w:p w14:paraId="28B091F0">
      <w:pPr>
        <w:spacing w:line="580" w:lineRule="exact"/>
        <w:ind w:firstLine="640"/>
        <w:jc w:val="both"/>
      </w:pPr>
      <w:r>
        <w:rPr>
          <w:rFonts w:ascii="仿宋_GB2312" w:hAnsi="仿宋_GB2312" w:eastAsia="仿宋_GB2312"/>
          <w:b w:val="0"/>
          <w:sz w:val="32"/>
        </w:rPr>
        <w:t>19.农林水支出(类)农业农村(款)农业生产发展(项):支出决算数为3.52万元，比上年决算增加3.52万元，增长100.00%,主要原因是：本年度增加高素质农民培育项目-阿克塔什镇（1）村、阿克塔什镇（2）村项目。</w:t>
      </w:r>
    </w:p>
    <w:p w14:paraId="5E6B350D">
      <w:pPr>
        <w:spacing w:line="580" w:lineRule="exact"/>
        <w:ind w:firstLine="640"/>
        <w:jc w:val="both"/>
      </w:pPr>
      <w:r>
        <w:rPr>
          <w:rFonts w:ascii="仿宋_GB2312" w:hAnsi="仿宋_GB2312" w:eastAsia="仿宋_GB2312"/>
          <w:b w:val="0"/>
          <w:sz w:val="32"/>
        </w:rPr>
        <w:t>20.农林水支出(类)巩固脱贫攻坚成果衔接乡村振兴(款)农村基础设施建设(项):支出决算数为0.00万元，比上年决算减少40.47万元，下降100.00%,主要原因是：本年减少叶城县阿克塔什镇设施农业产业基地项目。</w:t>
      </w:r>
    </w:p>
    <w:p w14:paraId="1D18BA01">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2,125.86万元，比上年决算减少6,462.18万元，下降75.25%,主要原因是：本年减少温室大棚建设项目、设施农业产业基地建设项目、叶城县阿克塔什镇白玉（7）村示范村乡村建设项目、叶城县阿克塔什镇防渗渠建设等。</w:t>
      </w:r>
    </w:p>
    <w:p w14:paraId="68EE7250">
      <w:pPr>
        <w:spacing w:line="580" w:lineRule="exact"/>
        <w:ind w:firstLine="640"/>
        <w:jc w:val="both"/>
      </w:pPr>
      <w:r>
        <w:rPr>
          <w:rFonts w:ascii="仿宋_GB2312" w:hAnsi="仿宋_GB2312" w:eastAsia="仿宋_GB2312"/>
          <w:b w:val="0"/>
          <w:sz w:val="32"/>
        </w:rPr>
        <w:t>22.农林水支出(类)农村综合改革(款)其他农村综合改革支出(项):支出决算数为143.00万元，比上年决算减少88.97万元，下降38.35%,主要原因是：本年度减少国有农牧场税收税费改革转移支付资金。</w:t>
      </w:r>
    </w:p>
    <w:p w14:paraId="14B470DA">
      <w:pPr>
        <w:spacing w:line="580" w:lineRule="exact"/>
        <w:ind w:firstLine="640"/>
        <w:jc w:val="both"/>
      </w:pPr>
      <w:r>
        <w:rPr>
          <w:rFonts w:ascii="仿宋_GB2312" w:hAnsi="仿宋_GB2312" w:eastAsia="仿宋_GB2312"/>
          <w:b w:val="0"/>
          <w:sz w:val="32"/>
        </w:rPr>
        <w:t>23.住房保障支出(类)住房改革支出(款)住房公积金(项):支出决算数为139.95万元，比上年决算增加67.07万元，增长92.03%,主要原因是：本年在职人员增加，人员工资基数调增，公积金缴费基数上涨，相应支出增加。</w:t>
      </w:r>
    </w:p>
    <w:p w14:paraId="503E04C3">
      <w:pPr>
        <w:spacing w:line="640" w:lineRule="exact"/>
        <w:ind w:firstLine="640"/>
        <w:jc w:val="both"/>
        <w:outlineLvl w:val="2"/>
      </w:pPr>
      <w:r>
        <w:rPr>
          <w:rFonts w:ascii="黑体" w:hAnsi="黑体" w:eastAsia="黑体"/>
          <w:sz w:val="32"/>
        </w:rPr>
        <w:t>六、一般公共预算财政拨款基本支出决算情况说明</w:t>
      </w:r>
    </w:p>
    <w:p w14:paraId="58850AD0">
      <w:pPr>
        <w:spacing w:line="580" w:lineRule="exact"/>
        <w:ind w:firstLine="640"/>
        <w:jc w:val="both"/>
      </w:pPr>
      <w:r>
        <w:rPr>
          <w:rFonts w:ascii="仿宋_GB2312" w:hAnsi="仿宋_GB2312" w:eastAsia="仿宋_GB2312"/>
          <w:b w:val="0"/>
          <w:sz w:val="32"/>
        </w:rPr>
        <w:t>2024年度一般公共预算财政拨款基本支出1,737.88万元，其中：</w:t>
      </w:r>
      <w:r>
        <w:rPr>
          <w:rFonts w:ascii="仿宋_GB2312" w:hAnsi="仿宋_GB2312" w:eastAsia="仿宋_GB2312"/>
          <w:b/>
          <w:sz w:val="32"/>
        </w:rPr>
        <w:t>人员经费1,698.12万元，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包括：基本工资、津贴补贴、奖金、绩效工资、机关事业单位基本养老保险缴费、职业年金缴费、职工基本医疗保险缴费、公务员医疗补助缴费、其他社会保障缴费、住房公积金、退休费、奖励金。</w:t>
      </w:r>
    </w:p>
    <w:p w14:paraId="1FBE0474">
      <w:pPr>
        <w:spacing w:line="580" w:lineRule="exact"/>
        <w:ind w:firstLine="640"/>
        <w:jc w:val="both"/>
      </w:pPr>
      <w:r>
        <w:rPr>
          <w:rFonts w:ascii="仿宋_GB2312" w:hAnsi="仿宋_GB2312" w:eastAsia="仿宋_GB2312"/>
          <w:b/>
          <w:sz w:val="32"/>
        </w:rPr>
        <w:t>公用经费39.76万元，</w:t>
      </w:r>
      <w:r>
        <w:rPr>
          <w:rFonts w:ascii="仿宋_GB2312" w:hAnsi="仿宋_GB2312" w:eastAsia="仿宋_GB2312"/>
          <w:b w:val="0"/>
          <w:sz w:val="32"/>
        </w:rPr>
        <w:t>包括：办公费、电费、邮电费、差旅费、劳务费、委托业务费、公务用车运行维护费、其他交通费用。</w:t>
      </w:r>
    </w:p>
    <w:p w14:paraId="5FAFFCE5">
      <w:pPr>
        <w:spacing w:line="640" w:lineRule="exact"/>
        <w:ind w:firstLine="640"/>
        <w:jc w:val="both"/>
        <w:outlineLvl w:val="2"/>
      </w:pPr>
      <w:r>
        <w:rPr>
          <w:rFonts w:ascii="黑体" w:hAnsi="黑体" w:eastAsia="黑体"/>
          <w:sz w:val="32"/>
        </w:rPr>
        <w:t>七、政府性基金预算财政拨款收入支出决算情况说明</w:t>
      </w:r>
    </w:p>
    <w:p w14:paraId="6A0FDB7E">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441687C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减少614.34万元，下降100.00%，主要原因是：本年度减少2023年土地出让金（良种场）。</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年初预算数0.00万元，决算数0.00万元，预决算差异率0.00%，主要原因是：本年未安排政府性基金预算财政拨款。</w:t>
      </w:r>
    </w:p>
    <w:p w14:paraId="24417A45">
      <w:pPr>
        <w:spacing w:line="580" w:lineRule="exact"/>
        <w:ind w:firstLine="640"/>
        <w:jc w:val="both"/>
      </w:pPr>
      <w:r>
        <w:rPr>
          <w:rFonts w:ascii="仿宋_GB2312" w:hAnsi="仿宋_GB2312" w:eastAsia="仿宋_GB2312"/>
          <w:b w:val="0"/>
          <w:sz w:val="32"/>
        </w:rPr>
        <w:t>政府性基金预算财政拨款支出0.00万元。</w:t>
      </w:r>
    </w:p>
    <w:p w14:paraId="60C74D1C">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1.城乡社区支出(类)国有土地使用权出让收入安排的支出(款)农村社会事业支出(项):支出决算数为0.00万元，比上年决算减少614.34万元，下降100.00%,主要原因是：本年度减少2023年土地出让金（良种场）。</w:t>
      </w:r>
    </w:p>
    <w:p w14:paraId="6F4862F1">
      <w:pPr>
        <w:spacing w:line="640" w:lineRule="exact"/>
        <w:ind w:firstLine="640"/>
        <w:jc w:val="both"/>
        <w:outlineLvl w:val="2"/>
      </w:pPr>
      <w:r>
        <w:rPr>
          <w:rFonts w:ascii="黑体" w:hAnsi="黑体" w:eastAsia="黑体"/>
          <w:sz w:val="32"/>
        </w:rPr>
        <w:t>八、国有资本经营预算财政拨款收入支出决算情况说明</w:t>
      </w:r>
    </w:p>
    <w:p w14:paraId="03048AD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BF99ED2">
      <w:pPr>
        <w:spacing w:line="640" w:lineRule="exact"/>
        <w:ind w:firstLine="640"/>
        <w:jc w:val="both"/>
        <w:outlineLvl w:val="2"/>
      </w:pPr>
      <w:r>
        <w:rPr>
          <w:rFonts w:ascii="黑体" w:hAnsi="黑体" w:eastAsia="黑体"/>
          <w:sz w:val="32"/>
        </w:rPr>
        <w:t>九、财政拨款“三公”经费支出决算情况说明</w:t>
      </w:r>
    </w:p>
    <w:p w14:paraId="52608D06">
      <w:pPr>
        <w:spacing w:line="580" w:lineRule="exact"/>
        <w:ind w:firstLine="640"/>
        <w:jc w:val="both"/>
      </w:pPr>
      <w:r>
        <w:rPr>
          <w:rFonts w:ascii="仿宋_GB2312" w:hAnsi="仿宋_GB2312" w:eastAsia="仿宋_GB2312"/>
          <w:b/>
          <w:sz w:val="32"/>
        </w:rPr>
        <w:t>2024年度财政拨款“三公”经费支出4.25万元，</w:t>
      </w:r>
      <w:r>
        <w:rPr>
          <w:rFonts w:ascii="仿宋_GB2312" w:hAnsi="仿宋_GB2312" w:eastAsia="仿宋_GB2312"/>
          <w:b w:val="0"/>
          <w:sz w:val="32"/>
        </w:rPr>
        <w:t>比上年增加2.10万元，增长97.67%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4.25万元，占100.00%，比上年增加2.10万元，增长97.67%，主要原因是：本年因业务需求，用车次数增加，燃油费增加，导致公务用车运行维护费较上年增加。公务接待费支出0.00万元，占0.00%，比上年增加0.00万元，增长0.00%，主要原因是：2023年与2024年均未安排公务接待费支出。</w:t>
      </w:r>
    </w:p>
    <w:p w14:paraId="2ACB2A1F">
      <w:pPr>
        <w:spacing w:line="580" w:lineRule="exact"/>
        <w:ind w:firstLine="640"/>
        <w:jc w:val="both"/>
      </w:pPr>
      <w:r>
        <w:rPr>
          <w:rFonts w:ascii="仿宋_GB2312" w:hAnsi="仿宋_GB2312" w:eastAsia="仿宋_GB2312"/>
          <w:b/>
          <w:sz w:val="32"/>
        </w:rPr>
        <w:t>具体情况如下：</w:t>
      </w:r>
    </w:p>
    <w:p w14:paraId="2F159E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316056">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燃油费、车辆保险费、维修维护费。公务用车购置数0辆，公务用车保有量2辆。国有资产占用情况中固定资产车辆2辆，与公务用车保有量差异原因是：本单位固定资产车辆与公务用车保有量一致无差异。</w:t>
      </w:r>
    </w:p>
    <w:p w14:paraId="4EEE3AD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B0EA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4.25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0.00万元，决算数0.00万元，预决算差异率0.00%，主要原因是：本单位无公务接待费。</w:t>
      </w:r>
    </w:p>
    <w:p w14:paraId="5D797AA9">
      <w:pPr>
        <w:spacing w:line="640" w:lineRule="exact"/>
        <w:ind w:firstLine="640"/>
        <w:jc w:val="both"/>
        <w:outlineLvl w:val="2"/>
      </w:pPr>
      <w:r>
        <w:rPr>
          <w:rFonts w:ascii="黑体" w:hAnsi="黑体" w:eastAsia="黑体"/>
          <w:sz w:val="32"/>
        </w:rPr>
        <w:t>十、其他重要事项的情况说明</w:t>
      </w:r>
    </w:p>
    <w:p w14:paraId="6D3656BE">
      <w:pPr>
        <w:spacing w:line="640" w:lineRule="exact"/>
        <w:ind w:firstLine="640"/>
        <w:jc w:val="both"/>
        <w:outlineLvl w:val="3"/>
      </w:pPr>
      <w:r>
        <w:rPr>
          <w:rFonts w:ascii="楷体_GB2312" w:hAnsi="楷体_GB2312" w:eastAsia="楷体_GB2312"/>
          <w:b/>
          <w:sz w:val="32"/>
        </w:rPr>
        <w:t>（一）机关运行经费及公用经费支出情况</w:t>
      </w:r>
    </w:p>
    <w:p w14:paraId="23675E82">
      <w:pPr>
        <w:spacing w:line="580" w:lineRule="exact"/>
        <w:ind w:firstLine="640"/>
        <w:jc w:val="both"/>
      </w:pPr>
      <w:r>
        <w:rPr>
          <w:rFonts w:ascii="仿宋_GB2312" w:hAnsi="仿宋_GB2312" w:eastAsia="仿宋_GB2312"/>
          <w:b w:val="0"/>
          <w:sz w:val="32"/>
        </w:rPr>
        <w:t>2024年度叶城县阿克塔什镇人民政府（行政单位和参照公务员法管理事业单位）机关运行经费支出39.76万元，比上年增加18.32万元，增长85.45%，主要原因是：本年增加电费、邮电费、劳务费支出，导致机关运行经费较上年增加。</w:t>
      </w:r>
    </w:p>
    <w:p w14:paraId="62030738">
      <w:pPr>
        <w:spacing w:line="640" w:lineRule="exact"/>
        <w:ind w:firstLine="640"/>
        <w:jc w:val="both"/>
        <w:outlineLvl w:val="3"/>
      </w:pPr>
      <w:r>
        <w:rPr>
          <w:rFonts w:ascii="楷体_GB2312" w:hAnsi="楷体_GB2312" w:eastAsia="楷体_GB2312"/>
          <w:b/>
          <w:sz w:val="32"/>
        </w:rPr>
        <w:t>（二）政府采购情况</w:t>
      </w:r>
    </w:p>
    <w:p w14:paraId="53F635B1">
      <w:pPr>
        <w:spacing w:line="580" w:lineRule="exact"/>
        <w:ind w:firstLine="640"/>
        <w:jc w:val="both"/>
      </w:pPr>
      <w:r>
        <w:rPr>
          <w:rFonts w:ascii="仿宋_GB2312" w:hAnsi="仿宋_GB2312" w:eastAsia="仿宋_GB2312"/>
          <w:b w:val="0"/>
          <w:sz w:val="32"/>
        </w:rPr>
        <w:t>2024年度政府采购支出总额63.89万元，其中：政府采购货物支出51.71万元、政府采购工程支出8.70万元、政府采购服务支出3.48万元。</w:t>
      </w:r>
    </w:p>
    <w:p w14:paraId="652F2FD1">
      <w:pPr>
        <w:spacing w:line="580" w:lineRule="exact"/>
        <w:ind w:firstLine="640"/>
        <w:jc w:val="both"/>
      </w:pPr>
      <w:r>
        <w:rPr>
          <w:rFonts w:ascii="仿宋_GB2312" w:hAnsi="仿宋_GB2312" w:eastAsia="仿宋_GB2312"/>
          <w:b w:val="0"/>
          <w:sz w:val="32"/>
        </w:rPr>
        <w:t>授予中小企业合同金额57.05万元，占政府采购支出总额的89.29%，其中：授予小微企业合同金额56.53万元，占政府采购支出总额的88.48%。</w:t>
      </w:r>
    </w:p>
    <w:p w14:paraId="4EC94701">
      <w:pPr>
        <w:spacing w:line="640" w:lineRule="exact"/>
        <w:ind w:firstLine="640"/>
        <w:jc w:val="both"/>
        <w:outlineLvl w:val="3"/>
      </w:pPr>
      <w:r>
        <w:rPr>
          <w:rFonts w:ascii="楷体_GB2312" w:hAnsi="楷体_GB2312" w:eastAsia="楷体_GB2312"/>
          <w:b/>
          <w:sz w:val="32"/>
        </w:rPr>
        <w:t>（三）国有资产占用情况说明</w:t>
      </w:r>
    </w:p>
    <w:p w14:paraId="5ACD84DC">
      <w:pPr>
        <w:spacing w:line="580" w:lineRule="exact"/>
        <w:ind w:firstLine="640"/>
        <w:jc w:val="both"/>
      </w:pPr>
      <w:r>
        <w:rPr>
          <w:rFonts w:ascii="仿宋_GB2312" w:hAnsi="仿宋_GB2312" w:eastAsia="仿宋_GB2312"/>
          <w:b w:val="0"/>
          <w:sz w:val="32"/>
        </w:rPr>
        <w:t>截至2024年12月31日，房屋1,684.00平方米，价值355.21万元。车辆2辆，价值21.00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EAE3698">
      <w:pPr>
        <w:spacing w:line="640" w:lineRule="exact"/>
        <w:ind w:firstLine="640"/>
        <w:jc w:val="both"/>
        <w:outlineLvl w:val="2"/>
      </w:pPr>
      <w:r>
        <w:rPr>
          <w:rFonts w:ascii="黑体" w:hAnsi="黑体" w:eastAsia="黑体"/>
          <w:sz w:val="32"/>
        </w:rPr>
        <w:t>十一、预算绩效的情况说明</w:t>
      </w:r>
    </w:p>
    <w:p w14:paraId="27A332A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4,305.98万元，实际执行总额4,305.98万元；预算绩效评价项目2个，全年预算数153.80万元，全年执行数152.29万元。预算绩效管理取得的成效：一是健全管理制度，本单位为加强预算管理，规范财务行为已制定《叶城县阿克塔什镇人民政府预算绩效管理工作实施办法》《叶城县阿克塔什镇人民政府财务管理制度》等健全完整的各项管理制度，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3D0CA898">
      <w:r>
        <w:br w:type="page"/>
      </w:r>
    </w:p>
    <w:tbl>
      <w:tblPr>
        <w:tblStyle w:val="9"/>
        <w:tblW w:w="0" w:type="auto"/>
        <w:tblInd w:w="0" w:type="dxa"/>
        <w:tblLayout w:type="fixed"/>
        <w:tblCellMar>
          <w:top w:w="0" w:type="dxa"/>
          <w:left w:w="108" w:type="dxa"/>
          <w:bottom w:w="0" w:type="dxa"/>
          <w:right w:w="108" w:type="dxa"/>
        </w:tblCellMar>
      </w:tblPr>
      <w:tblGrid>
        <w:gridCol w:w="983"/>
        <w:gridCol w:w="983"/>
        <w:gridCol w:w="1143"/>
        <w:gridCol w:w="1015"/>
        <w:gridCol w:w="954"/>
        <w:gridCol w:w="820"/>
        <w:gridCol w:w="983"/>
        <w:gridCol w:w="983"/>
        <w:gridCol w:w="983"/>
      </w:tblGrid>
      <w:tr w14:paraId="1B47FA73">
        <w:tblPrEx>
          <w:tblCellMar>
            <w:top w:w="0" w:type="dxa"/>
            <w:left w:w="108" w:type="dxa"/>
            <w:bottom w:w="0" w:type="dxa"/>
            <w:right w:w="108" w:type="dxa"/>
          </w:tblCellMar>
        </w:tblPrEx>
        <w:tc>
          <w:tcPr>
            <w:tcW w:w="8847" w:type="dxa"/>
            <w:gridSpan w:val="9"/>
            <w:vAlign w:val="center"/>
          </w:tcPr>
          <w:p w14:paraId="245594F3">
            <w:pPr>
              <w:jc w:val="center"/>
            </w:pPr>
            <w:r>
              <w:rPr>
                <w:rFonts w:ascii="宋体" w:hAnsi="宋体" w:eastAsia="宋体"/>
                <w:sz w:val="24"/>
              </w:rPr>
              <w:t>单位整体支出绩效自评表</w:t>
            </w:r>
          </w:p>
        </w:tc>
      </w:tr>
      <w:tr w14:paraId="0B92DDB7">
        <w:tblPrEx>
          <w:tblCellMar>
            <w:top w:w="0" w:type="dxa"/>
            <w:left w:w="108" w:type="dxa"/>
            <w:bottom w:w="0" w:type="dxa"/>
            <w:right w:w="108" w:type="dxa"/>
          </w:tblCellMar>
        </w:tblPrEx>
        <w:tc>
          <w:tcPr>
            <w:tcW w:w="8847" w:type="dxa"/>
            <w:gridSpan w:val="9"/>
            <w:vAlign w:val="center"/>
          </w:tcPr>
          <w:p w14:paraId="2971F9A3">
            <w:pPr>
              <w:jc w:val="center"/>
            </w:pPr>
            <w:r>
              <w:rPr>
                <w:rFonts w:ascii="宋体" w:hAnsi="宋体" w:eastAsia="宋体"/>
                <w:sz w:val="24"/>
              </w:rPr>
              <w:t>（2024年度）</w:t>
            </w:r>
          </w:p>
        </w:tc>
      </w:tr>
      <w:tr w14:paraId="646520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248F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A239B3">
            <w:pPr>
              <w:jc w:val="center"/>
            </w:pPr>
            <w:r>
              <w:rPr>
                <w:rFonts w:ascii="宋体" w:hAnsi="宋体" w:eastAsia="宋体"/>
                <w:sz w:val="16"/>
              </w:rPr>
              <w:t>叶城县阿克塔什镇人民政府</w:t>
            </w:r>
          </w:p>
        </w:tc>
      </w:tr>
      <w:tr w14:paraId="374CF1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1DE6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D4FF4">
            <w:pPr>
              <w:jc w:val="center"/>
            </w:pPr>
            <w:r>
              <w:rPr>
                <w:rFonts w:ascii="宋体" w:hAnsi="宋体" w:eastAsia="宋体"/>
                <w:sz w:val="16"/>
              </w:rPr>
              <w:t>资金来源</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1417D3B3">
            <w:pPr>
              <w:jc w:val="center"/>
            </w:pPr>
            <w:r>
              <w:rPr>
                <w:rFonts w:ascii="宋体" w:hAnsi="宋体" w:eastAsia="宋体"/>
                <w:sz w:val="16"/>
              </w:rPr>
              <w:t>年初预算数</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8509FB3">
            <w:pPr>
              <w:jc w:val="center"/>
            </w:pPr>
            <w:r>
              <w:rPr>
                <w:rFonts w:ascii="宋体" w:hAnsi="宋体" w:eastAsia="宋体"/>
                <w:sz w:val="16"/>
              </w:rPr>
              <w:t>预算数（调整后）</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18BF781C">
            <w:pPr>
              <w:jc w:val="center"/>
            </w:pPr>
            <w:r>
              <w:rPr>
                <w:rFonts w:ascii="宋体" w:hAnsi="宋体" w:eastAsia="宋体"/>
                <w:sz w:val="16"/>
              </w:rPr>
              <w:t>执行数</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70304DE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B5D6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BC262">
            <w:pPr>
              <w:jc w:val="center"/>
            </w:pPr>
            <w:r>
              <w:rPr>
                <w:rFonts w:ascii="宋体" w:hAnsi="宋体" w:eastAsia="宋体"/>
                <w:sz w:val="16"/>
              </w:rPr>
              <w:t>得分</w:t>
            </w:r>
          </w:p>
        </w:tc>
      </w:tr>
      <w:tr w14:paraId="7DF28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4CA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D80DA">
            <w:pPr>
              <w:jc w:val="center"/>
            </w:pPr>
            <w:r>
              <w:rPr>
                <w:rFonts w:ascii="宋体" w:hAnsi="宋体" w:eastAsia="宋体"/>
                <w:sz w:val="16"/>
              </w:rPr>
              <w:t>年度总资金：</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434DD6D6">
            <w:pPr>
              <w:jc w:val="center"/>
            </w:pPr>
            <w:r>
              <w:rPr>
                <w:rFonts w:ascii="宋体" w:hAnsi="宋体" w:eastAsia="宋体"/>
                <w:sz w:val="16"/>
              </w:rPr>
              <w:t>2,042.44</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6327B79">
            <w:pPr>
              <w:jc w:val="center"/>
            </w:pPr>
            <w:r>
              <w:rPr>
                <w:rFonts w:ascii="宋体" w:hAnsi="宋体" w:eastAsia="宋体"/>
                <w:sz w:val="16"/>
              </w:rPr>
              <w:t>4,305.98</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7FD3EF98">
            <w:pPr>
              <w:jc w:val="center"/>
            </w:pPr>
            <w:r>
              <w:rPr>
                <w:rFonts w:ascii="宋体" w:hAnsi="宋体" w:eastAsia="宋体"/>
                <w:sz w:val="16"/>
              </w:rPr>
              <w:t>4,305.98</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916A3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7B9D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52E29">
            <w:pPr>
              <w:jc w:val="center"/>
            </w:pPr>
            <w:r>
              <w:rPr>
                <w:rFonts w:ascii="宋体" w:hAnsi="宋体" w:eastAsia="宋体"/>
                <w:sz w:val="16"/>
              </w:rPr>
              <w:t>10</w:t>
            </w:r>
          </w:p>
        </w:tc>
      </w:tr>
      <w:tr w14:paraId="79CAE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991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F12E">
            <w:pPr>
              <w:jc w:val="center"/>
            </w:pPr>
            <w:r>
              <w:rPr>
                <w:rFonts w:ascii="宋体" w:hAnsi="宋体" w:eastAsia="宋体"/>
                <w:sz w:val="16"/>
              </w:rPr>
              <w:t>上级资金：</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519621DD">
            <w:pPr>
              <w:jc w:val="center"/>
            </w:pPr>
            <w:r>
              <w:rPr>
                <w:rFonts w:ascii="宋体" w:hAnsi="宋体" w:eastAsia="宋体"/>
                <w:sz w:val="16"/>
              </w:rPr>
              <w:t>458.29</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9DAD665">
            <w:pPr>
              <w:jc w:val="center"/>
            </w:pPr>
            <w:r>
              <w:rPr>
                <w:rFonts w:ascii="宋体" w:hAnsi="宋体" w:eastAsia="宋体"/>
                <w:sz w:val="16"/>
              </w:rPr>
              <w:t>2,404.49</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6C274220">
            <w:pPr>
              <w:jc w:val="center"/>
            </w:pPr>
            <w:r>
              <w:rPr>
                <w:rFonts w:ascii="宋体" w:hAnsi="宋体" w:eastAsia="宋体"/>
                <w:sz w:val="16"/>
              </w:rPr>
              <w:t>2,404.49</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67413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E431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6F9B7">
            <w:pPr>
              <w:jc w:val="center"/>
            </w:pPr>
            <w:r>
              <w:rPr>
                <w:rFonts w:ascii="宋体" w:hAnsi="宋体" w:eastAsia="宋体"/>
                <w:sz w:val="16"/>
              </w:rPr>
              <w:t>—</w:t>
            </w:r>
          </w:p>
        </w:tc>
      </w:tr>
      <w:tr w14:paraId="4A3180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C0D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DFDB6">
            <w:pPr>
              <w:jc w:val="center"/>
            </w:pPr>
            <w:r>
              <w:rPr>
                <w:rFonts w:ascii="宋体" w:hAnsi="宋体" w:eastAsia="宋体"/>
                <w:sz w:val="16"/>
              </w:rPr>
              <w:t>本级资金：</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0E8ABC01">
            <w:pPr>
              <w:jc w:val="center"/>
            </w:pPr>
            <w:r>
              <w:rPr>
                <w:rFonts w:ascii="宋体" w:hAnsi="宋体" w:eastAsia="宋体"/>
                <w:sz w:val="16"/>
              </w:rPr>
              <w:t>1,584.15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6A694BD">
            <w:pPr>
              <w:jc w:val="center"/>
            </w:pPr>
            <w:r>
              <w:rPr>
                <w:rFonts w:ascii="宋体" w:hAnsi="宋体" w:eastAsia="宋体"/>
                <w:sz w:val="16"/>
              </w:rPr>
              <w:t>1,739.01</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428A5FC6">
            <w:pPr>
              <w:jc w:val="center"/>
            </w:pPr>
            <w:r>
              <w:rPr>
                <w:rFonts w:ascii="宋体" w:hAnsi="宋体" w:eastAsia="宋体"/>
                <w:sz w:val="16"/>
              </w:rPr>
              <w:t>1,739.01</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9A916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B54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92A9">
            <w:pPr>
              <w:jc w:val="center"/>
            </w:pPr>
            <w:r>
              <w:rPr>
                <w:rFonts w:ascii="宋体" w:hAnsi="宋体" w:eastAsia="宋体"/>
                <w:sz w:val="16"/>
              </w:rPr>
              <w:t>—</w:t>
            </w:r>
          </w:p>
        </w:tc>
      </w:tr>
      <w:tr w14:paraId="2A2EC9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780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8E16">
            <w:pPr>
              <w:jc w:val="center"/>
            </w:pPr>
            <w:r>
              <w:rPr>
                <w:rFonts w:ascii="宋体" w:hAnsi="宋体" w:eastAsia="宋体"/>
                <w:sz w:val="16"/>
              </w:rPr>
              <w:t>其他资金：</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516E7385">
            <w:pPr>
              <w:jc w:val="center"/>
            </w:pPr>
            <w:r>
              <w:rPr>
                <w:rFonts w:ascii="宋体" w:hAnsi="宋体" w:eastAsia="宋体"/>
                <w:sz w:val="16"/>
              </w:rPr>
              <w:t>0.00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6BC0CB8">
            <w:pPr>
              <w:jc w:val="center"/>
            </w:pPr>
            <w:r>
              <w:rPr>
                <w:rFonts w:ascii="宋体" w:hAnsi="宋体" w:eastAsia="宋体"/>
                <w:sz w:val="16"/>
              </w:rPr>
              <w:t>162.48</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12B66671">
            <w:pPr>
              <w:jc w:val="center"/>
            </w:pPr>
            <w:r>
              <w:rPr>
                <w:rFonts w:ascii="宋体" w:hAnsi="宋体" w:eastAsia="宋体"/>
                <w:sz w:val="16"/>
              </w:rPr>
              <w:t>162.48</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1A0EA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0471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CF372">
            <w:pPr>
              <w:jc w:val="center"/>
            </w:pPr>
            <w:r>
              <w:rPr>
                <w:rFonts w:ascii="宋体" w:hAnsi="宋体" w:eastAsia="宋体"/>
                <w:sz w:val="16"/>
              </w:rPr>
              <w:t>—</w:t>
            </w:r>
          </w:p>
        </w:tc>
      </w:tr>
      <w:tr w14:paraId="480AB7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6151D">
            <w:pPr>
              <w:jc w:val="center"/>
            </w:pPr>
            <w:r>
              <w:rPr>
                <w:rFonts w:ascii="宋体" w:hAnsi="宋体" w:eastAsia="宋体"/>
                <w:sz w:val="16"/>
              </w:rPr>
              <w:t>年度总体目标</w:t>
            </w:r>
          </w:p>
        </w:tc>
        <w:tc>
          <w:tcPr>
            <w:tcW w:w="314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8BB04D">
            <w:pPr>
              <w:jc w:val="center"/>
            </w:pPr>
            <w:r>
              <w:rPr>
                <w:rFonts w:ascii="宋体" w:hAnsi="宋体" w:eastAsia="宋体"/>
                <w:sz w:val="16"/>
              </w:rPr>
              <w:t>预期目标</w:t>
            </w:r>
          </w:p>
        </w:tc>
        <w:tc>
          <w:tcPr>
            <w:tcW w:w="47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4FBEB">
            <w:pPr>
              <w:jc w:val="center"/>
            </w:pPr>
            <w:r>
              <w:rPr>
                <w:rFonts w:ascii="宋体" w:hAnsi="宋体" w:eastAsia="宋体"/>
                <w:sz w:val="16"/>
              </w:rPr>
              <w:t>实际完成情况</w:t>
            </w:r>
          </w:p>
        </w:tc>
      </w:tr>
      <w:tr w14:paraId="570EEC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C00F2"/>
        </w:tc>
        <w:tc>
          <w:tcPr>
            <w:tcW w:w="314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1FF7D">
            <w:pPr>
              <w:jc w:val="both"/>
            </w:pPr>
            <w:r>
              <w:rPr>
                <w:rFonts w:ascii="宋体" w:hAnsi="宋体" w:eastAsia="宋体"/>
                <w:sz w:val="16"/>
              </w:rPr>
              <w:t>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c>
          <w:tcPr>
            <w:tcW w:w="47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BD4AB">
            <w:pPr>
              <w:jc w:val="both"/>
            </w:pPr>
            <w:r>
              <w:rPr>
                <w:rFonts w:hint="eastAsia" w:ascii="宋体" w:hAnsi="宋体"/>
                <w:sz w:val="16"/>
                <w:lang w:eastAsia="zh-CN"/>
              </w:rPr>
              <w:t>截至2024</w:t>
            </w:r>
            <w:r>
              <w:rPr>
                <w:rFonts w:ascii="宋体" w:hAnsi="宋体" w:eastAsia="宋体"/>
                <w:sz w:val="16"/>
              </w:rPr>
              <w:t>年12月31日，已完成认真贯彻新时代党的路线、方针、政策，促进职能转变，巩固加强基层政权建设，建设健全适应新农村经济发展和社会稳定的体制机制。加快农村经济发展，实施3个项目，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修建防渗渠5.40公里，修建道路5公里，地面硬化30000平方米，示范村建设1个，发展集约经营。落实强农惠农措施，确保农民受益。促进民营经济发展，引导农民多渠道转移就业，增加收入，不断提高生活水平。</w:t>
            </w:r>
          </w:p>
        </w:tc>
      </w:tr>
      <w:tr w14:paraId="2E9FC6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A10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1A6E">
            <w:pPr>
              <w:jc w:val="center"/>
            </w:pPr>
            <w:r>
              <w:rPr>
                <w:rFonts w:ascii="宋体" w:hAnsi="宋体" w:eastAsia="宋体"/>
                <w:sz w:val="16"/>
              </w:rPr>
              <w:t>二级指标</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3BD625C7">
            <w:pPr>
              <w:jc w:val="center"/>
            </w:pPr>
            <w:r>
              <w:rPr>
                <w:rFonts w:ascii="宋体" w:hAnsi="宋体" w:eastAsia="宋体"/>
                <w:sz w:val="16"/>
              </w:rPr>
              <w:t>三级指标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605223A">
            <w:pPr>
              <w:jc w:val="center"/>
            </w:pPr>
            <w:r>
              <w:rPr>
                <w:rFonts w:ascii="宋体" w:hAnsi="宋体" w:eastAsia="宋体"/>
                <w:sz w:val="16"/>
              </w:rPr>
              <w:t>指标值</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2F68E96E">
            <w:pPr>
              <w:jc w:val="center"/>
            </w:pPr>
            <w:r>
              <w:rPr>
                <w:rFonts w:ascii="宋体" w:hAnsi="宋体" w:eastAsia="宋体"/>
                <w:sz w:val="16"/>
              </w:rPr>
              <w:t>指标值设定依据</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9D417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BB7E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C99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5AFE">
            <w:pPr>
              <w:jc w:val="center"/>
            </w:pPr>
            <w:r>
              <w:rPr>
                <w:rFonts w:ascii="宋体" w:hAnsi="宋体" w:eastAsia="宋体"/>
                <w:sz w:val="16"/>
              </w:rPr>
              <w:t>得分</w:t>
            </w:r>
          </w:p>
        </w:tc>
      </w:tr>
      <w:tr w14:paraId="2D9FB9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97AA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D6F26">
            <w:pPr>
              <w:jc w:val="center"/>
            </w:pPr>
            <w:r>
              <w:rPr>
                <w:rFonts w:ascii="宋体" w:hAnsi="宋体" w:eastAsia="宋体"/>
                <w:sz w:val="16"/>
              </w:rPr>
              <w:t>数量指标</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05ACF4EE">
            <w:pPr>
              <w:jc w:val="center"/>
            </w:pPr>
            <w:r>
              <w:rPr>
                <w:rFonts w:ascii="宋体" w:hAnsi="宋体" w:eastAsia="宋体"/>
                <w:sz w:val="16"/>
              </w:rPr>
              <w:t>2024年计划实施项目</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63BEDD0">
            <w:pPr>
              <w:jc w:val="center"/>
            </w:pPr>
            <w:r>
              <w:rPr>
                <w:rFonts w:ascii="宋体" w:hAnsi="宋体" w:eastAsia="宋体"/>
                <w:sz w:val="16"/>
              </w:rPr>
              <w:t>&gt;=5个</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15AE39CE">
            <w:pPr>
              <w:jc w:val="center"/>
            </w:pPr>
            <w:r>
              <w:rPr>
                <w:rFonts w:ascii="宋体" w:hAnsi="宋体" w:eastAsia="宋体"/>
                <w:sz w:val="16"/>
              </w:rPr>
              <w:t>2024年工作计划</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196319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B80F">
            <w:pPr>
              <w:jc w:val="center"/>
            </w:pPr>
            <w:r>
              <w:rPr>
                <w:rFonts w:ascii="宋体" w:hAnsi="宋体" w:eastAsia="宋体"/>
                <w:sz w:val="16"/>
              </w:rPr>
              <w:tab/>
            </w: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BBF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E359">
            <w:pPr>
              <w:jc w:val="center"/>
            </w:pPr>
            <w:r>
              <w:rPr>
                <w:rFonts w:ascii="宋体" w:hAnsi="宋体" w:eastAsia="宋体"/>
                <w:sz w:val="16"/>
              </w:rPr>
              <w:t>18</w:t>
            </w:r>
          </w:p>
        </w:tc>
      </w:tr>
      <w:tr w14:paraId="1500C6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5C7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8273D"/>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3DC121BE">
            <w:pPr>
              <w:jc w:val="center"/>
            </w:pPr>
            <w:r>
              <w:rPr>
                <w:rFonts w:ascii="宋体" w:hAnsi="宋体" w:eastAsia="宋体"/>
                <w:sz w:val="16"/>
              </w:rPr>
              <w:t>修建防渗渠</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0213532">
            <w:pPr>
              <w:jc w:val="center"/>
            </w:pPr>
            <w:r>
              <w:rPr>
                <w:rFonts w:ascii="宋体" w:hAnsi="宋体" w:eastAsia="宋体"/>
                <w:sz w:val="16"/>
              </w:rPr>
              <w:t>&gt;=5.40公里</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2122FBF7">
            <w:pPr>
              <w:jc w:val="center"/>
            </w:pPr>
            <w:r>
              <w:rPr>
                <w:rFonts w:ascii="宋体" w:hAnsi="宋体" w:eastAsia="宋体"/>
                <w:sz w:val="16"/>
              </w:rPr>
              <w:t>2024年工作计划</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D26850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858EB">
            <w:pPr>
              <w:jc w:val="center"/>
            </w:pPr>
            <w:r>
              <w:rPr>
                <w:rFonts w:ascii="宋体" w:hAnsi="宋体" w:eastAsia="宋体"/>
                <w:sz w:val="16"/>
              </w:rPr>
              <w:tab/>
            </w:r>
            <w:r>
              <w:rPr>
                <w:rFonts w:ascii="宋体" w:hAnsi="宋体" w:eastAsia="宋体"/>
                <w:sz w:val="16"/>
              </w:rPr>
              <w:t>=5.40公里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E43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49FC8">
            <w:pPr>
              <w:jc w:val="center"/>
            </w:pPr>
            <w:r>
              <w:rPr>
                <w:rFonts w:ascii="宋体" w:hAnsi="宋体" w:eastAsia="宋体"/>
                <w:sz w:val="16"/>
              </w:rPr>
              <w:t>18</w:t>
            </w:r>
          </w:p>
        </w:tc>
      </w:tr>
      <w:tr w14:paraId="720CF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1FB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98CC5"/>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1AF11261">
            <w:pPr>
              <w:jc w:val="center"/>
            </w:pPr>
            <w:r>
              <w:rPr>
                <w:rFonts w:ascii="宋体" w:hAnsi="宋体" w:eastAsia="宋体"/>
                <w:sz w:val="16"/>
              </w:rPr>
              <w:t>修建道路</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0B35BB9">
            <w:pPr>
              <w:jc w:val="center"/>
            </w:pPr>
            <w:r>
              <w:rPr>
                <w:rFonts w:ascii="宋体" w:hAnsi="宋体" w:eastAsia="宋体"/>
                <w:sz w:val="16"/>
              </w:rPr>
              <w:t>&gt;=5公里</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6A01E65B">
            <w:pPr>
              <w:jc w:val="center"/>
            </w:pPr>
            <w:r>
              <w:rPr>
                <w:rFonts w:ascii="宋体" w:hAnsi="宋体" w:eastAsia="宋体"/>
                <w:sz w:val="16"/>
              </w:rPr>
              <w:t>2024年工作计划</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47DA3FE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62BB">
            <w:pPr>
              <w:jc w:val="center"/>
            </w:pPr>
            <w:r>
              <w:rPr>
                <w:rFonts w:ascii="宋体" w:hAnsi="宋体" w:eastAsia="宋体"/>
                <w:sz w:val="16"/>
              </w:rPr>
              <w:tab/>
            </w:r>
            <w:r>
              <w:rPr>
                <w:rFonts w:ascii="宋体" w:hAnsi="宋体" w:eastAsia="宋体"/>
                <w:sz w:val="16"/>
              </w:rPr>
              <w:t>=5公里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854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225F">
            <w:pPr>
              <w:jc w:val="center"/>
            </w:pPr>
            <w:r>
              <w:rPr>
                <w:rFonts w:ascii="宋体" w:hAnsi="宋体" w:eastAsia="宋体"/>
                <w:sz w:val="16"/>
              </w:rPr>
              <w:t>18</w:t>
            </w:r>
          </w:p>
        </w:tc>
      </w:tr>
      <w:tr w14:paraId="275D1F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038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3A475"/>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7D981AFA">
            <w:pPr>
              <w:jc w:val="center"/>
            </w:pPr>
            <w:r>
              <w:rPr>
                <w:rFonts w:ascii="宋体" w:hAnsi="宋体" w:eastAsia="宋体"/>
                <w:sz w:val="16"/>
              </w:rPr>
              <w:t>地面硬化</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F27368C">
            <w:pPr>
              <w:jc w:val="center"/>
            </w:pPr>
            <w:r>
              <w:rPr>
                <w:rFonts w:ascii="宋体" w:hAnsi="宋体" w:eastAsia="宋体"/>
                <w:sz w:val="16"/>
              </w:rPr>
              <w:t>&gt;=30000平方米</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3F992C43">
            <w:pPr>
              <w:jc w:val="center"/>
            </w:pPr>
            <w:r>
              <w:rPr>
                <w:rFonts w:ascii="宋体" w:hAnsi="宋体" w:eastAsia="宋体"/>
                <w:sz w:val="16"/>
              </w:rPr>
              <w:t>2024年工作计划</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29E184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B72A1">
            <w:pPr>
              <w:jc w:val="center"/>
            </w:pPr>
            <w:r>
              <w:rPr>
                <w:rFonts w:ascii="宋体" w:hAnsi="宋体" w:eastAsia="宋体"/>
                <w:sz w:val="16"/>
              </w:rPr>
              <w:tab/>
            </w:r>
            <w:r>
              <w:rPr>
                <w:rFonts w:ascii="宋体" w:hAnsi="宋体" w:eastAsia="宋体"/>
                <w:sz w:val="16"/>
              </w:rPr>
              <w:t>=30000平方米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32A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D43E8">
            <w:pPr>
              <w:jc w:val="center"/>
            </w:pPr>
            <w:r>
              <w:rPr>
                <w:rFonts w:ascii="宋体" w:hAnsi="宋体" w:eastAsia="宋体"/>
                <w:sz w:val="16"/>
              </w:rPr>
              <w:t>18</w:t>
            </w:r>
          </w:p>
        </w:tc>
      </w:tr>
      <w:tr w14:paraId="4232C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362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04E85"/>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7A1E9D0D">
            <w:pPr>
              <w:jc w:val="center"/>
            </w:pPr>
            <w:r>
              <w:rPr>
                <w:rFonts w:ascii="宋体" w:hAnsi="宋体" w:eastAsia="宋体"/>
                <w:sz w:val="16"/>
              </w:rPr>
              <w:t>示范村建设</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F4DA94B">
            <w:pPr>
              <w:jc w:val="center"/>
            </w:pPr>
            <w:r>
              <w:rPr>
                <w:rFonts w:ascii="宋体" w:hAnsi="宋体" w:eastAsia="宋体"/>
                <w:sz w:val="16"/>
              </w:rPr>
              <w:t>&gt;=1个</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6632F9E6">
            <w:pPr>
              <w:jc w:val="center"/>
            </w:pPr>
            <w:r>
              <w:rPr>
                <w:rFonts w:ascii="宋体" w:hAnsi="宋体" w:eastAsia="宋体"/>
                <w:sz w:val="16"/>
              </w:rPr>
              <w:t>2024年工作计划</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9CBAF2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207EF">
            <w:pPr>
              <w:jc w:val="center"/>
            </w:pPr>
            <w:r>
              <w:rPr>
                <w:rFonts w:ascii="宋体" w:hAnsi="宋体" w:eastAsia="宋体"/>
                <w:sz w:val="16"/>
              </w:rPr>
              <w:tab/>
            </w: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3C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299DD">
            <w:pPr>
              <w:jc w:val="center"/>
            </w:pPr>
            <w:r>
              <w:rPr>
                <w:rFonts w:ascii="宋体" w:hAnsi="宋体" w:eastAsia="宋体"/>
                <w:sz w:val="16"/>
              </w:rPr>
              <w:t>18</w:t>
            </w:r>
          </w:p>
        </w:tc>
      </w:tr>
    </w:tbl>
    <w:p w14:paraId="189E16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9B5C891">
        <w:tblPrEx>
          <w:tblCellMar>
            <w:top w:w="0" w:type="dxa"/>
            <w:left w:w="108" w:type="dxa"/>
            <w:bottom w:w="0" w:type="dxa"/>
            <w:right w:w="108" w:type="dxa"/>
          </w:tblCellMar>
        </w:tblPrEx>
        <w:tc>
          <w:tcPr>
            <w:tcW w:w="8848" w:type="dxa"/>
            <w:gridSpan w:val="14"/>
            <w:vAlign w:val="center"/>
          </w:tcPr>
          <w:p w14:paraId="4C3F397B">
            <w:pPr>
              <w:jc w:val="center"/>
            </w:pPr>
            <w:r>
              <w:rPr>
                <w:rFonts w:ascii="宋体" w:hAnsi="宋体" w:eastAsia="宋体"/>
                <w:sz w:val="24"/>
              </w:rPr>
              <w:t>项目支出绩效自评表</w:t>
            </w:r>
          </w:p>
        </w:tc>
      </w:tr>
      <w:tr w14:paraId="4C0615DB">
        <w:tblPrEx>
          <w:tblCellMar>
            <w:top w:w="0" w:type="dxa"/>
            <w:left w:w="108" w:type="dxa"/>
            <w:bottom w:w="0" w:type="dxa"/>
            <w:right w:w="108" w:type="dxa"/>
          </w:tblCellMar>
        </w:tblPrEx>
        <w:tc>
          <w:tcPr>
            <w:tcW w:w="8848" w:type="dxa"/>
            <w:gridSpan w:val="14"/>
            <w:vAlign w:val="center"/>
          </w:tcPr>
          <w:p w14:paraId="6B9186FE">
            <w:pPr>
              <w:jc w:val="center"/>
            </w:pPr>
            <w:r>
              <w:rPr>
                <w:rFonts w:ascii="宋体" w:hAnsi="宋体" w:eastAsia="宋体"/>
                <w:sz w:val="24"/>
              </w:rPr>
              <w:t>(2024年度)</w:t>
            </w:r>
          </w:p>
        </w:tc>
      </w:tr>
      <w:tr w14:paraId="656D5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35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9FB36B">
            <w:pPr>
              <w:jc w:val="center"/>
            </w:pPr>
            <w:r>
              <w:rPr>
                <w:rFonts w:ascii="宋体" w:hAnsi="宋体" w:eastAsia="宋体"/>
                <w:sz w:val="16"/>
              </w:rPr>
              <w:t>叶城县2024年国有农牧场税费改革转移支付资金项目</w:t>
            </w:r>
          </w:p>
        </w:tc>
      </w:tr>
      <w:tr w14:paraId="274469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D4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0CE2F">
            <w:pPr>
              <w:jc w:val="center"/>
            </w:pPr>
            <w:r>
              <w:rPr>
                <w:rFonts w:ascii="宋体" w:hAnsi="宋体" w:eastAsia="宋体"/>
                <w:sz w:val="16"/>
              </w:rPr>
              <w:t>叶城县阿克塔什镇人民政府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17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3F4E2E">
            <w:pPr>
              <w:jc w:val="center"/>
            </w:pPr>
            <w:r>
              <w:rPr>
                <w:rFonts w:ascii="宋体" w:hAnsi="宋体" w:eastAsia="宋体"/>
                <w:sz w:val="16"/>
              </w:rPr>
              <w:t>叶城县阿克塔什镇人民政府</w:t>
            </w:r>
          </w:p>
        </w:tc>
      </w:tr>
      <w:tr w14:paraId="29D32E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976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DC2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84B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CF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C2E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D9B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A42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9225">
            <w:pPr>
              <w:jc w:val="center"/>
            </w:pPr>
            <w:r>
              <w:rPr>
                <w:rFonts w:ascii="宋体" w:hAnsi="宋体" w:eastAsia="宋体"/>
                <w:sz w:val="16"/>
              </w:rPr>
              <w:t>得分</w:t>
            </w:r>
          </w:p>
        </w:tc>
      </w:tr>
      <w:tr w14:paraId="513FD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6FB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E6A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6D636">
            <w:pPr>
              <w:jc w:val="center"/>
            </w:pPr>
            <w:r>
              <w:rPr>
                <w:rFonts w:ascii="宋体" w:hAnsi="宋体" w:eastAsia="宋体"/>
                <w:sz w:val="16"/>
              </w:rPr>
              <w:t>143.00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BE4D">
            <w:pPr>
              <w:jc w:val="center"/>
            </w:pPr>
            <w:r>
              <w:rPr>
                <w:rFonts w:ascii="宋体" w:hAnsi="宋体" w:eastAsia="宋体"/>
                <w:sz w:val="16"/>
              </w:rPr>
              <w:t>143.00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338E">
            <w:pPr>
              <w:jc w:val="center"/>
            </w:pPr>
            <w:r>
              <w:rPr>
                <w:rFonts w:ascii="宋体" w:hAnsi="宋体" w:eastAsia="宋体"/>
                <w:sz w:val="16"/>
              </w:rPr>
              <w:t>143.00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F0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FE3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4AA3">
            <w:pPr>
              <w:jc w:val="center"/>
            </w:pPr>
            <w:r>
              <w:rPr>
                <w:rFonts w:ascii="宋体" w:hAnsi="宋体" w:eastAsia="宋体"/>
                <w:sz w:val="16"/>
              </w:rPr>
              <w:t>10.00分</w:t>
            </w:r>
          </w:p>
        </w:tc>
      </w:tr>
      <w:tr w14:paraId="51D29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0DE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DF2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61B3">
            <w:pPr>
              <w:jc w:val="center"/>
            </w:pPr>
            <w:r>
              <w:rPr>
                <w:rFonts w:ascii="宋体" w:hAnsi="宋体" w:eastAsia="宋体"/>
                <w:sz w:val="16"/>
              </w:rPr>
              <w:t>143.00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512B2">
            <w:pPr>
              <w:jc w:val="center"/>
            </w:pPr>
            <w:r>
              <w:rPr>
                <w:rFonts w:ascii="宋体" w:hAnsi="宋体" w:eastAsia="宋体"/>
                <w:sz w:val="16"/>
              </w:rPr>
              <w:t>143.00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9DAC">
            <w:pPr>
              <w:jc w:val="center"/>
            </w:pPr>
            <w:r>
              <w:rPr>
                <w:rFonts w:ascii="宋体" w:hAnsi="宋体" w:eastAsia="宋体"/>
                <w:sz w:val="16"/>
              </w:rPr>
              <w:t>143.00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609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8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9B3B">
            <w:pPr>
              <w:jc w:val="center"/>
            </w:pPr>
            <w:r>
              <w:rPr>
                <w:rFonts w:ascii="宋体" w:hAnsi="宋体" w:eastAsia="宋体"/>
                <w:sz w:val="16"/>
              </w:rPr>
              <w:t>—</w:t>
            </w:r>
          </w:p>
        </w:tc>
      </w:tr>
      <w:tr w14:paraId="5E2FF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586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2B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E6E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FF9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B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A9A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39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8545">
            <w:pPr>
              <w:jc w:val="center"/>
            </w:pPr>
            <w:r>
              <w:rPr>
                <w:rFonts w:ascii="宋体" w:hAnsi="宋体" w:eastAsia="宋体"/>
                <w:sz w:val="16"/>
              </w:rPr>
              <w:t>—</w:t>
            </w:r>
          </w:p>
        </w:tc>
      </w:tr>
      <w:tr w14:paraId="47A541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A19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7C6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B293C">
            <w:pPr>
              <w:jc w:val="center"/>
            </w:pPr>
            <w:r>
              <w:rPr>
                <w:rFonts w:ascii="宋体" w:hAnsi="宋体" w:eastAsia="宋体"/>
                <w:sz w:val="16"/>
              </w:rPr>
              <w:t>实际完成情况</w:t>
            </w:r>
          </w:p>
        </w:tc>
      </w:tr>
      <w:tr w14:paraId="4376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DA3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EBFF1">
            <w:pPr>
              <w:jc w:val="both"/>
            </w:pPr>
            <w:r>
              <w:rPr>
                <w:rFonts w:ascii="宋体" w:hAnsi="宋体" w:eastAsia="宋体"/>
                <w:sz w:val="16"/>
              </w:rPr>
              <w:t>项目计划投入143万元，对叶城县阿克塔什镇良种场、农场正常运转及就业人员工资保障，保障待业人员的基本权益。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3660E">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年12月31日，项目预算资金143万元，到位资金143万元，实际支出143万元，对叶城县阿克塔什镇良种场、农场正常运转及就业人员工资保障，保障待业人员的基本权益，提高农场工作人员幸福度。</w:t>
            </w:r>
          </w:p>
        </w:tc>
      </w:tr>
      <w:tr w14:paraId="39C74A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CC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23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60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C6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9F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DC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34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04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A6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F1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11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99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ABC9F">
            <w:pPr>
              <w:jc w:val="center"/>
            </w:pPr>
            <w:r>
              <w:rPr>
                <w:rFonts w:ascii="宋体" w:hAnsi="宋体" w:eastAsia="宋体"/>
                <w:sz w:val="16"/>
              </w:rPr>
              <w:t>偏差原因分析及改进措施</w:t>
            </w:r>
          </w:p>
        </w:tc>
      </w:tr>
      <w:tr w14:paraId="25DB9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5E7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6F6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5B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4B4B">
            <w:pPr>
              <w:jc w:val="center"/>
            </w:pPr>
            <w:r>
              <w:rPr>
                <w:rFonts w:ascii="宋体" w:hAnsi="宋体" w:eastAsia="宋体"/>
                <w:sz w:val="16"/>
              </w:rPr>
              <w:t>保障人员数量（人）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8708">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9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1D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0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0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0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2590">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0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D471">
            <w:pPr>
              <w:jc w:val="center"/>
            </w:pPr>
          </w:p>
        </w:tc>
      </w:tr>
      <w:tr w14:paraId="5165B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3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B9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FB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BFDD">
            <w:pPr>
              <w:jc w:val="center"/>
            </w:pPr>
            <w:r>
              <w:rPr>
                <w:rFonts w:ascii="宋体" w:hAnsi="宋体" w:eastAsia="宋体"/>
                <w:sz w:val="16"/>
              </w:rPr>
              <w:t>日常办公运转质量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A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E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90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F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C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B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0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2C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A9C8">
            <w:pPr>
              <w:jc w:val="center"/>
            </w:pPr>
          </w:p>
        </w:tc>
      </w:tr>
      <w:tr w14:paraId="7C18F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60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64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7FD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68A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8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8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FB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6F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8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7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9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16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DA54E">
            <w:pPr>
              <w:jc w:val="center"/>
            </w:pPr>
          </w:p>
        </w:tc>
      </w:tr>
      <w:tr w14:paraId="1997F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50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6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32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0FF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CCB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D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7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3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2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B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94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FF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BB3B">
            <w:pPr>
              <w:jc w:val="center"/>
            </w:pPr>
          </w:p>
        </w:tc>
      </w:tr>
      <w:tr w14:paraId="4103C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092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E71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00A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636C">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16C2">
            <w:pPr>
              <w:jc w:val="center"/>
            </w:pPr>
            <w:r>
              <w:rPr>
                <w:rFonts w:ascii="宋体" w:hAnsi="宋体" w:eastAsia="宋体"/>
                <w:sz w:val="16"/>
              </w:rPr>
              <w:t>=138.4万元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75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B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1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6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47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91D7">
            <w:pPr>
              <w:jc w:val="center"/>
            </w:pPr>
            <w:r>
              <w:rPr>
                <w:rFonts w:ascii="宋体" w:hAnsi="宋体" w:eastAsia="宋体"/>
                <w:sz w:val="16"/>
              </w:rPr>
              <w:t>=138.4万元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FB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EB624">
            <w:pPr>
              <w:jc w:val="center"/>
            </w:pPr>
          </w:p>
        </w:tc>
      </w:tr>
      <w:tr w14:paraId="1EFB4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D4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3F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2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B875">
            <w:pPr>
              <w:jc w:val="center"/>
            </w:pPr>
            <w:r>
              <w:rPr>
                <w:rFonts w:ascii="宋体" w:hAnsi="宋体" w:eastAsia="宋体"/>
                <w:sz w:val="16"/>
              </w:rPr>
              <w:t>支付电费（万元）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C332">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ED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B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C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95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1D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F234">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27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BF58">
            <w:pPr>
              <w:jc w:val="center"/>
            </w:pPr>
          </w:p>
        </w:tc>
      </w:tr>
      <w:tr w14:paraId="5B0EB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C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70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B9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4C3C">
            <w:pPr>
              <w:jc w:val="center"/>
            </w:pPr>
            <w:r>
              <w:rPr>
                <w:rFonts w:ascii="宋体" w:hAnsi="宋体" w:eastAsia="宋体"/>
                <w:sz w:val="16"/>
              </w:rPr>
              <w:t>提升群众基础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A31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8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6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70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32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2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66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E5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92A8">
            <w:pPr>
              <w:jc w:val="center"/>
            </w:pPr>
          </w:p>
        </w:tc>
      </w:tr>
      <w:tr w14:paraId="79ED8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9B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3E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90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F9BE">
            <w:pPr>
              <w:jc w:val="center"/>
            </w:pPr>
            <w:r>
              <w:rPr>
                <w:rFonts w:ascii="宋体" w:hAnsi="宋体" w:eastAsia="宋体"/>
                <w:sz w:val="16"/>
              </w:rPr>
              <w:t>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8D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4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66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1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F2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2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FF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44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42698">
            <w:pPr>
              <w:jc w:val="center"/>
            </w:pPr>
            <w:r>
              <w:rPr>
                <w:rFonts w:ascii="宋体" w:hAnsi="宋体" w:eastAsia="宋体"/>
                <w:sz w:val="16"/>
              </w:rPr>
              <w:t>该项目实施较好，受益人员对此项目实施比较满意。改进措施：做好年初预算。</w:t>
            </w:r>
          </w:p>
        </w:tc>
      </w:tr>
      <w:tr w14:paraId="249078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AF2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073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987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CB8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977EFF"/>
        </w:tc>
      </w:tr>
    </w:tbl>
    <w:p w14:paraId="31C1B87A">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1"/>
        <w:gridCol w:w="597"/>
        <w:gridCol w:w="627"/>
      </w:tblGrid>
      <w:tr w14:paraId="7995CE63">
        <w:tblPrEx>
          <w:tblCellMar>
            <w:top w:w="0" w:type="dxa"/>
            <w:left w:w="108" w:type="dxa"/>
            <w:bottom w:w="0" w:type="dxa"/>
            <w:right w:w="108" w:type="dxa"/>
          </w:tblCellMar>
        </w:tblPrEx>
        <w:tc>
          <w:tcPr>
            <w:tcW w:w="8848" w:type="dxa"/>
            <w:gridSpan w:val="14"/>
            <w:vAlign w:val="center"/>
          </w:tcPr>
          <w:p w14:paraId="497780F6">
            <w:pPr>
              <w:jc w:val="center"/>
            </w:pPr>
            <w:r>
              <w:rPr>
                <w:rFonts w:ascii="宋体" w:hAnsi="宋体" w:eastAsia="宋体"/>
                <w:sz w:val="24"/>
              </w:rPr>
              <w:t>项目支出绩效自评表</w:t>
            </w:r>
          </w:p>
        </w:tc>
      </w:tr>
      <w:tr w14:paraId="0711702C">
        <w:tblPrEx>
          <w:tblCellMar>
            <w:top w:w="0" w:type="dxa"/>
            <w:left w:w="108" w:type="dxa"/>
            <w:bottom w:w="0" w:type="dxa"/>
            <w:right w:w="108" w:type="dxa"/>
          </w:tblCellMar>
        </w:tblPrEx>
        <w:tc>
          <w:tcPr>
            <w:tcW w:w="8848" w:type="dxa"/>
            <w:gridSpan w:val="14"/>
            <w:vAlign w:val="center"/>
          </w:tcPr>
          <w:p w14:paraId="24D4BADB">
            <w:pPr>
              <w:jc w:val="center"/>
            </w:pPr>
            <w:r>
              <w:rPr>
                <w:rFonts w:ascii="宋体" w:hAnsi="宋体" w:eastAsia="宋体"/>
                <w:sz w:val="24"/>
              </w:rPr>
              <w:t>(2024年度)</w:t>
            </w:r>
          </w:p>
        </w:tc>
      </w:tr>
      <w:tr w14:paraId="7E63FA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EE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826DA6">
            <w:pPr>
              <w:jc w:val="center"/>
            </w:pPr>
            <w:r>
              <w:rPr>
                <w:rFonts w:ascii="宋体" w:hAnsi="宋体" w:eastAsia="宋体"/>
                <w:sz w:val="16"/>
              </w:rPr>
              <w:t>叶城县阿克塔什镇2024年县级专项公用经费项目</w:t>
            </w:r>
          </w:p>
        </w:tc>
      </w:tr>
      <w:tr w14:paraId="30F437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53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6E289">
            <w:pPr>
              <w:jc w:val="center"/>
            </w:pPr>
            <w:r>
              <w:rPr>
                <w:rFonts w:ascii="宋体" w:hAnsi="宋体" w:eastAsia="宋体"/>
                <w:sz w:val="16"/>
              </w:rPr>
              <w:t>叶城县阿克塔什镇人民政府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A3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6D8CEA">
            <w:pPr>
              <w:jc w:val="center"/>
            </w:pPr>
            <w:r>
              <w:rPr>
                <w:rFonts w:ascii="宋体" w:hAnsi="宋体" w:eastAsia="宋体"/>
                <w:sz w:val="16"/>
              </w:rPr>
              <w:t>叶城县阿克塔什镇人民政府</w:t>
            </w:r>
          </w:p>
        </w:tc>
      </w:tr>
      <w:tr w14:paraId="534099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C2D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B1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FAE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B1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43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FF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DB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A4B9">
            <w:pPr>
              <w:jc w:val="center"/>
            </w:pPr>
            <w:r>
              <w:rPr>
                <w:rFonts w:ascii="宋体" w:hAnsi="宋体" w:eastAsia="宋体"/>
                <w:sz w:val="16"/>
              </w:rPr>
              <w:t>得分</w:t>
            </w:r>
          </w:p>
        </w:tc>
      </w:tr>
      <w:tr w14:paraId="5B991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72E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BC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23DA">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5AA9">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BCA35">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3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6F0B">
            <w:pPr>
              <w:jc w:val="center"/>
            </w:pPr>
            <w:r>
              <w:rPr>
                <w:rFonts w:ascii="宋体" w:hAnsi="宋体" w:eastAsia="宋体"/>
                <w:sz w:val="16"/>
              </w:rPr>
              <w:t>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B1D7">
            <w:pPr>
              <w:jc w:val="center"/>
            </w:pPr>
            <w:r>
              <w:rPr>
                <w:rFonts w:ascii="宋体" w:hAnsi="宋体" w:eastAsia="宋体"/>
                <w:sz w:val="16"/>
              </w:rPr>
              <w:t>6.50分</w:t>
            </w:r>
          </w:p>
        </w:tc>
      </w:tr>
      <w:tr w14:paraId="4307A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13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E2A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D8B5">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FFFE0">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EC0A">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88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A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C720">
            <w:pPr>
              <w:jc w:val="center"/>
            </w:pPr>
            <w:r>
              <w:rPr>
                <w:rFonts w:ascii="宋体" w:hAnsi="宋体" w:eastAsia="宋体"/>
                <w:sz w:val="16"/>
              </w:rPr>
              <w:t>—</w:t>
            </w:r>
          </w:p>
        </w:tc>
      </w:tr>
      <w:tr w14:paraId="66CD4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B69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8D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56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CE2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B99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9C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33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45B3">
            <w:pPr>
              <w:jc w:val="center"/>
            </w:pPr>
            <w:r>
              <w:rPr>
                <w:rFonts w:ascii="宋体" w:hAnsi="宋体" w:eastAsia="宋体"/>
                <w:sz w:val="16"/>
              </w:rPr>
              <w:t>—</w:t>
            </w:r>
          </w:p>
        </w:tc>
      </w:tr>
      <w:tr w14:paraId="27A448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43A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3A0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C77362">
            <w:pPr>
              <w:jc w:val="center"/>
            </w:pPr>
            <w:r>
              <w:rPr>
                <w:rFonts w:ascii="宋体" w:hAnsi="宋体" w:eastAsia="宋体"/>
                <w:sz w:val="16"/>
              </w:rPr>
              <w:t>实际完成情况</w:t>
            </w:r>
          </w:p>
        </w:tc>
      </w:tr>
      <w:tr w14:paraId="39ED8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8E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BCF95">
            <w:pPr>
              <w:jc w:val="both"/>
            </w:pPr>
            <w:r>
              <w:rPr>
                <w:rFonts w:ascii="宋体" w:hAnsi="宋体" w:eastAsia="宋体"/>
                <w:sz w:val="16"/>
              </w:rPr>
              <w:t>该项目预算资金10.8万元，主要用于镇机关日常办公用品采购、镇机关大楼水电和根据实际情况支付镇本级往期各类费用，项目的实施有效保障单位工作正常运转。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2D1A8A">
            <w:pPr>
              <w:jc w:val="both"/>
            </w:pPr>
            <w:r>
              <w:rPr>
                <w:rFonts w:hint="eastAsia" w:ascii="宋体" w:hAnsi="宋体"/>
                <w:sz w:val="16"/>
                <w:lang w:eastAsia="zh-CN"/>
              </w:rPr>
              <w:t>截至</w:t>
            </w:r>
            <w:r>
              <w:rPr>
                <w:rFonts w:ascii="宋体" w:hAnsi="宋体" w:eastAsia="宋体"/>
                <w:sz w:val="16"/>
              </w:rPr>
              <w:t>2024年12月31日，项目预算安排资金10.8万元，到位资金10.8万元，实际支出9.29万元，主要用于镇机关日常办公用品采购、镇机关大楼水电和根据实际情况支付镇本级往期各类费用，项目的实施有效保障单位工作正常运转，提高办事效率，提高群众幸福度。</w:t>
            </w:r>
          </w:p>
        </w:tc>
      </w:tr>
      <w:tr w14:paraId="6C6141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F7C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DD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A4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DE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6F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0A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78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3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1F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55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191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E3F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F2DDB">
            <w:pPr>
              <w:jc w:val="center"/>
            </w:pPr>
            <w:r>
              <w:rPr>
                <w:rFonts w:ascii="宋体" w:hAnsi="宋体" w:eastAsia="宋体"/>
                <w:sz w:val="16"/>
              </w:rPr>
              <w:t>偏差原因分析及改进措施</w:t>
            </w:r>
          </w:p>
        </w:tc>
      </w:tr>
      <w:tr w14:paraId="2BC62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6C3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7C9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A4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9CC7">
            <w:pPr>
              <w:jc w:val="center"/>
            </w:pPr>
            <w:r>
              <w:rPr>
                <w:rFonts w:ascii="宋体" w:hAnsi="宋体" w:eastAsia="宋体"/>
                <w:sz w:val="16"/>
              </w:rPr>
              <w:t>保障单位运转数量（个）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408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3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8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7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5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9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E2D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8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0C8B4">
            <w:pPr>
              <w:jc w:val="center"/>
            </w:pPr>
          </w:p>
        </w:tc>
      </w:tr>
      <w:tr w14:paraId="12317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56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94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DE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5B18">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4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F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8A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3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4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E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4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65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9714">
            <w:pPr>
              <w:jc w:val="center"/>
            </w:pPr>
          </w:p>
        </w:tc>
      </w:tr>
      <w:tr w14:paraId="001D8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CC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9C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A4E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3E2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5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9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00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2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1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9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D7C7">
            <w:pPr>
              <w:jc w:val="center"/>
            </w:pPr>
            <w:r>
              <w:rPr>
                <w:rFonts w:ascii="宋体" w:hAnsi="宋体" w:eastAsia="宋体"/>
                <w:sz w:val="16"/>
              </w:rPr>
              <w:t>=86.01%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D51B">
            <w:pPr>
              <w:jc w:val="center"/>
            </w:pPr>
            <w:r>
              <w:rPr>
                <w:rFonts w:ascii="宋体" w:hAnsi="宋体" w:eastAsia="宋体"/>
                <w:sz w:val="16"/>
              </w:rPr>
              <w:t>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2142">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1150A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C4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75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F4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A94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FB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2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75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6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8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F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B08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48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AACA">
            <w:pPr>
              <w:jc w:val="center"/>
            </w:pPr>
          </w:p>
        </w:tc>
      </w:tr>
      <w:tr w14:paraId="6B2D091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76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77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68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092B">
            <w:pPr>
              <w:jc w:val="center"/>
            </w:pPr>
            <w:r>
              <w:rPr>
                <w:rFonts w:ascii="宋体" w:hAnsi="宋体" w:eastAsia="宋体"/>
                <w:sz w:val="16"/>
              </w:rPr>
              <w:t>单位正常运转成本（万元）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FABC">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E0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AB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7E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6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C2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F109">
            <w:pPr>
              <w:jc w:val="center"/>
            </w:pPr>
            <w:r>
              <w:rPr>
                <w:rFonts w:ascii="宋体" w:hAnsi="宋体" w:eastAsia="宋体"/>
                <w:sz w:val="16"/>
              </w:rPr>
              <w:t>=9.29万元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BBA8">
            <w:pPr>
              <w:jc w:val="center"/>
            </w:pPr>
            <w:r>
              <w:rPr>
                <w:rFonts w:ascii="宋体" w:hAnsi="宋体" w:eastAsia="宋体"/>
                <w:sz w:val="16"/>
              </w:rPr>
              <w:t>13.01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CB868">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295AC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58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C5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72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CD99">
            <w:pPr>
              <w:jc w:val="center"/>
            </w:pPr>
            <w:r>
              <w:rPr>
                <w:rFonts w:ascii="宋体" w:hAnsi="宋体" w:eastAsia="宋体"/>
                <w:sz w:val="16"/>
              </w:rPr>
              <w:t>保障镇机关办公运转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7E5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7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75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B3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E3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3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ED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66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11CE0">
            <w:pPr>
              <w:jc w:val="center"/>
            </w:pPr>
          </w:p>
        </w:tc>
      </w:tr>
      <w:tr w14:paraId="6DC08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F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93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2F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5D6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0FEE">
            <w:pPr>
              <w:jc w:val="center"/>
            </w:pPr>
            <w:r>
              <w:rPr>
                <w:rFonts w:ascii="宋体" w:hAnsi="宋体" w:eastAsia="宋体"/>
                <w:sz w:val="16"/>
              </w:rPr>
              <w:t>&gt;=95万元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A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C1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5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2E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6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4CA0">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46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C7D1B">
            <w:pPr>
              <w:jc w:val="center"/>
            </w:pPr>
            <w:r>
              <w:rPr>
                <w:rFonts w:ascii="宋体" w:hAnsi="宋体" w:eastAsia="宋体"/>
                <w:sz w:val="16"/>
              </w:rPr>
              <w:t>该项目</w:t>
            </w:r>
            <w:r>
              <w:rPr>
                <w:rFonts w:hint="eastAsia" w:ascii="宋体" w:hAnsi="宋体"/>
                <w:sz w:val="16"/>
                <w:lang w:eastAsia="zh-CN"/>
              </w:rPr>
              <w:t>实际</w:t>
            </w:r>
            <w:r>
              <w:rPr>
                <w:rFonts w:ascii="宋体" w:hAnsi="宋体" w:eastAsia="宋体"/>
                <w:sz w:val="16"/>
              </w:rPr>
              <w:t>偏差原因</w:t>
            </w:r>
            <w:r>
              <w:rPr>
                <w:rFonts w:hint="eastAsia" w:ascii="宋体" w:hAnsi="宋体"/>
                <w:sz w:val="16"/>
                <w:lang w:eastAsia="zh-CN"/>
              </w:rPr>
              <w:t>：设</w:t>
            </w:r>
            <w:r>
              <w:rPr>
                <w:rFonts w:ascii="宋体" w:hAnsi="宋体" w:eastAsia="宋体"/>
                <w:sz w:val="16"/>
              </w:rPr>
              <w:t>施较好，受益人员对此项目比较满意。改进措施：做好年初预算。</w:t>
            </w:r>
          </w:p>
        </w:tc>
      </w:tr>
      <w:tr w14:paraId="712BE7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425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4FA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8F8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A7CE">
            <w:pPr>
              <w:jc w:val="center"/>
            </w:pPr>
            <w:r>
              <w:rPr>
                <w:rFonts w:ascii="宋体" w:hAnsi="宋体" w:eastAsia="宋体"/>
                <w:sz w:val="16"/>
              </w:rPr>
              <w:t>86.01分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B87DEAC"/>
        </w:tc>
      </w:tr>
    </w:tbl>
    <w:p w14:paraId="6B4C4C80">
      <w:r>
        <w:br w:type="page"/>
      </w:r>
    </w:p>
    <w:p w14:paraId="5889C85D">
      <w:pPr>
        <w:spacing w:line="640" w:lineRule="exact"/>
        <w:ind w:firstLine="640"/>
        <w:jc w:val="both"/>
        <w:outlineLvl w:val="2"/>
      </w:pPr>
      <w:r>
        <w:rPr>
          <w:rFonts w:ascii="黑体" w:hAnsi="黑体" w:eastAsia="黑体"/>
          <w:sz w:val="32"/>
        </w:rPr>
        <w:t>十二、其他需说明的事项</w:t>
      </w:r>
    </w:p>
    <w:p w14:paraId="5703130C">
      <w:pPr>
        <w:spacing w:line="580" w:lineRule="exact"/>
        <w:ind w:firstLine="640"/>
        <w:jc w:val="both"/>
      </w:pPr>
      <w:r>
        <w:rPr>
          <w:rFonts w:ascii="仿宋_GB2312" w:hAnsi="仿宋_GB2312" w:eastAsia="仿宋_GB2312"/>
          <w:b w:val="0"/>
          <w:sz w:val="32"/>
        </w:rPr>
        <w:t>本单位无其他需说明的事项。</w:t>
      </w:r>
    </w:p>
    <w:p w14:paraId="485ADADB">
      <w:r>
        <w:br w:type="page"/>
      </w:r>
    </w:p>
    <w:p w14:paraId="5D6AD5B3">
      <w:pPr>
        <w:spacing w:line="240" w:lineRule="auto"/>
        <w:jc w:val="center"/>
        <w:outlineLvl w:val="1"/>
      </w:pPr>
      <w:r>
        <w:rPr>
          <w:rFonts w:ascii="黑体" w:hAnsi="黑体" w:eastAsia="黑体"/>
          <w:sz w:val="32"/>
        </w:rPr>
        <w:t>第三部分 专业名词解释</w:t>
      </w:r>
    </w:p>
    <w:p w14:paraId="51B471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F2504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33C1F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5A5F4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C9B12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C91AA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5410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B2F3A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B10C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3007D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205A9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6A914C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DDFE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A6BB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782C61C">
      <w:r>
        <w:br w:type="page"/>
      </w:r>
    </w:p>
    <w:p w14:paraId="085729BB">
      <w:pPr>
        <w:spacing w:line="240" w:lineRule="auto"/>
        <w:jc w:val="center"/>
        <w:outlineLvl w:val="1"/>
      </w:pPr>
      <w:r>
        <w:rPr>
          <w:rFonts w:ascii="黑体" w:hAnsi="黑体" w:eastAsia="黑体"/>
          <w:sz w:val="32"/>
        </w:rPr>
        <w:t>第四部分 部门决算报表（见附表）</w:t>
      </w:r>
    </w:p>
    <w:p w14:paraId="3972F616">
      <w:pPr>
        <w:spacing w:line="240" w:lineRule="auto"/>
        <w:ind w:firstLine="640"/>
        <w:jc w:val="both"/>
      </w:pPr>
      <w:r>
        <w:rPr>
          <w:rFonts w:ascii="仿宋_GB2312" w:hAnsi="仿宋_GB2312" w:eastAsia="仿宋_GB2312"/>
          <w:b w:val="0"/>
          <w:sz w:val="32"/>
        </w:rPr>
        <w:t>一、《收入支出决算总表》</w:t>
      </w:r>
    </w:p>
    <w:p w14:paraId="1A4DBBC0">
      <w:pPr>
        <w:spacing w:line="240" w:lineRule="auto"/>
        <w:ind w:firstLine="640"/>
        <w:jc w:val="both"/>
      </w:pPr>
      <w:r>
        <w:rPr>
          <w:rFonts w:ascii="仿宋_GB2312" w:hAnsi="仿宋_GB2312" w:eastAsia="仿宋_GB2312"/>
          <w:b w:val="0"/>
          <w:sz w:val="32"/>
        </w:rPr>
        <w:t>二、《收入决算表》</w:t>
      </w:r>
    </w:p>
    <w:p w14:paraId="5F8F2C72">
      <w:pPr>
        <w:spacing w:line="240" w:lineRule="auto"/>
        <w:ind w:firstLine="640"/>
        <w:jc w:val="both"/>
      </w:pPr>
      <w:r>
        <w:rPr>
          <w:rFonts w:ascii="仿宋_GB2312" w:hAnsi="仿宋_GB2312" w:eastAsia="仿宋_GB2312"/>
          <w:b w:val="0"/>
          <w:sz w:val="32"/>
        </w:rPr>
        <w:t>三、《支出决算表》</w:t>
      </w:r>
    </w:p>
    <w:p w14:paraId="7267CDD2">
      <w:pPr>
        <w:spacing w:line="240" w:lineRule="auto"/>
        <w:ind w:firstLine="640"/>
        <w:jc w:val="both"/>
      </w:pPr>
      <w:r>
        <w:rPr>
          <w:rFonts w:ascii="仿宋_GB2312" w:hAnsi="仿宋_GB2312" w:eastAsia="仿宋_GB2312"/>
          <w:b w:val="0"/>
          <w:sz w:val="32"/>
        </w:rPr>
        <w:t>四、《财政拨款收入支出决算总表》</w:t>
      </w:r>
    </w:p>
    <w:p w14:paraId="6A611EC8">
      <w:pPr>
        <w:spacing w:line="240" w:lineRule="auto"/>
        <w:ind w:firstLine="640"/>
        <w:jc w:val="both"/>
      </w:pPr>
      <w:r>
        <w:rPr>
          <w:rFonts w:ascii="仿宋_GB2312" w:hAnsi="仿宋_GB2312" w:eastAsia="仿宋_GB2312"/>
          <w:b w:val="0"/>
          <w:sz w:val="32"/>
        </w:rPr>
        <w:t>五、《一般公共预算财政拨款支出决算表》</w:t>
      </w:r>
    </w:p>
    <w:p w14:paraId="5243C69E">
      <w:pPr>
        <w:spacing w:line="240" w:lineRule="auto"/>
        <w:ind w:firstLine="640"/>
        <w:jc w:val="both"/>
      </w:pPr>
      <w:r>
        <w:rPr>
          <w:rFonts w:ascii="仿宋_GB2312" w:hAnsi="仿宋_GB2312" w:eastAsia="仿宋_GB2312"/>
          <w:b w:val="0"/>
          <w:sz w:val="32"/>
        </w:rPr>
        <w:t>六、《一般公共预算财政拨款基本支出决算表》</w:t>
      </w:r>
    </w:p>
    <w:p w14:paraId="05550370">
      <w:pPr>
        <w:spacing w:line="240" w:lineRule="auto"/>
        <w:ind w:firstLine="640"/>
        <w:jc w:val="both"/>
      </w:pPr>
      <w:r>
        <w:rPr>
          <w:rFonts w:ascii="仿宋_GB2312" w:hAnsi="仿宋_GB2312" w:eastAsia="仿宋_GB2312"/>
          <w:b w:val="0"/>
          <w:sz w:val="32"/>
        </w:rPr>
        <w:t>七、《政府性基金预算财政拨款收入支出决算表》</w:t>
      </w:r>
    </w:p>
    <w:p w14:paraId="6134919C">
      <w:pPr>
        <w:spacing w:line="240" w:lineRule="auto"/>
        <w:ind w:firstLine="640"/>
        <w:jc w:val="both"/>
      </w:pPr>
      <w:r>
        <w:rPr>
          <w:rFonts w:ascii="仿宋_GB2312" w:hAnsi="仿宋_GB2312" w:eastAsia="仿宋_GB2312"/>
          <w:b w:val="0"/>
          <w:sz w:val="32"/>
        </w:rPr>
        <w:t>八、《国有资本经营预算财政拨款收入支出决算表》</w:t>
      </w:r>
    </w:p>
    <w:p w14:paraId="3486FCE4">
      <w:pPr>
        <w:spacing w:line="240" w:lineRule="auto"/>
        <w:ind w:firstLine="640"/>
        <w:jc w:val="both"/>
      </w:pPr>
      <w:r>
        <w:rPr>
          <w:rFonts w:ascii="仿宋_GB2312" w:hAnsi="仿宋_GB2312" w:eastAsia="仿宋_GB2312"/>
          <w:b w:val="0"/>
          <w:sz w:val="32"/>
        </w:rPr>
        <w:t>九、《财政拨款“三公”经费支出决算表》</w:t>
      </w:r>
    </w:p>
    <w:p w14:paraId="3107DDDA">
      <w:pPr>
        <w:spacing w:line="240" w:lineRule="auto"/>
        <w:ind w:firstLine="640"/>
        <w:jc w:val="both"/>
      </w:pPr>
    </w:p>
    <w:p w14:paraId="36ADE4AC">
      <w:pPr>
        <w:spacing w:line="240" w:lineRule="auto"/>
        <w:ind w:firstLine="640"/>
        <w:jc w:val="both"/>
      </w:pPr>
    </w:p>
    <w:p w14:paraId="30A02BB8">
      <w:pPr>
        <w:spacing w:line="240" w:lineRule="auto"/>
        <w:ind w:firstLine="640"/>
        <w:jc w:val="both"/>
      </w:pPr>
    </w:p>
    <w:p w14:paraId="67E6B669">
      <w:pPr>
        <w:spacing w:line="240" w:lineRule="auto"/>
        <w:ind w:firstLine="640"/>
        <w:jc w:val="both"/>
      </w:pPr>
    </w:p>
    <w:p w14:paraId="3A0E55B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6F07082"/>
    <w:rsid w:val="583059FA"/>
    <w:rsid w:val="587E6212"/>
    <w:rsid w:val="59DF0D4F"/>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8373</Words>
  <Characters>9775</Characters>
  <Lines>0</Lines>
  <Paragraphs>0</Paragraphs>
  <TotalTime>10</TotalTime>
  <ScaleCrop>false</ScaleCrop>
  <LinksUpToDate>false</LinksUpToDate>
  <CharactersWithSpaces>9791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2025-09-30T02:33:26Z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