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i w:val="0"/>
          <w:caps w:val="0"/>
          <w:color w:val="000000"/>
          <w:spacing w:val="0"/>
          <w:sz w:val="44"/>
          <w:szCs w:val="44"/>
          <w:shd w:val="clear" w:fill="FFFFFF"/>
        </w:rPr>
      </w:pPr>
      <w:r>
        <w:rPr>
          <w:rFonts w:hint="eastAsia" w:ascii="方正小标宋_GBK" w:hAnsi="方正小标宋_GBK" w:eastAsia="方正小标宋_GBK" w:cs="方正小标宋_GBK"/>
          <w:b w:val="0"/>
          <w:bCs w:val="0"/>
          <w:i w:val="0"/>
          <w:caps w:val="0"/>
          <w:color w:val="000000"/>
          <w:spacing w:val="0"/>
          <w:sz w:val="44"/>
          <w:szCs w:val="44"/>
          <w:shd w:val="clear" w:fill="FFFFFF"/>
          <w:lang w:eastAsia="zh-CN"/>
        </w:rPr>
        <w:t>叶城县</w:t>
      </w:r>
      <w:r>
        <w:rPr>
          <w:rFonts w:hint="eastAsia" w:ascii="方正小标宋_GBK" w:hAnsi="方正小标宋_GBK" w:eastAsia="方正小标宋_GBK" w:cs="方正小标宋_GBK"/>
          <w:b w:val="0"/>
          <w:bCs w:val="0"/>
          <w:i w:val="0"/>
          <w:caps w:val="0"/>
          <w:color w:val="000000"/>
          <w:spacing w:val="0"/>
          <w:sz w:val="44"/>
          <w:szCs w:val="44"/>
          <w:shd w:val="clear" w:fill="FFFFFF"/>
        </w:rPr>
        <w:t>市场监督管理局20</w:t>
      </w:r>
      <w:r>
        <w:rPr>
          <w:rFonts w:hint="eastAsia" w:ascii="方正小标宋_GBK" w:hAnsi="方正小标宋_GBK" w:eastAsia="方正小标宋_GBK" w:cs="方正小标宋_GBK"/>
          <w:b w:val="0"/>
          <w:bCs w:val="0"/>
          <w:i w:val="0"/>
          <w:caps w:val="0"/>
          <w:color w:val="000000"/>
          <w:spacing w:val="0"/>
          <w:sz w:val="44"/>
          <w:szCs w:val="44"/>
          <w:shd w:val="clear" w:fill="FFFFFF"/>
          <w:lang w:val="en-US" w:eastAsia="zh-CN"/>
        </w:rPr>
        <w:t>24</w:t>
      </w:r>
      <w:r>
        <w:rPr>
          <w:rFonts w:hint="eastAsia" w:ascii="方正小标宋_GBK" w:hAnsi="方正小标宋_GBK" w:eastAsia="方正小标宋_GBK" w:cs="方正小标宋_GBK"/>
          <w:b w:val="0"/>
          <w:bCs w:val="0"/>
          <w:i w:val="0"/>
          <w:caps w:val="0"/>
          <w:color w:val="000000"/>
          <w:spacing w:val="0"/>
          <w:sz w:val="44"/>
          <w:szCs w:val="44"/>
          <w:shd w:val="clear" w:fill="FFFFFF"/>
        </w:rPr>
        <w:t>年政府信息公开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b w:val="0"/>
          <w:bCs w:val="0"/>
          <w:i w:val="0"/>
          <w:caps w:val="0"/>
          <w:color w:val="000000"/>
          <w:spacing w:val="0"/>
          <w:sz w:val="44"/>
          <w:szCs w:val="44"/>
          <w:shd w:val="clear" w:fill="FFFFFF"/>
        </w:rPr>
      </w:pPr>
      <w:r>
        <w:rPr>
          <w:rFonts w:hint="eastAsia" w:ascii="方正小标宋_GBK" w:hAnsi="方正小标宋_GBK" w:eastAsia="方正小标宋_GBK" w:cs="方正小标宋_GBK"/>
          <w:b w:val="0"/>
          <w:bCs w:val="0"/>
          <w:i w:val="0"/>
          <w:caps w:val="0"/>
          <w:color w:val="000000"/>
          <w:spacing w:val="0"/>
          <w:sz w:val="44"/>
          <w:szCs w:val="44"/>
          <w:shd w:val="clear" w:fill="FFFFFF"/>
        </w:rPr>
        <w:t>工作年度报告</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根据《中华人民共和国政府信息公开条例》规定，</w:t>
      </w:r>
      <w:r>
        <w:rPr>
          <w:rFonts w:hint="eastAsia" w:ascii="仿宋" w:hAnsi="仿宋" w:eastAsia="仿宋" w:cs="仿宋"/>
          <w:i w:val="0"/>
          <w:caps w:val="0"/>
          <w:color w:val="000000"/>
          <w:spacing w:val="0"/>
          <w:sz w:val="32"/>
          <w:szCs w:val="32"/>
          <w:shd w:val="clear" w:fill="FFFFFF"/>
          <w:lang w:eastAsia="zh-CN"/>
        </w:rPr>
        <w:t>现编制叶城县</w:t>
      </w:r>
      <w:r>
        <w:rPr>
          <w:rFonts w:hint="eastAsia" w:ascii="仿宋" w:hAnsi="仿宋" w:eastAsia="仿宋" w:cs="仿宋"/>
          <w:i w:val="0"/>
          <w:caps w:val="0"/>
          <w:color w:val="000000"/>
          <w:spacing w:val="0"/>
          <w:sz w:val="32"/>
          <w:szCs w:val="32"/>
          <w:shd w:val="clear" w:fill="FFFFFF"/>
        </w:rPr>
        <w:t>市场监督管理局202</w:t>
      </w:r>
      <w:r>
        <w:rPr>
          <w:rFonts w:hint="eastAsia" w:ascii="仿宋" w:hAnsi="仿宋" w:eastAsia="仿宋" w:cs="仿宋"/>
          <w:i w:val="0"/>
          <w:caps w:val="0"/>
          <w:color w:val="000000"/>
          <w:spacing w:val="0"/>
          <w:sz w:val="32"/>
          <w:szCs w:val="32"/>
          <w:shd w:val="clear" w:fill="FFFFFF"/>
          <w:lang w:val="en-US" w:eastAsia="zh-CN"/>
        </w:rPr>
        <w:t>4</w:t>
      </w:r>
      <w:r>
        <w:rPr>
          <w:rFonts w:hint="eastAsia" w:ascii="仿宋" w:hAnsi="仿宋" w:eastAsia="仿宋" w:cs="仿宋"/>
          <w:i w:val="0"/>
          <w:caps w:val="0"/>
          <w:color w:val="000000"/>
          <w:spacing w:val="0"/>
          <w:sz w:val="32"/>
          <w:szCs w:val="32"/>
          <w:shd w:val="clear" w:fill="FFFFFF"/>
        </w:rPr>
        <w:t>年政府信息公开工作年度报告。政府信息公开工作年度报告分为六部分：总体情况、主动公开政府信息情况、收到和处理政府信息公开申请情况、政府信息公开行政复议、行政诉讼情况，存在的主要问题及改进情况、其他需要报告的事项。</w:t>
      </w:r>
      <w:r>
        <w:rPr>
          <w:rFonts w:hint="eastAsia" w:ascii="仿宋" w:hAnsi="仿宋" w:eastAsia="仿宋" w:cs="仿宋"/>
          <w:i w:val="0"/>
          <w:caps w:val="0"/>
          <w:color w:val="000000"/>
          <w:spacing w:val="0"/>
          <w:sz w:val="32"/>
          <w:szCs w:val="32"/>
          <w:shd w:val="clear" w:fill="FFFFFF"/>
          <w:lang w:eastAsia="zh-CN"/>
        </w:rPr>
        <w:t>本</w:t>
      </w:r>
      <w:r>
        <w:rPr>
          <w:rFonts w:hint="eastAsia" w:ascii="仿宋" w:hAnsi="仿宋" w:eastAsia="仿宋" w:cs="仿宋"/>
          <w:i w:val="0"/>
          <w:caps w:val="0"/>
          <w:color w:val="000000"/>
          <w:spacing w:val="0"/>
          <w:sz w:val="32"/>
          <w:szCs w:val="32"/>
          <w:shd w:val="clear" w:fill="FFFFFF"/>
        </w:rPr>
        <w:t>报告中所列数据的统计期限自202</w:t>
      </w:r>
      <w:r>
        <w:rPr>
          <w:rFonts w:hint="eastAsia" w:ascii="仿宋" w:hAnsi="仿宋" w:eastAsia="仿宋" w:cs="仿宋"/>
          <w:i w:val="0"/>
          <w:caps w:val="0"/>
          <w:color w:val="000000"/>
          <w:spacing w:val="0"/>
          <w:sz w:val="32"/>
          <w:szCs w:val="32"/>
          <w:shd w:val="clear" w:fill="FFFFFF"/>
          <w:lang w:val="en-US" w:eastAsia="zh-CN"/>
        </w:rPr>
        <w:t>4</w:t>
      </w:r>
      <w:r>
        <w:rPr>
          <w:rFonts w:hint="eastAsia" w:ascii="仿宋" w:hAnsi="仿宋" w:eastAsia="仿宋" w:cs="仿宋"/>
          <w:i w:val="0"/>
          <w:caps w:val="0"/>
          <w:color w:val="000000"/>
          <w:spacing w:val="0"/>
          <w:sz w:val="32"/>
          <w:szCs w:val="32"/>
          <w:shd w:val="clear" w:fill="FFFFFF"/>
        </w:rPr>
        <w:t>年1月1日起至</w:t>
      </w:r>
      <w:r>
        <w:rPr>
          <w:rFonts w:hint="eastAsia" w:ascii="仿宋" w:hAnsi="仿宋" w:eastAsia="仿宋" w:cs="仿宋"/>
          <w:i w:val="0"/>
          <w:caps w:val="0"/>
          <w:color w:val="000000"/>
          <w:spacing w:val="0"/>
          <w:sz w:val="32"/>
          <w:szCs w:val="32"/>
          <w:shd w:val="clear" w:fill="FFFFFF"/>
          <w:lang w:val="en-US" w:eastAsia="zh-CN"/>
        </w:rPr>
        <w:t>2024年</w:t>
      </w:r>
      <w:r>
        <w:rPr>
          <w:rFonts w:hint="eastAsia" w:ascii="仿宋" w:hAnsi="仿宋" w:eastAsia="仿宋" w:cs="仿宋"/>
          <w:i w:val="0"/>
          <w:caps w:val="0"/>
          <w:color w:val="000000"/>
          <w:spacing w:val="0"/>
          <w:sz w:val="32"/>
          <w:szCs w:val="32"/>
          <w:shd w:val="clear" w:fill="FFFFFF"/>
        </w:rPr>
        <w:t>12月31日止。</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黑体" w:hAnsi="黑体" w:eastAsia="黑体" w:cs="黑体"/>
          <w:i w:val="0"/>
          <w:caps w:val="0"/>
          <w:color w:val="414141"/>
          <w:spacing w:val="0"/>
          <w:sz w:val="32"/>
          <w:szCs w:val="32"/>
        </w:rPr>
      </w:pPr>
      <w:r>
        <w:rPr>
          <w:rFonts w:hint="eastAsia" w:ascii="黑体" w:hAnsi="黑体" w:eastAsia="黑体" w:cs="黑体"/>
          <w:b/>
          <w:i w:val="0"/>
          <w:caps w:val="0"/>
          <w:color w:val="414141"/>
          <w:spacing w:val="0"/>
          <w:sz w:val="32"/>
          <w:szCs w:val="32"/>
          <w:shd w:val="clear" w:fill="FFFFFF"/>
        </w:rPr>
        <w:t>一、总体情况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 w:hAnsi="仿宋" w:eastAsia="仿宋" w:cs="仿宋"/>
          <w:i w:val="0"/>
          <w:caps w:val="0"/>
          <w:color w:val="000000"/>
          <w:spacing w:val="0"/>
          <w:sz w:val="32"/>
          <w:szCs w:val="32"/>
          <w:shd w:val="clear" w:fill="FFFFFF"/>
          <w:lang w:eastAsia="zh-CN"/>
        </w:rPr>
      </w:pPr>
      <w:r>
        <w:rPr>
          <w:rFonts w:hint="eastAsia" w:ascii="仿宋" w:hAnsi="仿宋" w:eastAsia="仿宋" w:cs="仿宋"/>
          <w:i w:val="0"/>
          <w:caps w:val="0"/>
          <w:color w:val="000000"/>
          <w:spacing w:val="0"/>
          <w:sz w:val="32"/>
          <w:szCs w:val="32"/>
          <w:shd w:val="clear" w:fill="FFFFFF"/>
        </w:rPr>
        <w:t>20</w:t>
      </w:r>
      <w:r>
        <w:rPr>
          <w:rFonts w:hint="eastAsia" w:ascii="仿宋" w:hAnsi="仿宋" w:eastAsia="仿宋" w:cs="仿宋"/>
          <w:i w:val="0"/>
          <w:caps w:val="0"/>
          <w:color w:val="000000"/>
          <w:spacing w:val="0"/>
          <w:sz w:val="32"/>
          <w:szCs w:val="32"/>
          <w:shd w:val="clear" w:fill="FFFFFF"/>
          <w:lang w:val="en-US" w:eastAsia="zh-CN"/>
        </w:rPr>
        <w:t>24</w:t>
      </w:r>
      <w:r>
        <w:rPr>
          <w:rFonts w:hint="eastAsia" w:ascii="仿宋" w:hAnsi="仿宋" w:eastAsia="仿宋" w:cs="仿宋"/>
          <w:i w:val="0"/>
          <w:caps w:val="0"/>
          <w:color w:val="000000"/>
          <w:spacing w:val="0"/>
          <w:sz w:val="32"/>
          <w:szCs w:val="32"/>
          <w:shd w:val="clear" w:fill="FFFFFF"/>
        </w:rPr>
        <w:t>年，</w:t>
      </w:r>
      <w:r>
        <w:rPr>
          <w:rFonts w:hint="eastAsia" w:ascii="仿宋" w:hAnsi="仿宋" w:eastAsia="仿宋" w:cs="仿宋"/>
          <w:i w:val="0"/>
          <w:caps w:val="0"/>
          <w:color w:val="000000"/>
          <w:spacing w:val="0"/>
          <w:sz w:val="32"/>
          <w:szCs w:val="32"/>
          <w:shd w:val="clear" w:fill="FFFFFF"/>
          <w:lang w:eastAsia="zh-CN"/>
        </w:rPr>
        <w:t>叶城县市场监督管理局在县委和政府的坚强领导下，根据</w:t>
      </w:r>
      <w:r>
        <w:rPr>
          <w:rFonts w:hint="eastAsia" w:ascii="仿宋" w:hAnsi="仿宋" w:eastAsia="仿宋" w:cs="仿宋"/>
          <w:i w:val="0"/>
          <w:caps w:val="0"/>
          <w:color w:val="000000"/>
          <w:spacing w:val="0"/>
          <w:sz w:val="32"/>
          <w:szCs w:val="32"/>
          <w:shd w:val="clear" w:fill="FFFFFF"/>
        </w:rPr>
        <w:t>《中华人民共和国政府信息公开条例》</w:t>
      </w:r>
      <w:r>
        <w:rPr>
          <w:rFonts w:hint="eastAsia" w:ascii="仿宋" w:hAnsi="仿宋" w:eastAsia="仿宋" w:cs="仿宋"/>
          <w:i w:val="0"/>
          <w:caps w:val="0"/>
          <w:color w:val="000000"/>
          <w:spacing w:val="0"/>
          <w:sz w:val="32"/>
          <w:szCs w:val="32"/>
          <w:shd w:val="clear" w:fill="FFFFFF"/>
          <w:lang w:eastAsia="zh-CN"/>
        </w:rPr>
        <w:t>规定，按照国家、自治区、地区、县政务公开要求，紧紧围绕政务公开工作要点，加强组织领导，加大公开力度，积极回应社会关切，全面推进决策、执行、管理、服务、结果公开，及时公开政策文件、工作动态、食品安全监督抽检结果等信息，持续做好市场监管领域政策法规宣传，</w:t>
      </w:r>
      <w:r>
        <w:rPr>
          <w:rFonts w:hint="eastAsia" w:ascii="仿宋" w:hAnsi="仿宋" w:eastAsia="仿宋" w:cs="仿宋"/>
          <w:i w:val="0"/>
          <w:caps w:val="0"/>
          <w:color w:val="000000"/>
          <w:spacing w:val="0"/>
          <w:sz w:val="32"/>
          <w:szCs w:val="32"/>
          <w:shd w:val="clear" w:fill="FFFFFF"/>
        </w:rPr>
        <w:t>不断增强信息公开</w:t>
      </w:r>
      <w:r>
        <w:rPr>
          <w:rFonts w:hint="eastAsia" w:ascii="仿宋" w:hAnsi="仿宋" w:eastAsia="仿宋" w:cs="仿宋"/>
          <w:i w:val="0"/>
          <w:caps w:val="0"/>
          <w:color w:val="000000"/>
          <w:spacing w:val="0"/>
          <w:sz w:val="32"/>
          <w:szCs w:val="32"/>
          <w:shd w:val="clear" w:fill="FFFFFF"/>
          <w:lang w:eastAsia="zh-CN"/>
        </w:rPr>
        <w:t>的</w:t>
      </w:r>
      <w:r>
        <w:rPr>
          <w:rFonts w:hint="eastAsia" w:ascii="仿宋" w:hAnsi="仿宋" w:eastAsia="仿宋" w:cs="仿宋"/>
          <w:i w:val="0"/>
          <w:caps w:val="0"/>
          <w:color w:val="000000"/>
          <w:spacing w:val="0"/>
          <w:sz w:val="32"/>
          <w:szCs w:val="32"/>
          <w:shd w:val="clear" w:fill="FFFFFF"/>
        </w:rPr>
        <w:t>实效</w:t>
      </w:r>
      <w:r>
        <w:rPr>
          <w:rFonts w:hint="eastAsia" w:ascii="仿宋" w:hAnsi="仿宋" w:eastAsia="仿宋" w:cs="仿宋"/>
          <w:i w:val="0"/>
          <w:caps w:val="0"/>
          <w:color w:val="000000"/>
          <w:spacing w:val="0"/>
          <w:sz w:val="32"/>
          <w:szCs w:val="32"/>
          <w:shd w:val="clear" w:fill="FFFFFF"/>
          <w:lang w:eastAsia="zh-CN"/>
        </w:rPr>
        <w:t>性。</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仿宋" w:hAnsi="仿宋" w:eastAsia="仿宋" w:cs="仿宋"/>
          <w:b/>
          <w:bCs/>
          <w:i w:val="0"/>
          <w:caps w:val="0"/>
          <w:color w:val="000000"/>
          <w:spacing w:val="0"/>
          <w:sz w:val="32"/>
          <w:szCs w:val="32"/>
          <w:shd w:val="clear" w:fill="FFFFFF"/>
        </w:rPr>
      </w:pPr>
      <w:r>
        <w:rPr>
          <w:rFonts w:hint="eastAsia" w:ascii="仿宋" w:hAnsi="仿宋" w:eastAsia="仿宋" w:cs="仿宋"/>
          <w:b/>
          <w:bCs/>
          <w:i w:val="0"/>
          <w:caps w:val="0"/>
          <w:color w:val="000000"/>
          <w:spacing w:val="0"/>
          <w:sz w:val="32"/>
          <w:szCs w:val="32"/>
          <w:shd w:val="clear" w:fill="FFFFFF"/>
        </w:rPr>
        <w:t>（一）主动公开政府信息情况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val="en-US" w:eastAsia="zh-CN"/>
        </w:rPr>
        <w:t>2024年，我局紧紧围绕市场监管重点工作和中心任务，常态化更新食品、药品安全、</w:t>
      </w:r>
      <w:r>
        <w:rPr>
          <w:rFonts w:hint="eastAsia" w:ascii="仿宋" w:hAnsi="仿宋" w:eastAsia="仿宋" w:cs="仿宋"/>
          <w:i w:val="0"/>
          <w:caps w:val="0"/>
          <w:color w:val="000000"/>
          <w:spacing w:val="0"/>
          <w:sz w:val="32"/>
          <w:szCs w:val="32"/>
          <w:shd w:val="clear" w:fill="FFFFFF"/>
          <w:lang w:eastAsia="zh-CN"/>
        </w:rPr>
        <w:t>行政执法、质量监管、行政全力运行、监督检查等工作动态信息，</w:t>
      </w:r>
      <w:r>
        <w:rPr>
          <w:rFonts w:hint="eastAsia" w:ascii="仿宋" w:hAnsi="仿宋" w:eastAsia="仿宋" w:cs="仿宋"/>
          <w:i w:val="0"/>
          <w:caps w:val="0"/>
          <w:color w:val="000000"/>
          <w:spacing w:val="0"/>
          <w:sz w:val="32"/>
          <w:szCs w:val="32"/>
          <w:shd w:val="clear" w:fill="FFFFFF"/>
        </w:rPr>
        <w:t>对行政许可、处罚、食品抽检不合格产品、核查处置情况等及时予以公开。全年共公示</w:t>
      </w:r>
      <w:r>
        <w:rPr>
          <w:rFonts w:hint="eastAsia" w:ascii="仿宋" w:hAnsi="仿宋" w:eastAsia="仿宋" w:cs="仿宋"/>
          <w:i w:val="0"/>
          <w:caps w:val="0"/>
          <w:color w:val="000000"/>
          <w:spacing w:val="0"/>
          <w:sz w:val="32"/>
          <w:szCs w:val="32"/>
          <w:shd w:val="clear" w:fill="FFFFFF"/>
          <w:lang w:val="en-US" w:eastAsia="zh-CN"/>
        </w:rPr>
        <w:t>115</w:t>
      </w:r>
      <w:r>
        <w:rPr>
          <w:rFonts w:hint="eastAsia" w:ascii="仿宋" w:hAnsi="仿宋" w:eastAsia="仿宋" w:cs="仿宋"/>
          <w:i w:val="0"/>
          <w:caps w:val="0"/>
          <w:color w:val="000000"/>
          <w:spacing w:val="0"/>
          <w:sz w:val="32"/>
          <w:szCs w:val="32"/>
          <w:shd w:val="clear" w:fill="FFFFFF"/>
        </w:rPr>
        <w:t>条。</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bCs/>
          <w:i w:val="0"/>
          <w:caps w:val="0"/>
          <w:color w:val="000000"/>
          <w:spacing w:val="0"/>
          <w:sz w:val="32"/>
          <w:szCs w:val="32"/>
          <w:shd w:val="clear" w:fill="FFFFFF"/>
        </w:rPr>
        <w:t>（二）依申请公开情况</w:t>
      </w:r>
      <w:r>
        <w:rPr>
          <w:rFonts w:hint="eastAsia" w:ascii="仿宋" w:hAnsi="仿宋" w:eastAsia="仿宋" w:cs="仿宋"/>
          <w:b/>
          <w:bCs/>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20</w:t>
      </w:r>
      <w:r>
        <w:rPr>
          <w:rFonts w:hint="eastAsia" w:ascii="仿宋" w:hAnsi="仿宋" w:eastAsia="仿宋" w:cs="仿宋"/>
          <w:i w:val="0"/>
          <w:caps w:val="0"/>
          <w:color w:val="000000"/>
          <w:spacing w:val="0"/>
          <w:sz w:val="32"/>
          <w:szCs w:val="32"/>
          <w:shd w:val="clear" w:fill="FFFFFF"/>
          <w:lang w:val="en-US" w:eastAsia="zh-CN"/>
        </w:rPr>
        <w:t>24</w:t>
      </w:r>
      <w:r>
        <w:rPr>
          <w:rFonts w:hint="eastAsia" w:ascii="仿宋" w:hAnsi="仿宋" w:eastAsia="仿宋" w:cs="仿宋"/>
          <w:i w:val="0"/>
          <w:caps w:val="0"/>
          <w:color w:val="000000"/>
          <w:spacing w:val="0"/>
          <w:sz w:val="32"/>
          <w:szCs w:val="32"/>
          <w:shd w:val="clear" w:fill="FFFFFF"/>
        </w:rPr>
        <w:t>年度我局依申请公开政府信息</w:t>
      </w:r>
      <w:r>
        <w:rPr>
          <w:rFonts w:hint="eastAsia" w:ascii="仿宋" w:hAnsi="仿宋" w:eastAsia="仿宋" w:cs="仿宋"/>
          <w:i w:val="0"/>
          <w:caps w:val="0"/>
          <w:color w:val="000000"/>
          <w:spacing w:val="0"/>
          <w:sz w:val="32"/>
          <w:szCs w:val="32"/>
          <w:shd w:val="clear" w:fill="FFFFFF"/>
          <w:lang w:val="en-US" w:eastAsia="zh-CN"/>
        </w:rPr>
        <w:t>9件，</w:t>
      </w:r>
      <w:r>
        <w:rPr>
          <w:rFonts w:hint="eastAsia" w:ascii="仿宋" w:hAnsi="仿宋" w:eastAsia="仿宋" w:cs="仿宋"/>
          <w:i w:val="0"/>
          <w:caps w:val="0"/>
          <w:color w:val="000000"/>
          <w:spacing w:val="0"/>
          <w:sz w:val="32"/>
          <w:szCs w:val="32"/>
          <w:shd w:val="clear" w:fill="FFFFFF"/>
          <w:lang w:eastAsia="zh-CN"/>
        </w:rPr>
        <w:t>因属于</w:t>
      </w:r>
      <w:r>
        <w:rPr>
          <w:rFonts w:hint="default" w:ascii="仿宋" w:hAnsi="仿宋" w:eastAsia="仿宋" w:cs="仿宋"/>
          <w:i w:val="0"/>
          <w:caps w:val="0"/>
          <w:color w:val="000000"/>
          <w:spacing w:val="0"/>
          <w:sz w:val="32"/>
          <w:szCs w:val="32"/>
          <w:shd w:val="clear" w:fill="FFFFFF"/>
          <w:lang w:val="en-US" w:eastAsia="zh-CN"/>
        </w:rPr>
        <w:t>举报投诉类申请</w:t>
      </w:r>
      <w:r>
        <w:rPr>
          <w:rFonts w:hint="eastAsia" w:ascii="仿宋" w:hAnsi="仿宋" w:eastAsia="仿宋" w:cs="仿宋"/>
          <w:i w:val="0"/>
          <w:caps w:val="0"/>
          <w:color w:val="000000"/>
          <w:spacing w:val="0"/>
          <w:sz w:val="32"/>
          <w:szCs w:val="32"/>
          <w:shd w:val="clear" w:fill="FFFFFF"/>
        </w:rPr>
        <w:t>不予</w:t>
      </w:r>
      <w:r>
        <w:rPr>
          <w:rFonts w:hint="eastAsia" w:ascii="仿宋" w:hAnsi="仿宋" w:eastAsia="仿宋" w:cs="仿宋"/>
          <w:i w:val="0"/>
          <w:caps w:val="0"/>
          <w:color w:val="000000"/>
          <w:spacing w:val="0"/>
          <w:sz w:val="32"/>
          <w:szCs w:val="32"/>
          <w:shd w:val="clear" w:fill="FFFFFF"/>
          <w:lang w:eastAsia="zh-CN"/>
        </w:rPr>
        <w:t>受理</w:t>
      </w:r>
      <w:r>
        <w:rPr>
          <w:rFonts w:hint="eastAsia" w:ascii="仿宋" w:hAnsi="仿宋" w:eastAsia="仿宋" w:cs="仿宋"/>
          <w:i w:val="0"/>
          <w:caps w:val="0"/>
          <w:color w:val="000000"/>
          <w:spacing w:val="0"/>
          <w:sz w:val="32"/>
          <w:szCs w:val="32"/>
          <w:shd w:val="clear" w:fill="FFFFFF"/>
        </w:rPr>
        <w:t>。</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仿宋" w:hAnsi="仿宋" w:eastAsia="仿宋" w:cs="仿宋"/>
          <w:b/>
          <w:bCs/>
          <w:i w:val="0"/>
          <w:caps w:val="0"/>
          <w:color w:val="000000"/>
          <w:spacing w:val="0"/>
          <w:sz w:val="32"/>
          <w:szCs w:val="32"/>
          <w:shd w:val="clear" w:fill="FFFFFF"/>
        </w:rPr>
      </w:pPr>
      <w:r>
        <w:rPr>
          <w:rFonts w:hint="eastAsia" w:ascii="仿宋" w:hAnsi="仿宋" w:eastAsia="仿宋" w:cs="仿宋"/>
          <w:b/>
          <w:bCs/>
          <w:i w:val="0"/>
          <w:caps w:val="0"/>
          <w:color w:val="000000"/>
          <w:spacing w:val="0"/>
          <w:sz w:val="32"/>
          <w:szCs w:val="32"/>
          <w:shd w:val="clear" w:fill="FFFFFF"/>
        </w:rPr>
        <w:t>（三）政府信息管理情况</w:t>
      </w:r>
      <w:bookmarkStart w:id="0" w:name="_GoBack"/>
      <w:bookmarkEnd w:id="0"/>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一是加强信息日常管理，制定《信息审核发布管理制度》，加强行政处罚、食品药品安全、行政执法、质量监管等信息的采集、报送、审核、发布。二是加强信息管理，对上网发布公开的信息，先通过“三审三校”审核制度，检查语言文字表述、图片规范、是否涉密等，然后送相关部门，依次进行审核，杜绝涉及敏感内容的信息。三是加强信息时效性管理，信息类别管理工作。</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仿宋" w:hAnsi="仿宋" w:eastAsia="仿宋" w:cs="仿宋"/>
          <w:b/>
          <w:bCs/>
          <w:i w:val="0"/>
          <w:caps w:val="0"/>
          <w:color w:val="000000"/>
          <w:spacing w:val="0"/>
          <w:sz w:val="32"/>
          <w:szCs w:val="32"/>
          <w:shd w:val="clear" w:fill="FFFFFF"/>
        </w:rPr>
      </w:pPr>
      <w:r>
        <w:rPr>
          <w:rFonts w:hint="eastAsia" w:ascii="仿宋" w:hAnsi="仿宋" w:eastAsia="仿宋" w:cs="仿宋"/>
          <w:b/>
          <w:bCs/>
          <w:i w:val="0"/>
          <w:caps w:val="0"/>
          <w:color w:val="000000"/>
          <w:spacing w:val="0"/>
          <w:sz w:val="32"/>
          <w:szCs w:val="32"/>
          <w:shd w:val="clear" w:fill="FFFFFF"/>
        </w:rPr>
        <w:t>（四）平台建设情况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rPr>
        <w:t>及时利用系统的管理平台，逐步建立完善互联网+监管平台建设。加强行政监督主动公开，定期公布食品抽检情况，主动公开食品</w:t>
      </w:r>
      <w:r>
        <w:rPr>
          <w:rFonts w:hint="eastAsia" w:ascii="仿宋" w:hAnsi="仿宋" w:eastAsia="仿宋" w:cs="仿宋"/>
          <w:i w:val="0"/>
          <w:caps w:val="0"/>
          <w:color w:val="000000"/>
          <w:spacing w:val="0"/>
          <w:sz w:val="32"/>
          <w:szCs w:val="32"/>
          <w:shd w:val="clear" w:fill="FFFFFF"/>
          <w:lang w:eastAsia="zh-CN"/>
        </w:rPr>
        <w:t>、</w:t>
      </w:r>
      <w:r>
        <w:rPr>
          <w:rFonts w:hint="eastAsia" w:ascii="仿宋" w:hAnsi="仿宋" w:eastAsia="仿宋" w:cs="仿宋"/>
          <w:i w:val="0"/>
          <w:caps w:val="0"/>
          <w:color w:val="000000"/>
          <w:spacing w:val="0"/>
          <w:sz w:val="32"/>
          <w:szCs w:val="32"/>
          <w:shd w:val="clear" w:fill="FFFFFF"/>
        </w:rPr>
        <w:t>药品</w:t>
      </w:r>
      <w:r>
        <w:rPr>
          <w:rFonts w:hint="eastAsia" w:ascii="仿宋" w:hAnsi="仿宋" w:eastAsia="仿宋" w:cs="仿宋"/>
          <w:i w:val="0"/>
          <w:caps w:val="0"/>
          <w:color w:val="000000"/>
          <w:spacing w:val="0"/>
          <w:sz w:val="32"/>
          <w:szCs w:val="32"/>
          <w:shd w:val="clear" w:fill="FFFFFF"/>
          <w:lang w:eastAsia="zh-CN"/>
        </w:rPr>
        <w:t>等</w:t>
      </w:r>
      <w:r>
        <w:rPr>
          <w:rFonts w:hint="eastAsia" w:ascii="仿宋" w:hAnsi="仿宋" w:eastAsia="仿宋" w:cs="仿宋"/>
          <w:i w:val="0"/>
          <w:caps w:val="0"/>
          <w:color w:val="000000"/>
          <w:spacing w:val="0"/>
          <w:sz w:val="32"/>
          <w:szCs w:val="32"/>
          <w:shd w:val="clear" w:fill="FFFFFF"/>
        </w:rPr>
        <w:t>违法行为处罚信息。</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3" w:firstLineChars="200"/>
        <w:textAlignment w:val="auto"/>
        <w:rPr>
          <w:rFonts w:hint="eastAsia" w:ascii="仿宋" w:hAnsi="仿宋" w:eastAsia="仿宋" w:cs="仿宋"/>
          <w:b/>
          <w:bCs/>
          <w:i w:val="0"/>
          <w:caps w:val="0"/>
          <w:color w:val="000000"/>
          <w:spacing w:val="0"/>
          <w:sz w:val="32"/>
          <w:szCs w:val="32"/>
          <w:shd w:val="clear" w:fill="FFFFFF"/>
        </w:rPr>
      </w:pPr>
      <w:r>
        <w:rPr>
          <w:rFonts w:hint="eastAsia" w:ascii="仿宋" w:hAnsi="仿宋" w:eastAsia="仿宋" w:cs="仿宋"/>
          <w:b/>
          <w:bCs/>
          <w:i w:val="0"/>
          <w:caps w:val="0"/>
          <w:color w:val="000000"/>
          <w:spacing w:val="0"/>
          <w:sz w:val="32"/>
          <w:szCs w:val="32"/>
          <w:shd w:val="clear" w:fill="FFFFFF"/>
        </w:rPr>
        <w:t>（五）监督保障情况</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黑体" w:hAnsi="黑体" w:eastAsia="黑体" w:cs="黑体"/>
          <w:b/>
          <w:i w:val="0"/>
          <w:caps w:val="0"/>
          <w:color w:val="414141"/>
          <w:spacing w:val="0"/>
          <w:sz w:val="32"/>
          <w:szCs w:val="32"/>
          <w:shd w:val="clear" w:fill="FFFFFF"/>
        </w:rPr>
      </w:pPr>
      <w:r>
        <w:rPr>
          <w:rFonts w:hint="eastAsia" w:ascii="仿宋" w:hAnsi="仿宋" w:eastAsia="仿宋" w:cs="仿宋"/>
          <w:i w:val="0"/>
          <w:caps w:val="0"/>
          <w:color w:val="000000"/>
          <w:spacing w:val="0"/>
          <w:sz w:val="32"/>
          <w:szCs w:val="32"/>
          <w:shd w:val="clear" w:fill="FFFFFF"/>
        </w:rPr>
        <w:t>一是及时调整了信息公开领导小组，局主要领导任组长，班子成员任副组长，各科室负责人为成员，形成齐抓共管良好局面。二是开展培训宣传工作，对系统内信息宣传干部进行专题培训，组织干部认真学习贯彻《中华人民共和国政府信息公开条例》。三是不定期安排专人对本单位在政府网站上依法行政按需公开事项对照《</w:t>
      </w:r>
      <w:r>
        <w:rPr>
          <w:rFonts w:hint="eastAsia" w:ascii="仿宋" w:hAnsi="仿宋" w:eastAsia="仿宋" w:cs="仿宋"/>
          <w:i w:val="0"/>
          <w:caps w:val="0"/>
          <w:color w:val="000000"/>
          <w:spacing w:val="0"/>
          <w:sz w:val="32"/>
          <w:szCs w:val="32"/>
          <w:shd w:val="clear" w:fill="FFFFFF"/>
          <w:lang w:eastAsia="zh-CN"/>
        </w:rPr>
        <w:t>叶城县</w:t>
      </w:r>
      <w:r>
        <w:rPr>
          <w:rFonts w:hint="eastAsia" w:ascii="仿宋" w:hAnsi="仿宋" w:eastAsia="仿宋" w:cs="仿宋"/>
          <w:i w:val="0"/>
          <w:caps w:val="0"/>
          <w:color w:val="000000"/>
          <w:spacing w:val="0"/>
          <w:sz w:val="32"/>
          <w:szCs w:val="32"/>
          <w:shd w:val="clear" w:fill="FFFFFF"/>
        </w:rPr>
        <w:t>政府网站信息发布安全责任书》规定，进行专项清理自查。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420"/>
        <w:textAlignment w:val="auto"/>
        <w:rPr>
          <w:rFonts w:hint="default" w:ascii="黑体" w:hAnsi="黑体" w:eastAsia="黑体" w:cs="黑体"/>
          <w:b w:val="0"/>
          <w:bCs/>
          <w:i w:val="0"/>
          <w:caps w:val="0"/>
          <w:color w:val="414141"/>
          <w:spacing w:val="0"/>
          <w:sz w:val="32"/>
          <w:szCs w:val="32"/>
          <w:shd w:val="clear" w:fill="FFFFFF"/>
          <w:lang w:val="en-US" w:eastAsia="zh-CN"/>
        </w:rPr>
      </w:pPr>
      <w:r>
        <w:rPr>
          <w:rFonts w:hint="eastAsia" w:ascii="黑体" w:hAnsi="黑体" w:eastAsia="黑体" w:cs="黑体"/>
          <w:b w:val="0"/>
          <w:bCs/>
          <w:i w:val="0"/>
          <w:caps w:val="0"/>
          <w:color w:val="414141"/>
          <w:spacing w:val="0"/>
          <w:sz w:val="32"/>
          <w:szCs w:val="32"/>
          <w:shd w:val="clear" w:fill="FFFFFF"/>
          <w:lang w:eastAsia="zh-CN"/>
        </w:rPr>
        <w:t>二、</w:t>
      </w:r>
      <w:r>
        <w:rPr>
          <w:rFonts w:hint="eastAsia" w:ascii="黑体" w:hAnsi="黑体" w:eastAsia="黑体" w:cs="黑体"/>
          <w:b w:val="0"/>
          <w:bCs/>
          <w:i w:val="0"/>
          <w:caps w:val="0"/>
          <w:color w:val="414141"/>
          <w:spacing w:val="0"/>
          <w:sz w:val="32"/>
          <w:szCs w:val="32"/>
          <w:shd w:val="clear" w:fill="FFFFFF"/>
        </w:rPr>
        <w:t>主动公开政府信息情况</w:t>
      </w:r>
    </w:p>
    <w:tbl>
      <w:tblPr>
        <w:tblStyle w:val="3"/>
        <w:tblW w:w="4950" w:type="pct"/>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2494"/>
        <w:gridCol w:w="2105"/>
        <w:gridCol w:w="2105"/>
        <w:gridCol w:w="2164"/>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328" w:hRule="atLeast"/>
          <w:jc w:val="center"/>
        </w:trPr>
        <w:tc>
          <w:tcPr>
            <w:tcW w:w="13108" w:type="dxa"/>
            <w:gridSpan w:val="4"/>
            <w:tcBorders>
              <w:top w:val="single" w:color="auto" w:sz="8" w:space="0"/>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第二十条第（一）项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信息内容</w:t>
            </w:r>
          </w:p>
        </w:tc>
        <w:tc>
          <w:tcPr>
            <w:tcW w:w="3103"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本年制发件数</w:t>
            </w:r>
          </w:p>
        </w:tc>
        <w:tc>
          <w:tcPr>
            <w:tcW w:w="3103"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本年废止件数</w:t>
            </w:r>
          </w:p>
        </w:tc>
        <w:tc>
          <w:tcPr>
            <w:tcW w:w="3194" w:type="dxa"/>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现行有效件数</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90"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规章</w:t>
            </w:r>
          </w:p>
        </w:tc>
        <w:tc>
          <w:tcPr>
            <w:tcW w:w="3103"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c>
          <w:tcPr>
            <w:tcW w:w="3103"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c>
          <w:tcPr>
            <w:tcW w:w="3194"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行政规范性文件</w:t>
            </w:r>
          </w:p>
        </w:tc>
        <w:tc>
          <w:tcPr>
            <w:tcW w:w="3103"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c>
          <w:tcPr>
            <w:tcW w:w="3103"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c>
          <w:tcPr>
            <w:tcW w:w="3194" w:type="dxa"/>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13108"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第二十条第（五）项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信息内容</w:t>
            </w:r>
          </w:p>
        </w:tc>
        <w:tc>
          <w:tcPr>
            <w:tcW w:w="9400"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本年处理决定数量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行政许可</w:t>
            </w:r>
          </w:p>
        </w:tc>
        <w:tc>
          <w:tcPr>
            <w:tcW w:w="9400"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lang w:val="en-US"/>
              </w:rPr>
            </w:pPr>
            <w:r>
              <w:rPr>
                <w:rFonts w:hint="eastAsia" w:ascii="仿宋" w:hAnsi="仿宋" w:eastAsia="仿宋" w:cs="仿宋"/>
                <w:i w:val="0"/>
                <w:caps w:val="0"/>
                <w:color w:val="414141"/>
                <w:spacing w:val="0"/>
                <w:kern w:val="0"/>
                <w:sz w:val="21"/>
                <w:szCs w:val="21"/>
                <w:lang w:val="en-US" w:eastAsia="zh-CN" w:bidi="ar"/>
              </w:rPr>
              <w:t>404</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13108"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第二十条第（六）项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信息内容</w:t>
            </w:r>
          </w:p>
        </w:tc>
        <w:tc>
          <w:tcPr>
            <w:tcW w:w="9400" w:type="dxa"/>
            <w:gridSpan w:val="3"/>
            <w:tcBorders>
              <w:top w:val="single" w:color="auto" w:sz="8" w:space="0"/>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firstLine="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本年处理决定数量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行政处罚</w:t>
            </w:r>
          </w:p>
        </w:tc>
        <w:tc>
          <w:tcPr>
            <w:tcW w:w="9400"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lang w:val="en-US"/>
              </w:rPr>
            </w:pPr>
            <w:r>
              <w:rPr>
                <w:rFonts w:hint="eastAsia" w:ascii="仿宋" w:hAnsi="仿宋" w:eastAsia="仿宋" w:cs="仿宋"/>
                <w:i w:val="0"/>
                <w:caps w:val="0"/>
                <w:color w:val="414141"/>
                <w:spacing w:val="0"/>
                <w:kern w:val="0"/>
                <w:sz w:val="21"/>
                <w:szCs w:val="21"/>
                <w:lang w:val="en-US" w:eastAsia="zh-CN" w:bidi="ar"/>
              </w:rPr>
              <w:t>112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行政强制</w:t>
            </w:r>
          </w:p>
        </w:tc>
        <w:tc>
          <w:tcPr>
            <w:tcW w:w="9400" w:type="dxa"/>
            <w:gridSpan w:val="3"/>
            <w:tcBorders>
              <w:top w:val="nil"/>
              <w:left w:val="nil"/>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default" w:ascii="仿宋" w:hAnsi="仿宋" w:eastAsia="仿宋" w:cs="仿宋"/>
                <w:lang w:val="en-US" w:eastAsia="zh-CN"/>
              </w:rPr>
            </w:pPr>
            <w:r>
              <w:rPr>
                <w:rFonts w:hint="eastAsia" w:ascii="仿宋" w:hAnsi="仿宋" w:eastAsia="仿宋" w:cs="仿宋"/>
                <w:lang w:val="en-US" w:eastAsia="zh-CN"/>
              </w:rPr>
              <w:t>23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13108" w:type="dxa"/>
            <w:gridSpan w:val="4"/>
            <w:tcBorders>
              <w:top w:val="nil"/>
              <w:left w:val="single" w:color="auto" w:sz="8" w:space="0"/>
              <w:bottom w:val="single" w:color="auto" w:sz="8" w:space="0"/>
              <w:right w:val="single" w:color="auto" w:sz="8" w:space="0"/>
            </w:tcBorders>
            <w:shd w:val="clear" w:color="auto" w:fill="C6D9F1"/>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第二十条第（八）项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28"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信息内容</w:t>
            </w:r>
          </w:p>
        </w:tc>
        <w:tc>
          <w:tcPr>
            <w:tcW w:w="9400" w:type="dxa"/>
            <w:gridSpan w:val="3"/>
            <w:tcBorders>
              <w:top w:val="nil"/>
              <w:left w:val="nil"/>
              <w:bottom w:val="single" w:color="auto" w:sz="8" w:space="0"/>
              <w:right w:val="single" w:color="000000"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center"/>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本年收费金额（单位：万元）</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rPr>
          <w:trHeight w:val="365" w:hRule="atLeast"/>
          <w:jc w:val="center"/>
        </w:trPr>
        <w:tc>
          <w:tcPr>
            <w:tcW w:w="3708" w:type="dxa"/>
            <w:tcBorders>
              <w:top w:val="nil"/>
              <w:left w:val="single" w:color="auto" w:sz="8" w:space="0"/>
              <w:bottom w:val="single" w:color="auto" w:sz="8" w:space="0"/>
              <w:right w:val="single" w:color="auto"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0" w:beforeAutospacing="0" w:after="0" w:afterAutospacing="0"/>
              <w:ind w:left="0" w:right="0"/>
              <w:jc w:val="left"/>
              <w:rPr>
                <w:rFonts w:hint="eastAsia" w:ascii="仿宋" w:hAnsi="仿宋" w:eastAsia="仿宋" w:cs="仿宋"/>
              </w:rPr>
            </w:pPr>
            <w:r>
              <w:rPr>
                <w:rFonts w:hint="eastAsia" w:ascii="仿宋" w:hAnsi="仿宋" w:eastAsia="仿宋" w:cs="仿宋"/>
                <w:i w:val="0"/>
                <w:caps w:val="0"/>
                <w:color w:val="000000"/>
                <w:spacing w:val="0"/>
                <w:kern w:val="0"/>
                <w:sz w:val="20"/>
                <w:szCs w:val="20"/>
                <w:lang w:val="en-US" w:eastAsia="zh-CN" w:bidi="ar"/>
              </w:rPr>
              <w:t>行政事业性收费</w:t>
            </w:r>
          </w:p>
        </w:tc>
        <w:tc>
          <w:tcPr>
            <w:tcW w:w="9400" w:type="dxa"/>
            <w:gridSpan w:val="3"/>
            <w:tcBorders>
              <w:top w:val="nil"/>
              <w:left w:val="nil"/>
              <w:bottom w:val="single" w:color="auto" w:sz="8" w:space="0"/>
              <w:right w:val="single" w:color="000000" w:sz="8" w:space="0"/>
            </w:tcBorders>
            <w:shd w:val="clear" w:color="auto" w:fill="FFFFFF"/>
            <w:tcMar>
              <w:top w:w="0" w:type="dxa"/>
              <w:left w:w="57" w:type="dxa"/>
              <w:bottom w:w="0" w:type="dxa"/>
              <w:right w:w="57" w:type="dxa"/>
            </w:tcMar>
            <w:vAlign w:val="center"/>
          </w:tcPr>
          <w:p>
            <w:pPr>
              <w:keepNext w:val="0"/>
              <w:keepLines w:val="0"/>
              <w:widowControl/>
              <w:suppressLineNumbers w:val="0"/>
              <w:spacing w:before="100" w:beforeAutospacing="0" w:after="100" w:afterAutospacing="0"/>
              <w:ind w:left="0" w:right="0"/>
              <w:jc w:val="center"/>
              <w:rPr>
                <w:rFonts w:hint="eastAsia" w:ascii="仿宋" w:hAnsi="仿宋" w:eastAsia="仿宋" w:cs="仿宋"/>
              </w:rPr>
            </w:pPr>
            <w:r>
              <w:rPr>
                <w:rFonts w:hint="eastAsia" w:ascii="仿宋" w:hAnsi="仿宋" w:eastAsia="仿宋" w:cs="仿宋"/>
                <w:i w:val="0"/>
                <w:caps w:val="0"/>
                <w:color w:val="414141"/>
                <w:spacing w:val="0"/>
                <w:kern w:val="0"/>
                <w:sz w:val="21"/>
                <w:szCs w:val="21"/>
                <w:lang w:val="en-US" w:eastAsia="zh-CN" w:bidi="ar"/>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Ã¥Â¾Â®Ã¨Â½Â¯Ã©â€ºâ€¦Ã©Â»â€˜" w:cs="Times New Roman"/>
          <w:i w:val="0"/>
          <w:caps w:val="0"/>
          <w:color w:val="000000"/>
          <w:spacing w:val="0"/>
          <w:sz w:val="24"/>
          <w:szCs w:val="24"/>
        </w:rPr>
      </w:pPr>
      <w:r>
        <w:rPr>
          <w:rFonts w:hint="default" w:ascii="Times New Roman" w:hAnsi="Times New Roman" w:eastAsia="黑体" w:cs="Times New Roman"/>
          <w:b/>
          <w:i w:val="0"/>
          <w:caps w:val="0"/>
          <w:color w:val="333333"/>
          <w:spacing w:val="0"/>
          <w:sz w:val="32"/>
          <w:szCs w:val="32"/>
          <w:shd w:val="clear" w:fill="FFFFFF"/>
        </w:rPr>
        <w:t>三、收到和处理政府信息公开申请情况</w:t>
      </w:r>
    </w:p>
    <w:tbl>
      <w:tblPr>
        <w:tblStyle w:val="3"/>
        <w:tblW w:w="9442"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462"/>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62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楷体" w:cs="Times New Roman"/>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88"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88"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eastAsia" w:ascii="Times New Roman" w:hAnsi="Times New Roman" w:eastAsia="宋体" w:cs="Times New Roman"/>
                <w:kern w:val="0"/>
                <w:sz w:val="24"/>
                <w:szCs w:val="24"/>
                <w:lang w:val="en-US" w:eastAsia="zh-CN" w:bidi="ar"/>
              </w:rPr>
              <w:t>9</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eastAsia" w:ascii="Times New Roman" w:hAnsi="Times New Roman" w:eastAsia="宋体" w:cs="Times New Roman"/>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eastAsia" w:ascii="Times New Roman" w:hAnsi="Times New Roman" w:eastAsia="宋体" w:cs="Times New Roman"/>
                <w:kern w:val="0"/>
                <w:sz w:val="24"/>
                <w:szCs w:val="24"/>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eastAsia" w:ascii="Times New Roman" w:hAnsi="Times New Roman" w:eastAsia="宋体" w:cs="Times New Roman"/>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（一）予以公开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eastAsia" w:ascii="Times New Roman" w:hAnsi="Times New Roman" w:eastAsia="宋体" w:cs="Times New Roman"/>
                <w:kern w:val="0"/>
                <w:sz w:val="24"/>
                <w:szCs w:val="24"/>
                <w:lang w:val="en-US" w:eastAsia="zh-CN" w:bidi="ar"/>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eastAsia" w:ascii="Times New Roman" w:hAnsi="Times New Roman" w:eastAsia="宋体" w:cs="Times New Roman"/>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（二）部分公开</w:t>
            </w:r>
            <w:r>
              <w:rPr>
                <w:rFonts w:hint="default" w:ascii="Times New Roman" w:hAnsi="Times New Roman" w:eastAsia="楷体" w:cs="Times New Roman"/>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1.属于国家秘密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single" w:color="auto" w:sz="8" w:space="0"/>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w:t>
            </w:r>
            <w:r>
              <w:rPr>
                <w:rFonts w:hint="eastAsia" w:ascii="Times New Roman" w:hAnsi="Times New Roman" w:eastAsia="宋体" w:cs="Times New Roman"/>
                <w:kern w:val="0"/>
                <w:sz w:val="24"/>
                <w:szCs w:val="24"/>
                <w:lang w:val="en-US" w:eastAsia="zh-CN" w:bidi="ar"/>
              </w:rPr>
              <w:t>9</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outset"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3220"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3.其他</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left"/>
              <w:rPr>
                <w:rFonts w:hint="default" w:ascii="Times New Roman" w:hAnsi="Times New Roman" w:cs="Times New Roman"/>
              </w:rPr>
            </w:pPr>
            <w:r>
              <w:rPr>
                <w:rFonts w:hint="default" w:ascii="Times New Roman" w:hAnsi="Times New Roman" w:eastAsia="宋体" w:cs="Times New Roman"/>
                <w:kern w:val="0"/>
                <w:sz w:val="24"/>
                <w:szCs w:val="24"/>
                <w:lang w:val="en-US" w:eastAsia="zh-CN" w:bidi="ar"/>
              </w:rPr>
              <w:t> 0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78" w:hRule="atLeast"/>
          <w:jc w:val="center"/>
        </w:trPr>
        <w:tc>
          <w:tcPr>
            <w:tcW w:w="462"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default" w:ascii="Times New Roman" w:hAnsi="Times New Roman" w:cs="Times New Roman"/>
                <w:sz w:val="24"/>
                <w:szCs w:val="24"/>
              </w:rPr>
            </w:pPr>
          </w:p>
        </w:tc>
        <w:tc>
          <w:tcPr>
            <w:tcW w:w="4163"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（七）总计</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240" w:firstLineChars="100"/>
              <w:jc w:val="left"/>
              <w:rPr>
                <w:rFonts w:hint="default" w:ascii="Times New Roman" w:hAnsi="Times New Roman" w:cs="Times New Roman"/>
                <w:lang w:val="en-US"/>
              </w:rPr>
            </w:pPr>
            <w:r>
              <w:rPr>
                <w:rFonts w:hint="eastAsia" w:ascii="Times New Roman" w:hAnsi="Times New Roman" w:eastAsia="宋体" w:cs="Times New Roman"/>
                <w:kern w:val="0"/>
                <w:sz w:val="24"/>
                <w:szCs w:val="24"/>
                <w:lang w:val="en-US" w:eastAsia="zh-CN" w:bidi="ar"/>
              </w:rPr>
              <w:t>9</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lang w:val="en-US"/>
              </w:rPr>
            </w:pPr>
            <w:r>
              <w:rPr>
                <w:rFonts w:hint="eastAsia" w:ascii="Times New Roman" w:hAnsi="Times New Roman" w:eastAsia="宋体" w:cs="Times New Roman"/>
                <w:kern w:val="0"/>
                <w:sz w:val="24"/>
                <w:szCs w:val="24"/>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2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四、结转下年度继续办理</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89"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default" w:ascii="Times New Roman" w:hAnsi="Times New Roman" w:eastAsia="Ã¥Â¾Â®Ã¨Â½Â¯Ã©â€ºâ€¦Ã©Â»â€˜" w:cs="Times New Roman"/>
          <w:i w:val="0"/>
          <w:caps w:val="0"/>
          <w:color w:val="000000"/>
          <w:spacing w:val="0"/>
          <w:sz w:val="24"/>
          <w:szCs w:val="24"/>
        </w:rPr>
      </w:pPr>
      <w:r>
        <w:rPr>
          <w:rFonts w:hint="eastAsia" w:ascii="黑体" w:hAnsi="黑体" w:eastAsia="黑体" w:cs="黑体"/>
          <w:b w:val="0"/>
          <w:bCs/>
          <w:i w:val="0"/>
          <w:caps w:val="0"/>
          <w:color w:val="414141"/>
          <w:spacing w:val="0"/>
          <w:sz w:val="32"/>
          <w:szCs w:val="32"/>
          <w:shd w:val="clear" w:fill="FFFFFF"/>
          <w:lang w:val="en-US" w:eastAsia="zh-CN"/>
        </w:rPr>
        <w:t xml:space="preserve"> </w:t>
      </w:r>
      <w:r>
        <w:rPr>
          <w:rFonts w:hint="default" w:ascii="Times New Roman" w:hAnsi="Times New Roman" w:eastAsia="黑体" w:cs="Times New Roman"/>
          <w:b/>
          <w:i w:val="0"/>
          <w:caps w:val="0"/>
          <w:color w:val="333333"/>
          <w:spacing w:val="0"/>
          <w:sz w:val="32"/>
          <w:szCs w:val="32"/>
          <w:shd w:val="clear" w:fill="FFFFFF"/>
        </w:rPr>
        <w:t>四、政府信息公开行政复议、行政诉讼情况</w:t>
      </w:r>
      <w:r>
        <w:rPr>
          <w:rFonts w:hint="default" w:ascii="Times New Roman" w:hAnsi="Times New Roman" w:eastAsia="宋体" w:cs="Times New Roman"/>
          <w:i w:val="0"/>
          <w:caps w:val="0"/>
          <w:color w:val="333333"/>
          <w:spacing w:val="0"/>
          <w:kern w:val="0"/>
          <w:sz w:val="24"/>
          <w:szCs w:val="24"/>
          <w:shd w:val="clear" w:fill="FFFFFF"/>
          <w:lang w:val="en-US" w:eastAsia="zh-CN" w:bidi="ar"/>
        </w:rPr>
        <w:t> </w:t>
      </w: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行政复议</w:t>
            </w:r>
          </w:p>
        </w:tc>
        <w:tc>
          <w:tcPr>
            <w:tcW w:w="6503"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结果维持</w:t>
            </w:r>
          </w:p>
        </w:tc>
        <w:tc>
          <w:tcPr>
            <w:tcW w:w="649"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49"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总计</w:t>
            </w:r>
          </w:p>
        </w:tc>
        <w:tc>
          <w:tcPr>
            <w:tcW w:w="3248"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未经复议直接起诉</w:t>
            </w:r>
          </w:p>
        </w:tc>
        <w:tc>
          <w:tcPr>
            <w:tcW w:w="325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9"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hint="default" w:ascii="Times New Roman" w:hAnsi="Times New Roman" w:cs="Times New Roman"/>
                <w:sz w:val="24"/>
                <w:szCs w:val="24"/>
              </w:rPr>
            </w:pP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其他</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结果</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维持</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结果</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纠正</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其他</w:t>
            </w:r>
            <w:r>
              <w:rPr>
                <w:rFonts w:hint="default" w:ascii="Times New Roman" w:hAnsi="Times New Roman" w:eastAsia="宋体" w:cs="Times New Roman"/>
                <w:color w:val="000000"/>
                <w:kern w:val="0"/>
                <w:sz w:val="20"/>
                <w:szCs w:val="20"/>
                <w:lang w:val="en-US" w:eastAsia="zh-CN" w:bidi="ar"/>
              </w:rPr>
              <w:br w:type="textWrapping"/>
            </w:r>
            <w:r>
              <w:rPr>
                <w:rFonts w:hint="default" w:ascii="Times New Roman" w:hAnsi="Times New Roman" w:eastAsia="宋体" w:cs="Times New Roman"/>
                <w:color w:val="000000"/>
                <w:kern w:val="0"/>
                <w:sz w:val="20"/>
                <w:szCs w:val="20"/>
                <w:lang w:val="en-US" w:eastAsia="zh-CN" w:bidi="ar"/>
              </w:rPr>
              <w:t>结果</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kern w:val="0"/>
                <w:sz w:val="20"/>
                <w:szCs w:val="20"/>
                <w:lang w:val="en-US" w:eastAsia="zh-CN" w:bidi="ar"/>
              </w:rPr>
              <w:t>尚未</w:t>
            </w:r>
            <w:r>
              <w:rPr>
                <w:rFonts w:hint="default" w:ascii="Times New Roman" w:hAnsi="Times New Roman" w:eastAsia="宋体" w:cs="Times New Roman"/>
                <w:kern w:val="0"/>
                <w:sz w:val="20"/>
                <w:szCs w:val="20"/>
                <w:lang w:val="en-US" w:eastAsia="zh-CN" w:bidi="ar"/>
              </w:rPr>
              <w:br w:type="textWrapping"/>
            </w:r>
            <w:r>
              <w:rPr>
                <w:rFonts w:hint="default" w:ascii="Times New Roman" w:hAnsi="Times New Roman" w:eastAsia="宋体" w:cs="Times New Roman"/>
                <w:kern w:val="0"/>
                <w:sz w:val="20"/>
                <w:szCs w:val="20"/>
                <w:lang w:val="en-US" w:eastAsia="zh-CN" w:bidi="ar"/>
              </w:rPr>
              <w:t>审结</w:t>
            </w:r>
          </w:p>
        </w:tc>
        <w:tc>
          <w:tcPr>
            <w:tcW w:w="65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default" w:ascii="Times New Roman" w:hAnsi="Times New Roman" w:cs="Times New Roman"/>
              </w:rPr>
            </w:pPr>
            <w:r>
              <w:rPr>
                <w:rFonts w:hint="default" w:ascii="Times New Roman" w:hAnsi="Times New Roman" w:eastAsia="宋体" w:cs="Times New Roman"/>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49"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c>
          <w:tcPr>
            <w:tcW w:w="651"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lang w:val="en-US"/>
              </w:rPr>
            </w:pPr>
            <w:r>
              <w:rPr>
                <w:rFonts w:hint="default" w:ascii="Times New Roman" w:hAnsi="Times New Roman" w:eastAsia="宋体" w:cs="Times New Roman"/>
                <w:kern w:val="0"/>
                <w:sz w:val="24"/>
                <w:szCs w:val="24"/>
                <w:lang w:val="en-US" w:eastAsia="zh-CN" w:bidi="ar"/>
              </w:rPr>
              <w:t> 0</w:t>
            </w:r>
          </w:p>
        </w:tc>
      </w:tr>
    </w:tbl>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420"/>
        <w:textAlignment w:val="auto"/>
        <w:rPr>
          <w:rFonts w:hint="eastAsia" w:ascii="仿宋" w:hAnsi="仿宋" w:eastAsia="仿宋" w:cs="仿宋"/>
          <w:b w:val="0"/>
          <w:bCs/>
          <w:i w:val="0"/>
          <w:caps w:val="0"/>
          <w:color w:val="414141"/>
          <w:spacing w:val="0"/>
          <w:sz w:val="32"/>
          <w:szCs w:val="32"/>
        </w:rPr>
      </w:pPr>
      <w:r>
        <w:rPr>
          <w:rFonts w:hint="eastAsia" w:ascii="黑体" w:hAnsi="黑体" w:eastAsia="黑体" w:cs="黑体"/>
          <w:b w:val="0"/>
          <w:bCs/>
          <w:i w:val="0"/>
          <w:caps w:val="0"/>
          <w:color w:val="414141"/>
          <w:spacing w:val="0"/>
          <w:sz w:val="32"/>
          <w:szCs w:val="32"/>
          <w:shd w:val="clear" w:fill="FFFFFF"/>
        </w:rPr>
        <w:t>五、存在的主要问题及改进情况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i w:val="0"/>
          <w:caps w:val="0"/>
          <w:color w:val="000000"/>
          <w:spacing w:val="0"/>
          <w:sz w:val="32"/>
          <w:szCs w:val="32"/>
          <w:shd w:val="clear" w:fill="FFFFFF"/>
          <w:lang w:val="en-US" w:eastAsia="zh-CN"/>
        </w:rPr>
        <w:t>(一)存在的问题。一是政府信息公开主动性、及时性不够；二是</w:t>
      </w:r>
      <w:r>
        <w:rPr>
          <w:rFonts w:hint="default" w:ascii="仿宋_GB2312" w:hAnsi="微软雅黑" w:eastAsia="仿宋_GB2312" w:cs="仿宋_GB2312"/>
          <w:i w:val="0"/>
          <w:caps w:val="0"/>
          <w:color w:val="000000"/>
          <w:spacing w:val="0"/>
          <w:kern w:val="0"/>
          <w:sz w:val="32"/>
          <w:szCs w:val="32"/>
          <w:lang w:val="en-US" w:eastAsia="zh-CN" w:bidi="ar"/>
        </w:rPr>
        <w:t>部分科室人员对政务公开工作的重要性认识不到位</w:t>
      </w:r>
      <w:r>
        <w:rPr>
          <w:rFonts w:hint="eastAsia" w:ascii="仿宋_GB2312" w:hAnsi="微软雅黑" w:eastAsia="仿宋_GB2312" w:cs="仿宋_GB2312"/>
          <w:i w:val="0"/>
          <w:caps w:val="0"/>
          <w:color w:val="000000"/>
          <w:spacing w:val="0"/>
          <w:kern w:val="0"/>
          <w:sz w:val="32"/>
          <w:szCs w:val="32"/>
          <w:lang w:val="en-US" w:eastAsia="zh-CN" w:bidi="ar"/>
        </w:rPr>
        <w:t>；三是信息公开有的栏目公开事项较少。</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caps w:val="0"/>
          <w:color w:val="000000"/>
          <w:spacing w:val="0"/>
          <w:sz w:val="32"/>
          <w:szCs w:val="32"/>
          <w:shd w:val="clear" w:fill="FFFFFF"/>
          <w:lang w:eastAsia="zh-CN"/>
        </w:rPr>
      </w:pPr>
      <w:r>
        <w:rPr>
          <w:rFonts w:hint="eastAsia" w:ascii="仿宋_GB2312" w:hAnsi="微软雅黑" w:eastAsia="仿宋_GB2312" w:cs="仿宋_GB2312"/>
          <w:i w:val="0"/>
          <w:caps w:val="0"/>
          <w:color w:val="000000"/>
          <w:spacing w:val="0"/>
          <w:kern w:val="0"/>
          <w:sz w:val="32"/>
          <w:szCs w:val="32"/>
          <w:lang w:val="en-US" w:eastAsia="zh-CN" w:bidi="ar"/>
        </w:rPr>
        <w:t>（二）改进措施。2025年我局将按照</w:t>
      </w:r>
      <w:r>
        <w:rPr>
          <w:rFonts w:hint="eastAsia" w:ascii="仿宋" w:hAnsi="仿宋" w:eastAsia="仿宋" w:cs="仿宋"/>
          <w:i w:val="0"/>
          <w:caps w:val="0"/>
          <w:color w:val="000000"/>
          <w:spacing w:val="0"/>
          <w:sz w:val="32"/>
          <w:szCs w:val="32"/>
          <w:shd w:val="clear" w:fill="FFFFFF"/>
        </w:rPr>
        <w:t>《中华人民共和国政府信息公开条例》</w:t>
      </w:r>
      <w:r>
        <w:rPr>
          <w:rFonts w:hint="eastAsia" w:ascii="仿宋" w:hAnsi="仿宋" w:eastAsia="仿宋" w:cs="仿宋"/>
          <w:i w:val="0"/>
          <w:caps w:val="0"/>
          <w:color w:val="000000"/>
          <w:spacing w:val="0"/>
          <w:sz w:val="32"/>
          <w:szCs w:val="32"/>
          <w:shd w:val="clear" w:fill="FFFFFF"/>
          <w:lang w:eastAsia="zh-CN"/>
        </w:rPr>
        <w:t>和县政府对信息公开的相关要求，继续大力推进政府信息公开工作。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left"/>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eastAsia="zh-CN"/>
        </w:rPr>
        <w:t>一是进一步加强队伍建设。认真组织学习</w:t>
      </w:r>
      <w:r>
        <w:rPr>
          <w:rFonts w:hint="eastAsia" w:ascii="仿宋" w:hAnsi="仿宋" w:eastAsia="仿宋" w:cs="仿宋"/>
          <w:i w:val="0"/>
          <w:caps w:val="0"/>
          <w:color w:val="000000"/>
          <w:spacing w:val="0"/>
          <w:sz w:val="32"/>
          <w:szCs w:val="32"/>
          <w:shd w:val="clear" w:fill="FFFFFF"/>
        </w:rPr>
        <w:t>《中华人民共和国政府信息公开条例》</w:t>
      </w:r>
      <w:r>
        <w:rPr>
          <w:rFonts w:hint="eastAsia" w:ascii="仿宋" w:hAnsi="仿宋" w:eastAsia="仿宋" w:cs="仿宋"/>
          <w:i w:val="0"/>
          <w:caps w:val="0"/>
          <w:color w:val="000000"/>
          <w:spacing w:val="0"/>
          <w:sz w:val="32"/>
          <w:szCs w:val="32"/>
          <w:shd w:val="clear" w:fill="FFFFFF"/>
          <w:lang w:eastAsia="zh-CN"/>
        </w:rPr>
        <w:t>等相关规定，着力提高干部专业水平和业务能力。二是进一步深化公开内容。突出公开的重点，进一步加大对行政处罚。食品药品安全、行政执法、质量监管等方面信息及涉及群众切身利益等公共事务的公开力度，提高公开的透明度。三是进一步完善规章制度。形成以制度管人、以制度谋事的长效机制，进一步规范政府信息公开工作。</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700"/>
        <w:jc w:val="left"/>
        <w:rPr>
          <w:rFonts w:hint="default" w:ascii="方正小标宋简体" w:hAnsi="方正小标宋简体" w:eastAsia="方正小标宋简体" w:cs="方正小标宋简体"/>
          <w:b w:val="0"/>
          <w:i w:val="0"/>
          <w:caps w:val="0"/>
          <w:color w:val="000000"/>
          <w:spacing w:val="8"/>
          <w:sz w:val="32"/>
          <w:szCs w:val="32"/>
          <w:shd w:val="clear" w:fill="FFFFFF"/>
        </w:rPr>
      </w:pPr>
      <w:r>
        <w:rPr>
          <w:rFonts w:hint="default" w:ascii="方正小标宋简体" w:hAnsi="方正小标宋简体" w:eastAsia="方正小标宋简体" w:cs="方正小标宋简体"/>
          <w:b w:val="0"/>
          <w:i w:val="0"/>
          <w:caps w:val="0"/>
          <w:color w:val="000000"/>
          <w:spacing w:val="8"/>
          <w:sz w:val="32"/>
          <w:szCs w:val="32"/>
          <w:shd w:val="clear" w:fill="FFFFFF"/>
        </w:rPr>
        <w:t> 其他需要报告的事项</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firstLine="640" w:firstLineChars="200"/>
        <w:jc w:val="left"/>
        <w:rPr>
          <w:rFonts w:hint="default" w:ascii="Ã¥Â¾Â®Ã¨Â½Â¯Ã©â€ºâ€¦Ã©Â»â€˜" w:hAnsi="Ã¥Â¾Â®Ã¨Â½Â¯Ã©â€ºâ€¦Ã©Â»â€˜" w:eastAsia="Ã¥Â¾Â®Ã¨Â½Â¯Ã©â€ºâ€¦Ã©Â»â€˜" w:cs="Ã¥Â¾Â®Ã¨Â½Â¯Ã©â€ºâ€¦Ã©Â»â€˜"/>
          <w:i w:val="0"/>
          <w:caps w:val="0"/>
          <w:color w:val="000000"/>
          <w:spacing w:val="0"/>
          <w:sz w:val="24"/>
          <w:szCs w:val="24"/>
        </w:rPr>
      </w:pPr>
      <w:r>
        <w:rPr>
          <w:rFonts w:hint="eastAsia" w:ascii="仿宋" w:hAnsi="仿宋" w:eastAsia="仿宋" w:cs="仿宋"/>
          <w:i w:val="0"/>
          <w:caps w:val="0"/>
          <w:color w:val="000000"/>
          <w:spacing w:val="0"/>
          <w:kern w:val="2"/>
          <w:sz w:val="32"/>
          <w:szCs w:val="32"/>
          <w:shd w:val="clear" w:fill="FFFFFF"/>
          <w:lang w:val="en-US" w:eastAsia="zh-CN" w:bidi="ar-SA"/>
        </w:rPr>
        <w:t>本机关按照《国务院办公厅关于印发&lt;政府信息公开信息处理费管理办法&gt;的通知》(国办函〔2020〕109号)规定的按件、按量收费标准，本年度没有产生信息公开处理费。）</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textAlignment w:val="auto"/>
        <w:rPr>
          <w:rFonts w:hint="eastAsia" w:ascii="仿宋" w:hAnsi="仿宋" w:eastAsia="仿宋" w:cs="仿宋"/>
          <w:i w:val="0"/>
          <w:caps w:val="0"/>
          <w:color w:val="414141"/>
          <w:spacing w:val="0"/>
          <w:sz w:val="32"/>
          <w:szCs w:val="32"/>
          <w:shd w:val="clear" w:fill="FFFFFF"/>
          <w:lang w:val="en-US" w:eastAsia="zh-CN"/>
        </w:rPr>
      </w:pPr>
      <w:r>
        <w:rPr>
          <w:rFonts w:hint="eastAsia" w:ascii="仿宋" w:hAnsi="仿宋" w:eastAsia="仿宋" w:cs="仿宋"/>
          <w:i w:val="0"/>
          <w:caps w:val="0"/>
          <w:color w:val="414141"/>
          <w:spacing w:val="0"/>
          <w:sz w:val="32"/>
          <w:szCs w:val="32"/>
          <w:shd w:val="clear" w:fill="FFFFFF"/>
          <w:lang w:val="en-US" w:eastAsia="zh-CN"/>
        </w:rPr>
        <w:t xml:space="preserve">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640" w:firstLineChars="200"/>
        <w:jc w:val="righ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i w:val="0"/>
          <w:caps w:val="0"/>
          <w:color w:val="000000"/>
          <w:spacing w:val="0"/>
          <w:sz w:val="32"/>
          <w:szCs w:val="32"/>
          <w:shd w:val="clear" w:fill="FFFFFF"/>
          <w:lang w:eastAsia="zh-CN"/>
        </w:rPr>
        <w:t>叶城县</w:t>
      </w:r>
      <w:r>
        <w:rPr>
          <w:rFonts w:hint="eastAsia" w:ascii="仿宋" w:hAnsi="仿宋" w:eastAsia="仿宋" w:cs="仿宋"/>
          <w:i w:val="0"/>
          <w:caps w:val="0"/>
          <w:color w:val="000000"/>
          <w:spacing w:val="0"/>
          <w:sz w:val="32"/>
          <w:szCs w:val="32"/>
          <w:shd w:val="clear" w:fill="FFFFFF"/>
        </w:rPr>
        <w:t>市场监督管理局</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firstLine="5120" w:firstLineChars="1600"/>
        <w:jc w:val="center"/>
        <w:textAlignment w:val="auto"/>
      </w:pPr>
      <w:r>
        <w:rPr>
          <w:rFonts w:hint="eastAsia" w:ascii="仿宋" w:hAnsi="仿宋" w:eastAsia="仿宋" w:cs="仿宋"/>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202</w:t>
      </w:r>
      <w:r>
        <w:rPr>
          <w:rFonts w:hint="eastAsia" w:ascii="仿宋" w:hAnsi="仿宋" w:eastAsia="仿宋" w:cs="仿宋"/>
          <w:i w:val="0"/>
          <w:caps w:val="0"/>
          <w:color w:val="000000"/>
          <w:spacing w:val="0"/>
          <w:sz w:val="32"/>
          <w:szCs w:val="32"/>
          <w:shd w:val="clear" w:fill="FFFFFF"/>
          <w:lang w:val="en-US" w:eastAsia="zh-CN"/>
        </w:rPr>
        <w:t>5</w:t>
      </w:r>
      <w:r>
        <w:rPr>
          <w:rFonts w:hint="eastAsia" w:ascii="仿宋" w:hAnsi="仿宋" w:eastAsia="仿宋" w:cs="仿宋"/>
          <w:i w:val="0"/>
          <w:caps w:val="0"/>
          <w:color w:val="000000"/>
          <w:spacing w:val="0"/>
          <w:sz w:val="32"/>
          <w:szCs w:val="32"/>
          <w:shd w:val="clear" w:fill="FFFFFF"/>
        </w:rPr>
        <w:t>年1月</w:t>
      </w:r>
      <w:r>
        <w:rPr>
          <w:rFonts w:hint="eastAsia" w:ascii="仿宋" w:hAnsi="仿宋" w:eastAsia="仿宋" w:cs="仿宋"/>
          <w:i w:val="0"/>
          <w:caps w:val="0"/>
          <w:color w:val="000000"/>
          <w:spacing w:val="0"/>
          <w:sz w:val="32"/>
          <w:szCs w:val="32"/>
          <w:shd w:val="clear" w:fill="FFFFFF"/>
          <w:lang w:val="en-US" w:eastAsia="zh-CN"/>
        </w:rPr>
        <w:t>16</w:t>
      </w:r>
      <w:r>
        <w:rPr>
          <w:rFonts w:hint="eastAsia" w:ascii="仿宋" w:hAnsi="仿宋" w:eastAsia="仿宋" w:cs="仿宋"/>
          <w:i w:val="0"/>
          <w:caps w:val="0"/>
          <w:color w:val="000000"/>
          <w:spacing w:val="0"/>
          <w:sz w:val="32"/>
          <w:szCs w:val="32"/>
          <w:shd w:val="clear" w:fill="FFFFFF"/>
        </w:rPr>
        <w:t>日</w:t>
      </w:r>
    </w:p>
    <w:sectPr>
      <w:pgSz w:w="11906" w:h="16838"/>
      <w:pgMar w:top="2098"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Ã¥Â¾Â®Ã¨Â½Â¯Ã©â€ºâ€¦Ã©Â»â€˜">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1B8DA7"/>
    <w:multiLevelType w:val="singleLevel"/>
    <w:tmpl w:val="C81B8DA7"/>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C7B22"/>
    <w:rsid w:val="0EDE1FB4"/>
    <w:rsid w:val="13E439D2"/>
    <w:rsid w:val="29C94728"/>
    <w:rsid w:val="3E571EEC"/>
    <w:rsid w:val="410A4F83"/>
    <w:rsid w:val="4A3C7B22"/>
    <w:rsid w:val="4D381E4E"/>
    <w:rsid w:val="6F872517"/>
    <w:rsid w:val="7FBA60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2025-01-16T09:51:00Z</dcterms:created>
  <dc:creator>Administrator</dc:creator>
  <cp:lastModifiedBy>Administrator</cp:lastModifiedBy>
  <cp:lastPrinted>2025-01-17T03:05:00Z</cp:lastPrinted>
  <dcterms:modified xsi:type="dcterms:W3CDTF">2025-02-18T04:18:23Z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