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喀什地区生态环境局叶城县分局2024年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0" w:afterAutospacing="0" w:line="450" w:lineRule="atLeast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(国务院令第711号）和《国务院办公厅政府信息与政务公开办公室关于印发〈中华人民共和国政府信息公开工作年度报告格式〉的通知》(国办公开办函﹝2021﹞30号）要求，编制本年度报告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rightChars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2024年，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喀什地区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生态环境局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叶城县分局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以习近平新时代中国特色社会主义思想为指导，认真践行习近平生态文明思想，按照政务公开工作要求，积极推进政府信息公开工作，提升政务公开工作服务质量。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</w:rPr>
        <w:t>主动公开情况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2024年，通过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叶城县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人民政府门户网站主动公开生态环境保护类息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条，主要内容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环境执法、行政处罚、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环境质量监测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等方面内容。按季度公开发布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叶城县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环境质量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监测数据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叶城县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集中式生活饮用水安全状况信息，及时公开主办的人大代表建议和政协委员提案办理结果信息。通过“生态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喀什地区生态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环境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”微信公众号发布信息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条，“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叶城零距离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”发布信息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条。以全面规范重点领域政府信息公开提高公开度，在发挥政务公开功能作用、提升生态环境信息公开质效持续发力，不断提高群众知晓度。同时，积极配合县人民政府做好生态环保重点领域信息公开工作。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leftChars="0" w:right="0" w:rightChars="0" w:firstLine="420" w:firstLineChars="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</w:rPr>
        <w:t>依申请公开情况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规范政府信息依申请公开处理流程，依法依规妥善办理公开申请，依法及时规范答复。2024年，我局共收到政府信息公开申请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件，未引起行政复议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收到1件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行政诉讼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案件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leftChars="0" w:right="0" w:rightChars="0" w:firstLine="420" w:firstLineChars="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</w:rPr>
        <w:t>政府信息管理情况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认真组织学习《中华人民共和国政府信息公开条例》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按要求规范开展政务信息公开，拓宽信息公开渠道，明确政务公开任务和责任，规范信息的采集、审核、发布流程，做到全面公开，不留死角。按照“归口管理、分工协作”的原则，明确各处室、分局职责，及时完善我局政府信息公开工作制度机制，规范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态环境系统政府信息管理，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强政府信息公开审查、审核把关、信息发布管理，全力做好政府信息公开内容保障工作。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rightChars="0" w:firstLine="643" w:firstLineChars="20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</w:rPr>
        <w:t>（四）政府信息公开平台建设情况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一是进一步加大生态环境信息公开力度，做好生态环境保护重点领域和公众关注热点问题的公开。二是加强信息报送，每季度针对县域生态环境监测及双随机检查进行公示。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 w:rightChars="0" w:firstLine="643" w:firstLineChars="20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</w:rPr>
        <w:t>（五）加强监督保障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将政府信息公开工作纳入生态环境保护工作要内容，与全局各项工作同安排同部署。加强政府信息公开内容采集、审核、发布，确保及时、主动、全面公开各类信息。加强与主管部门联系沟通，强化督促检查，督导及时处理有关政务公开和政府信息公开方面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leftChars="0" w:right="0" w:rightChars="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321" w:firstLineChars="100"/>
        <w:jc w:val="both"/>
        <w:rPr>
          <w:rFonts w:hint="default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  <w:lang w:val="en-US" w:eastAsia="zh-CN"/>
        </w:rPr>
        <w:t>（一）存在问题：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政策解读形式较为单一，以文字类解读稿件为主。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政务公开意识有待加强，部分公开信息的时效性有待提升。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0"/>
          <w:sz w:val="32"/>
          <w:szCs w:val="32"/>
          <w:shd w:val="clear" w:fill="FFFFFF"/>
          <w:vertAlign w:val="baseline"/>
          <w:lang w:val="en-US" w:eastAsia="zh-CN"/>
        </w:rPr>
        <w:t>（二）改进措施：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加强政策文件解读。认真研究各项政策文件和重要文件，创新解读形式，采用一图读懂、图文结合、视频等方式方法进行深入解读，实现精准解读。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提高认识，牢固树立“做到法定公开事项主动公开到位，其他事项审慎主动公开”的工作理念，围绕生态环境领域信息，坚持依法做好政府信息主动公开公开。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他需要报告的事项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本机关按照《国务院办公厅关于印发&lt;政府信息公开信息处理费管理办法&gt;的通知》(国办函〔2020〕109号)规定的按件、按量收费标准，本年度没有产生信息公开处理费。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喀什地区生态环境局叶城县分局</w:t>
      </w:r>
    </w:p>
    <w:p>
      <w:pPr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2025年1月21日</w:t>
      </w: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D7EC7D"/>
    <w:multiLevelType w:val="singleLevel"/>
    <w:tmpl w:val="95D7EC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19BEBF"/>
    <w:multiLevelType w:val="singleLevel"/>
    <w:tmpl w:val="DA19BE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F165FE"/>
    <w:multiLevelType w:val="singleLevel"/>
    <w:tmpl w:val="19F165F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B1B4E12"/>
    <w:rsid w:val="0DF90C82"/>
    <w:rsid w:val="1172554F"/>
    <w:rsid w:val="11956A1C"/>
    <w:rsid w:val="1AEE52C5"/>
    <w:rsid w:val="27E336BD"/>
    <w:rsid w:val="307C628D"/>
    <w:rsid w:val="35D86959"/>
    <w:rsid w:val="586F059E"/>
    <w:rsid w:val="60DF3095"/>
    <w:rsid w:val="702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dcterms:modified xsi:type="dcterms:W3CDTF">2025-02-18T05:45:03Z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