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5D" w:rsidRPr="00754492" w:rsidRDefault="00AA4433" w:rsidP="00754492">
      <w:pPr>
        <w:widowControl/>
        <w:spacing w:line="480" w:lineRule="exact"/>
        <w:ind w:firstLineChars="200" w:firstLine="883"/>
        <w:jc w:val="center"/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</w:pP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叶城县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2017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年国有资本经营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br/>
        <w:t xml:space="preserve">    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决算和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2018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年国有资本经营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br/>
        <w:t xml:space="preserve">    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预算公开的说明</w:t>
      </w:r>
    </w:p>
    <w:p w:rsidR="00B0645D" w:rsidRPr="00754492" w:rsidRDefault="00AA4433">
      <w:pPr>
        <w:widowControl/>
        <w:spacing w:line="480" w:lineRule="exact"/>
        <w:ind w:firstLineChars="200" w:firstLine="88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方正大黑简体" w:cs="方正大黑简体" w:hint="eastAsia"/>
          <w:kern w:val="0"/>
          <w:sz w:val="44"/>
          <w:szCs w:val="44"/>
          <w:lang/>
        </w:rPr>
        <w:br/>
        <w:t xml:space="preserve">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按照《预算法》的有关规定及自治区人民政府《关于试行国有资本经营预算的意见》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新政发〔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2008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〕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90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号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、《新疆维吾尔自治区本级国有资本经营预算管理办法》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新财企〔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〕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53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号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、《自治区财政厅关于转发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&lt;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财政部关于印发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&lt;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地方预决算公开操作规程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&gt;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的通知》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新财预〔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2016]129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号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以及地区关于国有资本经营预算管理相关制度要求，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年叶城县本级国有资本经营预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算已编制完毕，现将有关情况说明如下：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 xml:space="preserve">  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一、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年叶城县本级国有资本经营预算执行情况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（一）收入情况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叶城县本级国有资本经营预算收入完成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万元，为年初预算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100%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，即叶城县园艺场上缴净利润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万元；比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年增加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6.67%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。其中：利润收入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万元。国有资本经营预算转移支付收入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万元。</w:t>
      </w:r>
    </w:p>
    <w:p w:rsidR="00B0645D" w:rsidRPr="00754492" w:rsidRDefault="00AA4433" w:rsidP="00754492">
      <w:pPr>
        <w:widowControl/>
        <w:spacing w:line="480" w:lineRule="exact"/>
        <w:ind w:leftChars="200" w:left="420" w:firstLineChars="100" w:firstLine="32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二）支出情况。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叶城县本级国有资本经营预算完成支出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万元，为年初预算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100%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年减少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万元，下降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7.69%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。其中：其他国有资本经营预算支出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万元，全部为费用性支出，即叶城县园艺场用于职工医疗补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助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万元；调出资金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调入一般公共预算）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万元。</w:t>
      </w:r>
    </w:p>
    <w:p w:rsidR="00B0645D" w:rsidRPr="00754492" w:rsidRDefault="00AA4433">
      <w:pPr>
        <w:widowControl/>
        <w:numPr>
          <w:ilvl w:val="0"/>
          <w:numId w:val="1"/>
        </w:numPr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收支平衡情况。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叶城县本级国有资本经营预算收入总计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其中：本年利润收入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万元，转移支付收入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万元，上年结转收入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万元）；国有资本经营预算支出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万元，国有资本经营预算调出资金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,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收支相抵，结转下年支出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二、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年叶城县本级国有资本经营预算编制情况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（一）收入情况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lastRenderedPageBreak/>
        <w:t>叶城县本级国有资本经营预算安排收入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年预计完成数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12.5%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；其中：利润收入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万元，股利、股息收入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（二）支出情况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本级国有资本经营预算安排支出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年预计完成数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万元，同比增加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16.6%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。其中：其中：其他国有资本经营预算支出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万元，调出资金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调入一般公共预算）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万元。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  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收支平衡情况。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年叶城县本级国有资本经营预算收入安排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,18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万元，加上年结转收入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元，收入总计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万元，国有资本经营预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算支出建议安排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万元，调出资金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调入一般公共预算）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万元，收支相抵后，结余为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三、强化国有资本经营预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算管理的主要措施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（一）加强国有资本经营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预算收入管理。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今年对国有企业数量、运行和盈利状况进行摸底调查，将各类应缴企业尽快纳入预算管理，做到应收尽收。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（二）完善国有资本经营预算收支与绩效管理。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加强预算支出资金分配及使用情况的管理监督，确保企业按照规定用途有效使用预算资金。改进国有企业的资本经营预算和绩效管理，促进提高企业整体盈利能力和水平，逐渐摆脱资本经营收益依赖少数企业的局面，不断提高国有资本经营预算管理绩效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四、名词解释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一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国有资本经菅预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算。是指国家以所有者身份依法取得国有资本收益，并对所得收益进行分配而发生的各项收支预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算，是政府预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算的重要组成部分。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利润收入。即国有独资企业按规定比例应当上缴国家的收益，其测算基数为企业合并财务报表反映的归属于母公司的净利润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扣除实际提取法定公积金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lastRenderedPageBreak/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股利、股息收入。即国有控股、参股企业国有股权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股份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获得的股利、股息收入。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四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产权转让收入。即转让国有产权、股权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股份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获得的收入。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清算收入。即国有独资企业清算收入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扣除清算费用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，国有控股、参股企业国有股权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股份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分享的公司清算收入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扣除清算费用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</w:t>
      </w: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 w:rsidP="00754492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</w:p>
    <w:p w:rsidR="00B0645D" w:rsidRPr="00754492" w:rsidRDefault="00754492" w:rsidP="00754492">
      <w:pPr>
        <w:widowControl/>
        <w:spacing w:line="480" w:lineRule="exact"/>
        <w:ind w:firstLineChars="200" w:firstLine="640"/>
        <w:jc w:val="center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叶城县财政局</w:t>
      </w:r>
    </w:p>
    <w:p w:rsidR="00754492" w:rsidRPr="00754492" w:rsidRDefault="00754492" w:rsidP="00754492">
      <w:pPr>
        <w:widowControl/>
        <w:spacing w:line="480" w:lineRule="exact"/>
        <w:ind w:firstLineChars="200" w:firstLine="640"/>
        <w:jc w:val="center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2018年2月3日</w:t>
      </w:r>
    </w:p>
    <w:p w:rsidR="00B0645D" w:rsidRPr="00754492" w:rsidRDefault="00B0645D" w:rsidP="00754492">
      <w:pPr>
        <w:widowControl/>
        <w:spacing w:line="480" w:lineRule="exact"/>
        <w:ind w:firstLineChars="200" w:firstLine="640"/>
        <w:jc w:val="center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</w:p>
    <w:p w:rsidR="00B0645D" w:rsidRPr="00754492" w:rsidRDefault="00B0645D" w:rsidP="00754492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AA4433" w:rsidP="00754492">
      <w:pPr>
        <w:widowControl/>
        <w:spacing w:line="480" w:lineRule="exact"/>
        <w:ind w:firstLineChars="200" w:firstLine="883"/>
        <w:jc w:val="center"/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</w:pP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叶城县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2017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年国有资本经营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br/>
        <w:t xml:space="preserve">    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决算和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2018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年国有资本经营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br/>
        <w:t xml:space="preserve">    </w:t>
      </w:r>
      <w:r w:rsidRPr="00754492">
        <w:rPr>
          <w:rFonts w:ascii="仿宋_GB2312" w:eastAsia="仿宋_GB2312" w:hAnsi="方正大黑简体" w:cs="方正大黑简体" w:hint="eastAsia"/>
          <w:b/>
          <w:kern w:val="0"/>
          <w:sz w:val="44"/>
          <w:szCs w:val="44"/>
          <w:lang/>
        </w:rPr>
        <w:t>预算公开的说明</w:t>
      </w:r>
    </w:p>
    <w:p w:rsidR="00B0645D" w:rsidRPr="00754492" w:rsidRDefault="00AA4433">
      <w:pPr>
        <w:widowControl/>
        <w:spacing w:line="480" w:lineRule="exact"/>
        <w:ind w:firstLineChars="200" w:firstLine="88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方正大黑简体" w:cs="方正大黑简体" w:hint="eastAsia"/>
          <w:kern w:val="0"/>
          <w:sz w:val="44"/>
          <w:szCs w:val="44"/>
          <w:lang/>
        </w:rPr>
        <w:br/>
        <w:t xml:space="preserve">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按照《预算法》的有关规定及自治区人民政府《关于试行国有资本经营预算的意见》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新政发〔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2008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〕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90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号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、《新疆维吾尔自治区本级国有资本经营预算管理办法》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新财企〔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〕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53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号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、《自治区财政厅关于转发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&lt;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财政部关于印发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&lt;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地方预决算公开操作规程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&gt;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的通知》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新财预〔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2016]129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号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以及地区关于国有资本经营预算管理相关制度要求，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年叶城县本级国有资本经营预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算已编制完毕，现将有关情况说明如下：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 xml:space="preserve">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一、国资监管部门概况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叶城县国有资产管理局成立于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1996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年，上级部门为地区国有资产监督管理委员会和地区财政局资管科。职能分为两块，国资委工作职能是国有企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业管理工作，负责国有资产的监督工作，依法对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地域所属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国有独资、参股企业、行政事业单位的国有资产保值增值情况进行监督，组织实施国有资产产权界定、登记、清查、评估、划转、纠纷调处等工作，指导国有企业产权制度改革。资管工作职能是负责行政事业单位资产管理工作，对行政事业单位的国有资产保值增值情况进行监督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二、监管国有企业基本情况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叶城县国有企业在上个世纪末掀起的国企改革大潮中，纷纷改组改制，截至目前只有三家国有企业，分别为国有粮食企业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户：叶城县粮食收储公司；国有城市公用企业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户：叶城县供排水供暖总公司；国有农牧企业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户：叶城县园艺场。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三、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2017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年叶城县本级国有资本经营预算执行情况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    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（一）收入情况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叶城县本级国有资本经营预算收入完成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万元，为年初预算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万元的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100%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，即叶城县园艺场上缴净利润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万元；比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年增加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万元，增长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6.67%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。其中：利润收入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万元。国有资本经营预算转移支付收入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0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(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二）支出情况。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叶城县本级国有资本经营预算完成支出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万元，为年初预算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万元的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100%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，比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年减少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万元，下降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7.69%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。其中：其他国有资本经营预算支出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万元，全部为费用性支出，即叶城县园艺场用于职工医疗补助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万元；调出资金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(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调入一般公共预算）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4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收支平衡情况。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叶城县本级国有资本经营预算收入总计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(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其中：本年利润收入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16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万元，转移支付收入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0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万元，上年结转收入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0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万元）；国有资本经营预算支出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元，国有资本经营预算调出资金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,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收支相抵，结转下年支出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四、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年叶城县本级国有资本经营预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算编制情况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（一）收入情况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叶城县本级国有资本经营预算安排收入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年预计完成数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12.5%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；其中：利润收入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万元，股利、股息收入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（二）支出情况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本级国有资本经营预算安排支出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万元，比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年预计完成数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万元，同比增加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万元，增长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16.6%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。其中：其中：其他国有资本经营预算支出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万元，调出资金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调入一般公共预算）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万元。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  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收支平衡情况。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年叶城县本级国有资本经营预算收入安排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,18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万元，加上年结转收入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元，收入总计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万元，国有资本经营预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算支出建议安排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万元，调出资金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调入一般公共预算）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万元，收支相抵后，结余为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。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lastRenderedPageBreak/>
        <w:t xml:space="preserve">  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五、国有资本经营预算管理工作基本情况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由盈利企业测算下一年度利润情况，征收时按照税务部门的汇算清缴表确定的利润数征收，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年度按地区财政局文件要求，征收比例调高至按净利润的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18%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，征收额的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20%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调入一般公共预算，以后逐年提高标准。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强化国有资本经营预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(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决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)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算管理的主要措施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br/>
        <w:t xml:space="preserve">   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（一）加强国有资本经营预算收入管理。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今年对国有企业数量、运行和盈利状况进行摸底调查，将各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类应缴企业尽快纳入预算管理，做到应收尽收。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（二）完善国有资本经营预算收支与绩效管理。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加强预算支出资金分配及使用情况的管理监督，确保企业按照规定用途有效使用预算资金。改进国有企业的资本经营预算和绩效管理，促进提高企业整体盈利能力和水平，逐渐摆脱资本经营收益依赖少数企业的局面，不断提高国有资本经营预算管理绩效。</w:t>
      </w:r>
    </w:p>
    <w:p w:rsidR="00B0645D" w:rsidRPr="00754492" w:rsidRDefault="00AA4433">
      <w:pPr>
        <w:widowControl/>
        <w:numPr>
          <w:ilvl w:val="0"/>
          <w:numId w:val="2"/>
        </w:numPr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预算安排支出项目绩效目标</w:t>
      </w:r>
    </w:p>
    <w:p w:rsidR="00B0645D" w:rsidRPr="00754492" w:rsidRDefault="00AA4433">
      <w:pPr>
        <w:widowControl/>
        <w:spacing w:line="480" w:lineRule="exact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 xml:space="preserve">   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其他国有资本经营预算支出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万元，全部为费用性支出，即叶城县园艺场用于职工医疗补助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万元。</w:t>
      </w:r>
    </w:p>
    <w:p w:rsidR="00B0645D" w:rsidRPr="00754492" w:rsidRDefault="00AA4433">
      <w:pPr>
        <w:widowControl/>
        <w:numPr>
          <w:ilvl w:val="0"/>
          <w:numId w:val="2"/>
        </w:numPr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预算安排支出项目完成情况和绩效评价情况</w:t>
      </w:r>
    </w:p>
    <w:p w:rsidR="00B0645D" w:rsidRPr="00754492" w:rsidRDefault="00AA4433" w:rsidP="00754492">
      <w:pPr>
        <w:widowControl/>
        <w:spacing w:line="480" w:lineRule="exact"/>
        <w:ind w:leftChars="200" w:left="42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 xml:space="preserve">  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园艺场已经全部用于</w:t>
      </w:r>
      <w:r w:rsidRPr="0075449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职工医疗补助。</w:t>
      </w:r>
    </w:p>
    <w:p w:rsidR="00B0645D" w:rsidRPr="00754492" w:rsidRDefault="00B0645D">
      <w:pPr>
        <w:widowControl/>
        <w:spacing w:line="480" w:lineRule="exact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B0645D" w:rsidRPr="00754492" w:rsidRDefault="00B0645D">
      <w:pPr>
        <w:widowControl/>
        <w:spacing w:line="480" w:lineRule="exact"/>
        <w:ind w:firstLineChars="200" w:firstLine="960"/>
        <w:jc w:val="left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754492" w:rsidRPr="00754492" w:rsidRDefault="00754492" w:rsidP="00754492">
      <w:pPr>
        <w:widowControl/>
        <w:spacing w:line="480" w:lineRule="exact"/>
        <w:ind w:firstLineChars="200" w:firstLine="640"/>
        <w:jc w:val="center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叶城县财政局</w:t>
      </w:r>
    </w:p>
    <w:p w:rsidR="00754492" w:rsidRPr="00754492" w:rsidRDefault="00754492" w:rsidP="00754492">
      <w:pPr>
        <w:widowControl/>
        <w:spacing w:line="480" w:lineRule="exact"/>
        <w:ind w:firstLineChars="200" w:firstLine="640"/>
        <w:jc w:val="center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2018年2月3日</w:t>
      </w:r>
    </w:p>
    <w:p w:rsidR="00754492" w:rsidRPr="00754492" w:rsidRDefault="00754492" w:rsidP="00754492">
      <w:pPr>
        <w:widowControl/>
        <w:spacing w:line="480" w:lineRule="exact"/>
        <w:ind w:firstLineChars="200" w:firstLine="640"/>
        <w:jc w:val="center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B0645D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</w:p>
    <w:p w:rsidR="00B0645D" w:rsidRPr="00754492" w:rsidRDefault="00AA4433" w:rsidP="00754492">
      <w:pPr>
        <w:widowControl/>
        <w:spacing w:line="480" w:lineRule="exact"/>
        <w:ind w:firstLineChars="550" w:firstLine="2640"/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</w:pPr>
      <w:r w:rsidRPr="00754492">
        <w:rPr>
          <w:rFonts w:ascii="仿宋_GB2312" w:eastAsia="仿宋_GB2312" w:hAnsi="方正大黑简体" w:cs="方正大黑简体" w:hint="eastAsia"/>
          <w:kern w:val="0"/>
          <w:sz w:val="48"/>
          <w:szCs w:val="48"/>
          <w:lang/>
        </w:rPr>
        <w:t>叶城县园艺场简况</w:t>
      </w:r>
    </w:p>
    <w:p w:rsidR="00B0645D" w:rsidRPr="00754492" w:rsidRDefault="00B0645D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叶城县园艺场位于县城以西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15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公里处，属自收自支的国有农牧企业。全场辖区总面积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21248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亩，其中：耕地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9840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亩，林地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6000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亩，荒滩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1000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亩。全场下辖三个分场、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个生产队，有维、汉两个民族，共有常住居民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446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户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1614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人。园艺场现有在职职工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616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人。</w:t>
      </w:r>
    </w:p>
    <w:p w:rsidR="00B0645D" w:rsidRPr="00754492" w:rsidRDefault="00AA4433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园艺场是一个以林果业为主，农、商综合发展的农牧企业，年均产苹果、梨子、桃子等水果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15000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吨，出口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6000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吨，是叶城县最大的鲜果生产基地和出口基地。园艺场在叶城县幸福南路有建筑面积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3400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多平方米的宾馆及门面房，辖区内有一座库容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3000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吨的保鲜库，有一个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LNG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供气站。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2017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年末资产总额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80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496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275.36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元。其中：固定资产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53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765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711.16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元，流动资产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26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730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，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564.2</w:t>
      </w:r>
      <w:r w:rsidRPr="00754492">
        <w:rPr>
          <w:rFonts w:ascii="仿宋_GB2312" w:eastAsia="仿宋_GB2312" w:hAnsi="仿宋" w:cs="仿宋" w:hint="eastAsia"/>
          <w:kern w:val="0"/>
          <w:sz w:val="32"/>
          <w:szCs w:val="32"/>
          <w:lang/>
        </w:rPr>
        <w:t>元。</w:t>
      </w:r>
    </w:p>
    <w:p w:rsidR="00B0645D" w:rsidRPr="00754492" w:rsidRDefault="00B0645D">
      <w:pPr>
        <w:widowControl/>
        <w:spacing w:line="4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  <w:lang/>
        </w:rPr>
      </w:pPr>
    </w:p>
    <w:sectPr w:rsidR="00B0645D" w:rsidRPr="00754492" w:rsidSect="00B0645D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33" w:rsidRDefault="00AA4433" w:rsidP="00754492">
      <w:r>
        <w:separator/>
      </w:r>
    </w:p>
  </w:endnote>
  <w:endnote w:type="continuationSeparator" w:id="1">
    <w:p w:rsidR="00AA4433" w:rsidRDefault="00AA4433" w:rsidP="0075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33" w:rsidRDefault="00AA4433" w:rsidP="00754492">
      <w:r>
        <w:separator/>
      </w:r>
    </w:p>
  </w:footnote>
  <w:footnote w:type="continuationSeparator" w:id="1">
    <w:p w:rsidR="00AA4433" w:rsidRDefault="00AA4433" w:rsidP="00754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49AE59"/>
    <w:multiLevelType w:val="singleLevel"/>
    <w:tmpl w:val="9749AE5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C6D672"/>
    <w:multiLevelType w:val="singleLevel"/>
    <w:tmpl w:val="F0C6D67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30710A"/>
    <w:rsid w:val="00754492"/>
    <w:rsid w:val="00AA4433"/>
    <w:rsid w:val="00B0645D"/>
    <w:rsid w:val="03071823"/>
    <w:rsid w:val="092F1CD7"/>
    <w:rsid w:val="096D4619"/>
    <w:rsid w:val="0B234A62"/>
    <w:rsid w:val="1030710A"/>
    <w:rsid w:val="20653D9C"/>
    <w:rsid w:val="29AD4526"/>
    <w:rsid w:val="2A90632C"/>
    <w:rsid w:val="2DF13EB2"/>
    <w:rsid w:val="2EBE0328"/>
    <w:rsid w:val="3E8472F3"/>
    <w:rsid w:val="3FBA7618"/>
    <w:rsid w:val="45B35F9D"/>
    <w:rsid w:val="6CFD134F"/>
    <w:rsid w:val="6D535020"/>
    <w:rsid w:val="6E9F2168"/>
    <w:rsid w:val="7010618D"/>
    <w:rsid w:val="7ADB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4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645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5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44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54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44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7</Pages>
  <Words>550</Words>
  <Characters>3139</Characters>
  <Application>Microsoft Office Word</Application>
  <DocSecurity>0</DocSecurity>
  <Lines>26</Lines>
  <Paragraphs>7</Paragraphs>
  <ScaleCrop>false</ScaleCrop>
  <Company>微软中国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151090146</dc:creator>
  <cp:lastModifiedBy>微软用户</cp:lastModifiedBy>
  <cp:revision>2</cp:revision>
  <cp:lastPrinted>2018-05-30T04:16:00Z</cp:lastPrinted>
  <dcterms:created xsi:type="dcterms:W3CDTF">2018-05-21T04:44:00Z</dcterms:created>
  <dcterms:modified xsi:type="dcterms:W3CDTF">2019-03-15T04:40:00Z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