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pStyle w:val="2"/>
      </w:pPr>
    </w:p>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keepNext w:val="0"/>
        <w:keepLines w:val="0"/>
        <w:pageBreakBefore w:val="0"/>
        <w:shd w:val="clear"/>
        <w:kinsoku/>
        <w:wordWrap/>
        <w:autoSpaceDE/>
        <w:autoSpaceDN/>
        <w:bidi w:val="0"/>
        <w:spacing w:line="560" w:lineRule="exact"/>
        <w:jc w:val="center"/>
        <w:textAlignment w:val="auto"/>
        <w:rPr>
          <w:rFonts w:hint="eastAsia" w:eastAsia="方正大标宋简体" w:cs="方正大标宋简体"/>
          <w:color w:val="auto"/>
          <w:sz w:val="48"/>
          <w:szCs w:val="48"/>
          <w:highlight w:val="none"/>
        </w:rPr>
      </w:pPr>
      <w:r>
        <w:rPr>
          <w:rFonts w:hint="eastAsia" w:eastAsia="方正大标宋简体" w:cs="方正大标宋简体"/>
          <w:color w:val="auto"/>
          <w:sz w:val="48"/>
          <w:szCs w:val="48"/>
          <w:highlight w:val="none"/>
          <w:lang w:val="en-US" w:eastAsia="zh-CN"/>
        </w:rPr>
        <w:t>喀什地区</w:t>
      </w:r>
      <w:r>
        <w:rPr>
          <w:rFonts w:hint="eastAsia" w:eastAsia="方正大标宋简体" w:cs="方正大标宋简体"/>
          <w:color w:val="auto"/>
          <w:sz w:val="48"/>
          <w:szCs w:val="48"/>
          <w:highlight w:val="none"/>
        </w:rPr>
        <w:t>叶城县国民经济和社会发展</w:t>
      </w:r>
    </w:p>
    <w:p>
      <w:pPr>
        <w:keepNext w:val="0"/>
        <w:keepLines w:val="0"/>
        <w:pageBreakBefore w:val="0"/>
        <w:shd w:val="clear"/>
        <w:kinsoku/>
        <w:wordWrap/>
        <w:autoSpaceDE/>
        <w:autoSpaceDN/>
        <w:bidi w:val="0"/>
        <w:spacing w:line="560" w:lineRule="exact"/>
        <w:jc w:val="center"/>
        <w:textAlignment w:val="auto"/>
        <w:rPr>
          <w:rFonts w:hint="eastAsia" w:eastAsia="方正大标宋简体" w:cs="方正大标宋简体"/>
          <w:color w:val="auto"/>
          <w:sz w:val="44"/>
          <w:szCs w:val="44"/>
          <w:highlight w:val="none"/>
        </w:rPr>
      </w:pPr>
      <w:r>
        <w:rPr>
          <w:rFonts w:hint="eastAsia" w:eastAsia="方正大标宋简体" w:cs="方正大标宋简体"/>
          <w:color w:val="auto"/>
          <w:sz w:val="48"/>
          <w:szCs w:val="48"/>
          <w:highlight w:val="none"/>
        </w:rPr>
        <w:t>第十四个五年规划纲要</w:t>
      </w:r>
    </w:p>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pStyle w:val="2"/>
      </w:pPr>
    </w:p>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keepNext w:val="0"/>
        <w:keepLines w:val="0"/>
        <w:pageBreakBefore w:val="0"/>
        <w:shd w:val="clear"/>
        <w:kinsoku/>
        <w:wordWrap/>
        <w:autoSpaceDE/>
        <w:autoSpaceDN/>
        <w:bidi w:val="0"/>
        <w:spacing w:line="560" w:lineRule="exact"/>
        <w:ind w:firstLine="600" w:firstLineChars="200"/>
        <w:jc w:val="center"/>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pStyle w:val="7"/>
        <w:pageBreakBefore w:val="0"/>
        <w:shd w:val="clear"/>
        <w:kinsoku/>
        <w:wordWrap/>
        <w:autoSpaceDE/>
        <w:autoSpaceDN/>
        <w:bidi w:val="0"/>
        <w:spacing w:after="0" w:line="560" w:lineRule="exact"/>
        <w:rPr>
          <w:rFonts w:eastAsia="仿宋_GB2312"/>
          <w:color w:val="auto"/>
          <w:sz w:val="30"/>
          <w:szCs w:val="30"/>
          <w:highlight w:val="none"/>
        </w:rPr>
      </w:pPr>
    </w:p>
    <w:p>
      <w:pPr>
        <w:pStyle w:val="7"/>
        <w:pageBreakBefore w:val="0"/>
        <w:shd w:val="clear"/>
        <w:kinsoku/>
        <w:wordWrap/>
        <w:autoSpaceDE/>
        <w:autoSpaceDN/>
        <w:bidi w:val="0"/>
        <w:spacing w:after="0" w:line="560" w:lineRule="exact"/>
        <w:rPr>
          <w:rFonts w:eastAsia="仿宋_GB2312"/>
          <w:color w:val="auto"/>
          <w:sz w:val="30"/>
          <w:szCs w:val="30"/>
          <w:highlight w:val="none"/>
        </w:rPr>
      </w:pPr>
    </w:p>
    <w:p>
      <w:pPr>
        <w:pStyle w:val="7"/>
        <w:keepNext w:val="0"/>
        <w:keepLines w:val="0"/>
        <w:pageBreakBefore w:val="0"/>
        <w:shd w:val="clear"/>
        <w:kinsoku/>
        <w:wordWrap/>
        <w:autoSpaceDE/>
        <w:autoSpaceDN/>
        <w:bidi w:val="0"/>
        <w:spacing w:after="0" w:line="560" w:lineRule="exact"/>
        <w:ind w:left="0" w:firstLine="600" w:firstLineChars="200"/>
        <w:textAlignment w:val="auto"/>
        <w:rPr>
          <w:rFonts w:ascii="Times New Roman" w:hAnsi="Times New Roman" w:eastAsia="仿宋_GB2312"/>
          <w:color w:val="auto"/>
          <w:szCs w:val="30"/>
          <w:highlight w:val="none"/>
        </w:rPr>
      </w:pPr>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p>
    <w:p>
      <w:pPr>
        <w:pStyle w:val="14"/>
        <w:keepNext w:val="0"/>
        <w:keepLines w:val="0"/>
        <w:pageBreakBefore w:val="0"/>
        <w:shd w:val="clear"/>
        <w:kinsoku/>
        <w:wordWrap/>
        <w:autoSpaceDE/>
        <w:autoSpaceDN/>
        <w:bidi w:val="0"/>
        <w:spacing w:after="0" w:line="560" w:lineRule="exact"/>
        <w:ind w:left="0" w:leftChars="0" w:firstLine="0" w:firstLineChars="0"/>
        <w:jc w:val="center"/>
        <w:textAlignment w:val="auto"/>
        <w:rPr>
          <w:rFonts w:hint="eastAsia" w:eastAsia="仿宋_GB2312"/>
          <w:color w:val="auto"/>
          <w:sz w:val="30"/>
          <w:szCs w:val="30"/>
          <w:highlight w:val="none"/>
        </w:rPr>
      </w:pPr>
      <w:r>
        <w:rPr>
          <w:rFonts w:hint="eastAsia" w:eastAsia="方正大标宋简体"/>
          <w:color w:val="auto"/>
          <w:sz w:val="32"/>
          <w:szCs w:val="32"/>
          <w:highlight w:val="none"/>
        </w:rPr>
        <w:t>叶城县发展和改革委员会</w:t>
      </w:r>
    </w:p>
    <w:p>
      <w:pPr>
        <w:pStyle w:val="14"/>
        <w:keepNext w:val="0"/>
        <w:keepLines w:val="0"/>
        <w:pageBreakBefore w:val="0"/>
        <w:shd w:val="clear"/>
        <w:kinsoku/>
        <w:wordWrap/>
        <w:autoSpaceDE/>
        <w:autoSpaceDN/>
        <w:bidi w:val="0"/>
        <w:spacing w:after="0" w:line="560" w:lineRule="exact"/>
        <w:ind w:left="0" w:leftChars="0" w:firstLine="0" w:firstLineChars="0"/>
        <w:jc w:val="center"/>
        <w:textAlignment w:val="auto"/>
        <w:rPr>
          <w:rFonts w:hint="eastAsia" w:eastAsia="方正大标宋简体"/>
          <w:color w:val="auto"/>
          <w:sz w:val="32"/>
          <w:szCs w:val="32"/>
          <w:highlight w:val="none"/>
        </w:rPr>
      </w:pPr>
      <w:r>
        <w:rPr>
          <w:rFonts w:hint="eastAsia" w:eastAsia="方正大标宋简体"/>
          <w:color w:val="auto"/>
          <w:sz w:val="32"/>
          <w:szCs w:val="32"/>
          <w:highlight w:val="none"/>
        </w:rPr>
        <w:t>新疆维吾尔自治区发展和改革委员会经济研究院</w:t>
      </w:r>
    </w:p>
    <w:p>
      <w:pPr>
        <w:pStyle w:val="14"/>
        <w:keepNext w:val="0"/>
        <w:keepLines w:val="0"/>
        <w:pageBreakBefore w:val="0"/>
        <w:shd w:val="clear"/>
        <w:kinsoku/>
        <w:wordWrap/>
        <w:autoSpaceDE/>
        <w:autoSpaceDN/>
        <w:bidi w:val="0"/>
        <w:spacing w:after="0" w:line="560" w:lineRule="exact"/>
        <w:ind w:left="0" w:leftChars="0" w:firstLine="0" w:firstLineChars="0"/>
        <w:jc w:val="center"/>
        <w:textAlignment w:val="auto"/>
        <w:rPr>
          <w:rFonts w:hint="eastAsia" w:eastAsia="方正大标宋简体"/>
          <w:color w:val="auto"/>
          <w:sz w:val="32"/>
          <w:szCs w:val="32"/>
          <w:highlight w:val="none"/>
        </w:rPr>
      </w:pPr>
      <w:r>
        <w:rPr>
          <w:rFonts w:hint="eastAsia" w:eastAsia="方正大标宋简体"/>
          <w:color w:val="auto"/>
          <w:sz w:val="32"/>
          <w:szCs w:val="32"/>
          <w:highlight w:val="none"/>
        </w:rPr>
        <w:t>202</w:t>
      </w:r>
      <w:r>
        <w:rPr>
          <w:rFonts w:hint="eastAsia" w:eastAsia="方正大标宋简体"/>
          <w:color w:val="auto"/>
          <w:sz w:val="32"/>
          <w:szCs w:val="32"/>
          <w:highlight w:val="none"/>
          <w:lang w:val="en-US" w:eastAsia="zh-CN"/>
        </w:rPr>
        <w:t>1</w:t>
      </w:r>
      <w:r>
        <w:rPr>
          <w:rFonts w:hint="eastAsia" w:eastAsia="方正大标宋简体"/>
          <w:color w:val="auto"/>
          <w:sz w:val="32"/>
          <w:szCs w:val="32"/>
          <w:highlight w:val="none"/>
        </w:rPr>
        <w:t>年</w:t>
      </w:r>
      <w:r>
        <w:rPr>
          <w:rFonts w:hint="eastAsia" w:eastAsia="方正大标宋简体"/>
          <w:color w:val="auto"/>
          <w:sz w:val="32"/>
          <w:szCs w:val="32"/>
          <w:highlight w:val="none"/>
          <w:lang w:val="en-US" w:eastAsia="zh-CN"/>
        </w:rPr>
        <w:t>1</w:t>
      </w:r>
      <w:r>
        <w:rPr>
          <w:rFonts w:hint="eastAsia" w:eastAsia="方正大标宋简体"/>
          <w:color w:val="auto"/>
          <w:sz w:val="32"/>
          <w:szCs w:val="32"/>
          <w:highlight w:val="none"/>
        </w:rPr>
        <w:t>月</w:t>
      </w:r>
    </w:p>
    <w:p>
      <w:pPr>
        <w:pStyle w:val="7"/>
        <w:sectPr>
          <w:headerReference r:id="rId3" w:type="default"/>
          <w:pgSz w:w="11906" w:h="16838"/>
          <w:pgMar w:top="1304" w:right="1633" w:bottom="1304" w:left="1633" w:header="851" w:footer="992" w:gutter="0"/>
          <w:pgBorders>
            <w:top w:val="none" w:sz="0" w:space="0"/>
            <w:left w:val="none" w:sz="0" w:space="0"/>
            <w:bottom w:val="none" w:sz="0" w:space="0"/>
            <w:right w:val="none" w:sz="0" w:space="0"/>
          </w:pgBorders>
          <w:pgNumType w:fmt="upperRoman"/>
          <w:cols w:space="720" w:num="1"/>
          <w:docGrid w:type="lines" w:linePitch="312" w:charSpace="0"/>
        </w:sectPr>
      </w:pPr>
      <w:r>
        <w:rPr>
          <w:rFonts w:hint="eastAsia" w:eastAsia="方正大标宋简体"/>
          <w:color w:val="auto"/>
          <w:sz w:val="32"/>
          <w:szCs w:val="32"/>
          <w:highlight w:val="none"/>
        </w:rPr>
        <w:br w:type="page"/>
      </w:r>
    </w:p>
    <w:p>
      <w:pPr>
        <w:keepNext w:val="0"/>
        <w:keepLines w:val="0"/>
        <w:pageBreakBefore w:val="0"/>
        <w:widowControl w:val="0"/>
        <w:shd w:val="clear"/>
        <w:kinsoku/>
        <w:wordWrap/>
        <w:overflowPunct/>
        <w:topLinePunct w:val="0"/>
        <w:autoSpaceDE/>
        <w:autoSpaceDN/>
        <w:bidi w:val="0"/>
        <w:adjustRightInd/>
        <w:snapToGrid/>
        <w:spacing w:before="313" w:beforeLines="100" w:after="157" w:afterLines="50" w:line="560" w:lineRule="exact"/>
        <w:jc w:val="center"/>
        <w:textAlignment w:val="auto"/>
        <w:rPr>
          <w:rFonts w:eastAsia="方正大标宋简体" w:cs="方正大标宋简体"/>
          <w:color w:val="auto"/>
          <w:sz w:val="36"/>
          <w:szCs w:val="36"/>
          <w:highlight w:val="none"/>
        </w:rPr>
      </w:pPr>
      <w:r>
        <w:rPr>
          <w:rFonts w:hint="eastAsia" w:eastAsia="方正大标宋简体" w:cs="方正大标宋简体"/>
          <w:color w:val="auto"/>
          <w:sz w:val="36"/>
          <w:szCs w:val="36"/>
          <w:highlight w:val="none"/>
        </w:rPr>
        <w:t>目  录</w:t>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val="0"/>
          <w:caps w:val="0"/>
          <w:color w:val="auto"/>
          <w:sz w:val="24"/>
          <w:szCs w:val="24"/>
          <w:highlight w:val="none"/>
        </w:rPr>
        <w:fldChar w:fldCharType="begin"/>
      </w:r>
      <w:r>
        <w:rPr>
          <w:rFonts w:hint="default" w:ascii="Times New Roman" w:hAnsi="Times New Roman" w:eastAsia="仿宋_GB2312" w:cs="Times New Roman"/>
          <w:b w:val="0"/>
          <w:bCs w:val="0"/>
          <w:caps w:val="0"/>
          <w:color w:val="auto"/>
          <w:sz w:val="24"/>
          <w:szCs w:val="24"/>
          <w:highlight w:val="none"/>
        </w:rPr>
        <w:instrText xml:space="preserve">TOC \o "1-2" \h \u </w:instrText>
      </w:r>
      <w:r>
        <w:rPr>
          <w:rFonts w:hint="default" w:ascii="Times New Roman" w:hAnsi="Times New Roman" w:eastAsia="仿宋_GB2312" w:cs="Times New Roman"/>
          <w:b w:val="0"/>
          <w:bCs w:val="0"/>
          <w:caps w:val="0"/>
          <w:color w:val="auto"/>
          <w:sz w:val="24"/>
          <w:szCs w:val="24"/>
          <w:highlight w:val="none"/>
        </w:rPr>
        <w:fldChar w:fldCharType="separate"/>
      </w: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_Toc2669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前  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_Toc2669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_Toc26409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rPr>
        <w:t>第一章 “</w:t>
      </w:r>
      <w:r>
        <w:rPr>
          <w:rFonts w:hint="default" w:ascii="Times New Roman" w:hAnsi="Times New Roman" w:eastAsia="黑体" w:cs="Times New Roman"/>
          <w:b w:val="0"/>
          <w:bCs/>
          <w:sz w:val="24"/>
          <w:szCs w:val="24"/>
          <w:lang w:val="en-US" w:eastAsia="zh-CN"/>
        </w:rPr>
        <w:t>十三五</w:t>
      </w:r>
      <w:r>
        <w:rPr>
          <w:rFonts w:hint="default" w:ascii="Times New Roman" w:hAnsi="Times New Roman" w:eastAsia="黑体" w:cs="Times New Roman"/>
          <w:b w:val="0"/>
          <w:bCs/>
          <w:sz w:val="24"/>
          <w:szCs w:val="24"/>
        </w:rPr>
        <w:t>”</w:t>
      </w:r>
      <w:r>
        <w:rPr>
          <w:rFonts w:hint="default" w:ascii="Times New Roman" w:hAnsi="Times New Roman" w:eastAsia="黑体" w:cs="Times New Roman"/>
          <w:b w:val="0"/>
          <w:bCs/>
          <w:sz w:val="24"/>
          <w:szCs w:val="24"/>
          <w:lang w:eastAsia="zh-CN"/>
        </w:rPr>
        <w:t>规划完成情况</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_Toc26409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_Toc14958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 xml:space="preserve">第一节 </w:t>
      </w:r>
      <w:r>
        <w:rPr>
          <w:rFonts w:hint="default" w:ascii="Times New Roman" w:hAnsi="Times New Roman" w:cs="Times New Roman"/>
          <w:b w:val="0"/>
          <w:bCs/>
          <w:sz w:val="24"/>
          <w:szCs w:val="24"/>
          <w:lang w:eastAsia="zh-CN"/>
        </w:rPr>
        <w:t>疫情防控取得阶段性成果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_Toc14958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_Toc7591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eastAsia="zh-CN"/>
        </w:rPr>
        <w:t>第二节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社会大局持续稳定</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_Toc7591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_Toc20625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highlight w:val="none"/>
        </w:rPr>
        <w:t>第</w:t>
      </w:r>
      <w:r>
        <w:rPr>
          <w:rFonts w:hint="default" w:ascii="Times New Roman" w:hAnsi="Times New Roman" w:cs="Times New Roman"/>
          <w:b w:val="0"/>
          <w:bCs/>
          <w:sz w:val="24"/>
          <w:szCs w:val="24"/>
          <w:highlight w:val="none"/>
          <w:lang w:eastAsia="zh-CN"/>
        </w:rPr>
        <w:t>三</w:t>
      </w:r>
      <w:r>
        <w:rPr>
          <w:rFonts w:hint="default" w:ascii="Times New Roman" w:hAnsi="Times New Roman" w:cs="Times New Roman"/>
          <w:b w:val="0"/>
          <w:bCs/>
          <w:sz w:val="24"/>
          <w:szCs w:val="24"/>
          <w:highlight w:val="none"/>
        </w:rPr>
        <w:t xml:space="preserve">节 </w:t>
      </w:r>
      <w:r>
        <w:rPr>
          <w:rFonts w:hint="default" w:ascii="Times New Roman" w:hAnsi="Times New Roman" w:cs="Times New Roman"/>
          <w:b w:val="0"/>
          <w:bCs/>
          <w:sz w:val="24"/>
          <w:szCs w:val="24"/>
          <w:highlight w:val="none"/>
          <w:lang w:val="en-US" w:eastAsia="zh-CN"/>
        </w:rPr>
        <w:t>脱贫攻坚任务如期完成</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_Toc20625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_Toc1797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eastAsia="zh-CN"/>
        </w:rPr>
        <w:t>四</w:t>
      </w:r>
      <w:r>
        <w:rPr>
          <w:rFonts w:hint="default" w:ascii="Times New Roman" w:hAnsi="Times New Roman" w:cs="Times New Roman"/>
          <w:b w:val="0"/>
          <w:bCs/>
          <w:sz w:val="24"/>
          <w:szCs w:val="24"/>
        </w:rPr>
        <w:t xml:space="preserve">节 </w:t>
      </w:r>
      <w:r>
        <w:rPr>
          <w:rFonts w:hint="default" w:ascii="Times New Roman" w:hAnsi="Times New Roman" w:cs="Times New Roman"/>
          <w:b w:val="0"/>
          <w:bCs/>
          <w:sz w:val="24"/>
          <w:szCs w:val="24"/>
          <w:lang w:eastAsia="zh-CN"/>
        </w:rPr>
        <w:t>经济发展健康平稳</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_Toc1797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_Toc1857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val="en-US" w:eastAsia="zh-CN"/>
        </w:rPr>
        <w:t>五</w:t>
      </w:r>
      <w:r>
        <w:rPr>
          <w:rFonts w:hint="default" w:ascii="Times New Roman" w:hAnsi="Times New Roman" w:cs="Times New Roman"/>
          <w:b w:val="0"/>
          <w:bCs/>
          <w:sz w:val="24"/>
          <w:szCs w:val="24"/>
        </w:rPr>
        <w:t xml:space="preserve">节 </w:t>
      </w:r>
      <w:r>
        <w:rPr>
          <w:rFonts w:hint="default" w:ascii="Times New Roman" w:hAnsi="Times New Roman" w:cs="Times New Roman"/>
          <w:b w:val="0"/>
          <w:bCs/>
          <w:sz w:val="24"/>
          <w:szCs w:val="24"/>
          <w:lang w:val="en-US" w:eastAsia="zh-CN"/>
        </w:rPr>
        <w:t>产业结构逐步优化</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_Toc1857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_Toc10291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val="en-US" w:eastAsia="zh-CN"/>
        </w:rPr>
        <w:t>六</w:t>
      </w:r>
      <w:r>
        <w:rPr>
          <w:rFonts w:hint="default" w:ascii="Times New Roman" w:hAnsi="Times New Roman" w:cs="Times New Roman"/>
          <w:b w:val="0"/>
          <w:bCs/>
          <w:sz w:val="24"/>
          <w:szCs w:val="24"/>
        </w:rPr>
        <w:t xml:space="preserve">节 </w:t>
      </w:r>
      <w:r>
        <w:rPr>
          <w:rFonts w:hint="default" w:ascii="Times New Roman" w:hAnsi="Times New Roman" w:cs="Times New Roman"/>
          <w:b w:val="0"/>
          <w:bCs/>
          <w:sz w:val="24"/>
          <w:szCs w:val="24"/>
          <w:lang w:val="en-US" w:eastAsia="zh-CN"/>
        </w:rPr>
        <w:t>民生</w:t>
      </w:r>
      <w:r>
        <w:rPr>
          <w:rFonts w:hint="default" w:ascii="Times New Roman" w:hAnsi="Times New Roman" w:cs="Times New Roman"/>
          <w:b w:val="0"/>
          <w:bCs/>
          <w:sz w:val="24"/>
          <w:szCs w:val="24"/>
          <w:lang w:eastAsia="zh-CN"/>
        </w:rPr>
        <w:t>保障实现历史性跨越</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_Toc10291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_Toc31514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val="en-US" w:eastAsia="zh-CN"/>
        </w:rPr>
        <w:t>七</w:t>
      </w:r>
      <w:r>
        <w:rPr>
          <w:rFonts w:hint="default" w:ascii="Times New Roman" w:hAnsi="Times New Roman" w:cs="Times New Roman"/>
          <w:b w:val="0"/>
          <w:bCs/>
          <w:sz w:val="24"/>
          <w:szCs w:val="24"/>
        </w:rPr>
        <w:t>节 基础设施</w:t>
      </w:r>
      <w:r>
        <w:rPr>
          <w:rFonts w:hint="default" w:ascii="Times New Roman" w:hAnsi="Times New Roman" w:cs="Times New Roman"/>
          <w:b w:val="0"/>
          <w:bCs/>
          <w:sz w:val="24"/>
          <w:szCs w:val="24"/>
          <w:lang w:eastAsia="zh-CN"/>
        </w:rPr>
        <w:t>不断完善</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_Toc31514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_Toc20771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val="en-US" w:eastAsia="zh-CN"/>
        </w:rPr>
        <w:t>八</w:t>
      </w:r>
      <w:r>
        <w:rPr>
          <w:rFonts w:hint="default" w:ascii="Times New Roman" w:hAnsi="Times New Roman" w:cs="Times New Roman"/>
          <w:b w:val="0"/>
          <w:bCs/>
          <w:sz w:val="24"/>
          <w:szCs w:val="24"/>
        </w:rPr>
        <w:t>节 全面深化改革开放扎实推进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_Toc20771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_Toc21245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 xml:space="preserve">第九节 </w:t>
      </w:r>
      <w:r>
        <w:rPr>
          <w:rFonts w:hint="default" w:ascii="Times New Roman" w:hAnsi="Times New Roman" w:cs="Times New Roman"/>
          <w:b w:val="0"/>
          <w:bCs/>
          <w:sz w:val="24"/>
          <w:szCs w:val="24"/>
          <w:lang w:eastAsia="zh-CN"/>
        </w:rPr>
        <w:t>意识形态领域工作全面加强</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_Toc21245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_Toc12543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 xml:space="preserve">第十节 </w:t>
      </w:r>
      <w:r>
        <w:rPr>
          <w:rFonts w:hint="default" w:ascii="Times New Roman" w:hAnsi="Times New Roman" w:cs="Times New Roman"/>
          <w:b w:val="0"/>
          <w:bCs/>
          <w:sz w:val="24"/>
          <w:szCs w:val="24"/>
          <w:lang w:eastAsia="zh-CN"/>
        </w:rPr>
        <w:t>民族宗教工作取得新成效</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_Toc12543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_Toc24057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 xml:space="preserve">第十一节 </w:t>
      </w:r>
      <w:r>
        <w:rPr>
          <w:rFonts w:hint="default" w:ascii="Times New Roman" w:hAnsi="Times New Roman" w:cs="Times New Roman"/>
          <w:b w:val="0"/>
          <w:bCs/>
          <w:sz w:val="24"/>
          <w:szCs w:val="24"/>
        </w:rPr>
        <w:t>对口援疆增添新动力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_Toc24057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_Toc27905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第十二节 党的建设全面加强</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_Toc27905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_Toc32055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rPr>
        <w:t>第二章 “十四五”发展形势环境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_Toc32055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_Toc22298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 xml:space="preserve">第一节 </w:t>
      </w:r>
      <w:r>
        <w:rPr>
          <w:rFonts w:hint="default" w:ascii="Times New Roman" w:hAnsi="Times New Roman" w:cs="Times New Roman"/>
          <w:b w:val="0"/>
          <w:bCs/>
          <w:sz w:val="24"/>
          <w:szCs w:val="24"/>
          <w:lang w:val="en-US" w:eastAsia="zh-CN"/>
        </w:rPr>
        <w:t>发展环境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_Toc22298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_Toc8844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 xml:space="preserve">第二节 </w:t>
      </w:r>
      <w:r>
        <w:rPr>
          <w:rFonts w:hint="default" w:ascii="Times New Roman" w:hAnsi="Times New Roman" w:cs="Times New Roman"/>
          <w:b w:val="0"/>
          <w:bCs/>
          <w:sz w:val="24"/>
          <w:szCs w:val="24"/>
          <w:lang w:val="en-US" w:eastAsia="zh-CN"/>
        </w:rPr>
        <w:t>发展机遇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_Toc8844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_Toc2770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阶段特征和主要挑战</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_Toc2770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_Toc12387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rPr>
        <w:t>第</w:t>
      </w:r>
      <w:r>
        <w:rPr>
          <w:rFonts w:hint="default" w:ascii="Times New Roman" w:hAnsi="Times New Roman" w:cs="Times New Roman"/>
          <w:b w:val="0"/>
          <w:bCs/>
          <w:sz w:val="24"/>
          <w:szCs w:val="24"/>
          <w:lang w:val="en-US" w:eastAsia="zh-CN"/>
        </w:rPr>
        <w:t>四</w:t>
      </w:r>
      <w:r>
        <w:rPr>
          <w:rFonts w:hint="default" w:ascii="Times New Roman" w:hAnsi="Times New Roman" w:cs="Times New Roman"/>
          <w:b w:val="0"/>
          <w:bCs/>
          <w:sz w:val="24"/>
          <w:szCs w:val="24"/>
        </w:rPr>
        <w:t xml:space="preserve">节 </w:t>
      </w:r>
      <w:r>
        <w:rPr>
          <w:rFonts w:hint="default" w:ascii="Times New Roman" w:hAnsi="Times New Roman" w:cs="Times New Roman"/>
          <w:b w:val="0"/>
          <w:bCs/>
          <w:sz w:val="24"/>
          <w:szCs w:val="24"/>
          <w:lang w:val="en-US" w:eastAsia="zh-CN"/>
        </w:rPr>
        <w:t>远景目标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_Toc12387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_Toc10742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第三章 总体要求及目标定位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_Toc10742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_Toc11797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指导思想</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_Toc11797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基本原则</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_Toc7149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发展定位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_Toc7149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_Toc19237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第四节 发展目标</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_Toc19237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_Toc19563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第四章 优先发展农业农村，全面推进乡村振兴</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_Toc19563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_Toc6078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持续巩固脱贫成果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_Toc6078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_Toc5253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提高农业质量效益</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_Toc5253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24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_Toc23904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三</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实施乡村建设行动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_Toc23904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_Toc29423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四</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壮大农业农村人才队伍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_Toc29423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_Toc6350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五</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提升乡村治理现代化水平</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_Toc6350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_Toc3770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第五章 推进工业强基增效，构筑工业发展新格局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_Toc3770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_Toc25805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优化产业布局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_Toc25805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_Toc12226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大力发展农产品精深加工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_Toc12226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_Toc18757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大力发展劳动密集型产业</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_Toc18757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_Toc10186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第四节 培育发展战略性新兴产业</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_Toc10186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39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_Toc31874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第五节 提高矿产资源开发加工水平</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_Toc31874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_Toc6453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第六节 加大再生资源回收利用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_Toc6453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_Toc28539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第七节 强化工业园区集聚效能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_Toc28539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_Toc12472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第六章 大力推动现代服务业发展，增强服务业核心服务功能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_Toc12472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_Toc1349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强化商贸物流枢纽功能</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_Toc1349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_Toc20865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 促进文化旅游深度融合</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_Toc20865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_Toc5911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 完善电子商务服务体系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_Toc5911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_Toc28576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 培育发展现代金融服务</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_Toc28576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_Toc12693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第七章 培育发展信息化产业，加快建设“智慧叶城”</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_Toc12693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_Toc29369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打造</w:t>
      </w:r>
      <w:r>
        <w:rPr>
          <w:rFonts w:hint="default" w:ascii="Times New Roman" w:hAnsi="Times New Roman" w:cs="Times New Roman"/>
          <w:b w:val="0"/>
          <w:bCs/>
          <w:sz w:val="24"/>
          <w:szCs w:val="24"/>
          <w:lang w:val="en-US" w:eastAsia="zh-CN"/>
        </w:rPr>
        <w:t>区域</w:t>
      </w:r>
      <w:r>
        <w:rPr>
          <w:rFonts w:hint="default" w:ascii="Times New Roman" w:hAnsi="Times New Roman" w:cs="Times New Roman"/>
          <w:b w:val="0"/>
          <w:bCs/>
          <w:sz w:val="24"/>
          <w:szCs w:val="24"/>
          <w:lang w:val="zh-CN" w:eastAsia="zh-CN"/>
        </w:rPr>
        <w:t>数字经济示范基地</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_Toc29369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_Toc7475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 推动两化深度融合发展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_Toc7475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49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_Toc2888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三</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完善</w:t>
      </w:r>
      <w:r>
        <w:rPr>
          <w:rFonts w:hint="default" w:ascii="Times New Roman" w:hAnsi="Times New Roman" w:cs="Times New Roman"/>
          <w:b w:val="0"/>
          <w:bCs/>
          <w:sz w:val="24"/>
          <w:szCs w:val="24"/>
          <w:lang w:val="zh-CN" w:eastAsia="zh-CN"/>
        </w:rPr>
        <w:t>电子政务</w:t>
      </w:r>
      <w:r>
        <w:rPr>
          <w:rFonts w:hint="default" w:ascii="Times New Roman" w:hAnsi="Times New Roman" w:cs="Times New Roman"/>
          <w:b w:val="0"/>
          <w:bCs/>
          <w:sz w:val="24"/>
          <w:szCs w:val="24"/>
          <w:lang w:val="en-US" w:eastAsia="zh-CN"/>
        </w:rPr>
        <w:t>平台</w:t>
      </w:r>
      <w:r>
        <w:rPr>
          <w:rFonts w:hint="default" w:ascii="Times New Roman" w:hAnsi="Times New Roman" w:cs="Times New Roman"/>
          <w:b w:val="0"/>
          <w:bCs/>
          <w:sz w:val="24"/>
          <w:szCs w:val="24"/>
          <w:lang w:val="zh-CN" w:eastAsia="zh-CN"/>
        </w:rPr>
        <w:t>建设</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_Toc2888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_Toc4847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四</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加快</w:t>
      </w:r>
      <w:r>
        <w:rPr>
          <w:rFonts w:hint="default" w:ascii="Times New Roman" w:hAnsi="Times New Roman" w:cs="Times New Roman"/>
          <w:b w:val="0"/>
          <w:bCs/>
          <w:sz w:val="24"/>
          <w:szCs w:val="24"/>
          <w:lang w:val="zh-CN" w:eastAsia="zh-CN"/>
        </w:rPr>
        <w:t>社会信息化平台</w:t>
      </w:r>
      <w:r>
        <w:rPr>
          <w:rFonts w:hint="default" w:ascii="Times New Roman" w:hAnsi="Times New Roman" w:cs="Times New Roman"/>
          <w:b w:val="0"/>
          <w:bCs/>
          <w:sz w:val="24"/>
          <w:szCs w:val="24"/>
          <w:lang w:val="en-US" w:eastAsia="zh-CN"/>
        </w:rPr>
        <w:t>建设</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_Toc4847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_Toc30460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五</w:t>
      </w:r>
      <w:r>
        <w:rPr>
          <w:rFonts w:hint="default" w:ascii="Times New Roman" w:hAnsi="Times New Roman" w:cs="Times New Roman"/>
          <w:b w:val="0"/>
          <w:bCs/>
          <w:sz w:val="24"/>
          <w:szCs w:val="24"/>
          <w:lang w:val="zh-CN" w:eastAsia="zh-CN"/>
        </w:rPr>
        <w:t xml:space="preserve">节 </w:t>
      </w:r>
      <w:r>
        <w:rPr>
          <w:rFonts w:hint="default" w:ascii="Times New Roman" w:hAnsi="Times New Roman" w:cs="Times New Roman"/>
          <w:b w:val="0"/>
          <w:bCs/>
          <w:sz w:val="24"/>
          <w:szCs w:val="24"/>
          <w:lang w:val="en-US" w:eastAsia="zh-CN"/>
        </w:rPr>
        <w:t>构建</w:t>
      </w:r>
      <w:r>
        <w:rPr>
          <w:rFonts w:hint="default" w:ascii="Times New Roman" w:hAnsi="Times New Roman" w:cs="Times New Roman"/>
          <w:b w:val="0"/>
          <w:bCs/>
          <w:sz w:val="24"/>
          <w:szCs w:val="24"/>
          <w:lang w:val="zh-CN" w:eastAsia="zh-CN"/>
        </w:rPr>
        <w:t>信息化</w:t>
      </w:r>
      <w:r>
        <w:rPr>
          <w:rFonts w:hint="default" w:ascii="Times New Roman" w:hAnsi="Times New Roman" w:cs="Times New Roman"/>
          <w:b w:val="0"/>
          <w:bCs/>
          <w:sz w:val="24"/>
          <w:szCs w:val="24"/>
          <w:lang w:val="en-US" w:eastAsia="zh-CN"/>
        </w:rPr>
        <w:t>发展</w:t>
      </w:r>
      <w:r>
        <w:rPr>
          <w:rFonts w:hint="default" w:ascii="Times New Roman" w:hAnsi="Times New Roman" w:cs="Times New Roman"/>
          <w:b w:val="0"/>
          <w:bCs/>
          <w:sz w:val="24"/>
          <w:szCs w:val="24"/>
          <w:lang w:val="zh-CN" w:eastAsia="zh-CN"/>
        </w:rPr>
        <w:t>长效机制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_Toc30460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_Toc18363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第八章 稳步推进新型城镇化，打造高品质城市</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_Toc18363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_Toc21751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优化城镇化空间布局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_Toc21751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_Toc3146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推进以人为核心的新型城镇化</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_Toc3146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_Toc28911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w:t>
      </w:r>
      <w:r>
        <w:rPr>
          <w:rFonts w:hint="default" w:ascii="Times New Roman" w:hAnsi="Times New Roman" w:cs="Times New Roman"/>
          <w:b w:val="0"/>
          <w:bCs/>
          <w:sz w:val="24"/>
          <w:szCs w:val="24"/>
          <w:lang w:val="en-US" w:eastAsia="zh-CN"/>
        </w:rPr>
        <w:t xml:space="preserve"> 完善城镇基础设施建设</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_Toc28911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_Toc27670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第四节 推进产城融合发展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_Toc27670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_Toc25738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第五节 推动城乡基础设施一体化发展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_Toc25738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_Toc19940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第六节 推动基本公共服务普惠共享</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_Toc19940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_Toc10346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第七节 促进生产要素双向流动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_Toc10346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_Toc26889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第九章 完善基础设施网络体系，夯实发展基础支撑</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_Toc26889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_Toc15044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highlight w:val="none"/>
          <w:lang w:val="zh-CN"/>
        </w:rPr>
        <w:t>第一节 健全交通运输体系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_Toc15044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59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_Toc15936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highlight w:val="none"/>
          <w:lang w:val="zh-CN"/>
        </w:rPr>
        <w:t>第二节 补齐水利工程短板</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_Toc15936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_Toc28530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 提高</w:t>
      </w:r>
      <w:r>
        <w:rPr>
          <w:rFonts w:hint="default" w:ascii="Times New Roman" w:hAnsi="Times New Roman" w:cs="Times New Roman"/>
          <w:b w:val="0"/>
          <w:bCs/>
          <w:sz w:val="24"/>
          <w:szCs w:val="24"/>
          <w:lang w:val="en-US" w:eastAsia="zh-CN"/>
        </w:rPr>
        <w:t>电力</w:t>
      </w:r>
      <w:r>
        <w:rPr>
          <w:rFonts w:hint="default" w:ascii="Times New Roman" w:hAnsi="Times New Roman" w:cs="Times New Roman"/>
          <w:b w:val="0"/>
          <w:bCs/>
          <w:sz w:val="24"/>
          <w:szCs w:val="24"/>
          <w:lang w:val="zh-CN" w:eastAsia="zh-CN"/>
        </w:rPr>
        <w:t>能源服务能力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_Toc28530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_Toc30680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 构建服务型“新基建”格局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_Toc30680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_Toc24038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第五节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增强信息化设施支撑能力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_Toc24038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_Toc29807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第十章 全面提升社会公共服务水平，增进人民福祉</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_Toc29807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_Toc17256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坚持就业优先</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_Toc17256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_Toc6318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 xml:space="preserve">第二节 </w:t>
      </w:r>
      <w:r>
        <w:rPr>
          <w:rFonts w:hint="default" w:ascii="Times New Roman" w:hAnsi="Times New Roman" w:cs="Times New Roman"/>
          <w:b w:val="0"/>
          <w:bCs/>
          <w:sz w:val="24"/>
          <w:szCs w:val="24"/>
          <w:lang w:val="en-US" w:eastAsia="zh-CN"/>
        </w:rPr>
        <w:t>推进教育事业全面发展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_Toc6318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68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_Toc9343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 增强医疗卫生服务能力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_Toc9343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_Toc10128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 提高住房保障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_Toc10128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_Toc3711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第五节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完善社会公共服务体系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_Toc3711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_Toc7742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highlight w:val="none"/>
          <w:lang w:val="en-US" w:eastAsia="zh-CN"/>
        </w:rPr>
        <w:t>第十一章 推进文化润疆，筑牢共同团结奋斗的思想基础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_Toc7742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_Toc8838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深入实施文化润疆工程</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_Toc8838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79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_Toc14227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二</w:t>
      </w:r>
      <w:r>
        <w:rPr>
          <w:rFonts w:hint="default" w:ascii="Times New Roman" w:hAnsi="Times New Roman" w:cs="Times New Roman"/>
          <w:b w:val="0"/>
          <w:bCs/>
          <w:sz w:val="24"/>
          <w:szCs w:val="24"/>
          <w:lang w:val="zh-CN" w:eastAsia="zh-CN"/>
        </w:rPr>
        <w:t>节 铸牢中华民族共同体意识</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_Toc14227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_Toc7540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三</w:t>
      </w:r>
      <w:r>
        <w:rPr>
          <w:rFonts w:hint="default" w:ascii="Times New Roman" w:hAnsi="Times New Roman" w:cs="Times New Roman"/>
          <w:b w:val="0"/>
          <w:bCs/>
          <w:sz w:val="24"/>
          <w:szCs w:val="24"/>
          <w:lang w:val="zh-CN" w:eastAsia="zh-CN"/>
        </w:rPr>
        <w:t>节 维护意识形态领域安全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_Toc7540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_Toc7339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四</w:t>
      </w:r>
      <w:r>
        <w:rPr>
          <w:rFonts w:hint="default" w:ascii="Times New Roman" w:hAnsi="Times New Roman" w:cs="Times New Roman"/>
          <w:b w:val="0"/>
          <w:bCs/>
          <w:sz w:val="24"/>
          <w:szCs w:val="24"/>
          <w:lang w:val="zh-CN" w:eastAsia="zh-CN"/>
        </w:rPr>
        <w:t>节 坚持伊斯兰教中国化方向</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_Toc7339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_Toc27814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第五节 提升公共文化服务水平</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_Toc27814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_Toc13122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第六节 加快发展特色文化产业</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_Toc13122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_Toc7545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第七节 促进全民健身活动蓬勃发展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_Toc7545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_Toc16293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第十二章 实施创新驱动发展战略，构建创新创业新局面</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_Toc16293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_Toc9689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推动农业科技</w:t>
      </w:r>
      <w:r>
        <w:rPr>
          <w:rFonts w:hint="default" w:ascii="Times New Roman" w:hAnsi="Times New Roman" w:cs="Times New Roman"/>
          <w:b w:val="0"/>
          <w:bCs/>
          <w:sz w:val="24"/>
          <w:szCs w:val="24"/>
          <w:lang w:val="en-US" w:eastAsia="zh-CN"/>
        </w:rPr>
        <w:t>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_Toc9689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_Toc32641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 提升企业创新能力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_Toc32641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_Toc13938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 完善科技服务体系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_Toc13938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_Toc19414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 完善人才发展机制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_Toc19414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_Toc2872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第五节 促进科技成果转化</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_Toc2872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_Toc980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第六节 提升群众科学素质</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_Toc980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_Toc5475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第十三章 优化国土空间开发格局，建设新型国土空间治理体系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_Toc5475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_Toc20348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建立国土空间规划体系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_Toc20348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_Toc29202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科学合理布局国土空间</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_Toc29202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89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_Toc31529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第三节 强化国土空间开发管控</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_Toc31529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_Toc18007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 健全国土开发保护制度</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_Toc18007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_Toc27707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第十四章 践行绿色发展理念，确立生态安全格局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_Toc27707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_Toc28602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打赢蓝天保卫战</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_Toc28602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_Toc9065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打赢碧水保卫战</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_Toc9065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_Toc13509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打赢净土保卫战</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_Toc13509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_Toc1702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 xml:space="preserve">第四节 </w:t>
      </w:r>
      <w:r>
        <w:rPr>
          <w:rFonts w:hint="default" w:ascii="Times New Roman" w:hAnsi="Times New Roman" w:cs="Times New Roman"/>
          <w:b w:val="0"/>
          <w:bCs/>
          <w:sz w:val="24"/>
          <w:szCs w:val="24"/>
          <w:lang w:val="zh-CN" w:eastAsia="zh-CN"/>
        </w:rPr>
        <w:t>深入推进农村环境综合整治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_Toc1702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_Toc7572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第五节 加强生态环境保护</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_Toc7572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_Toc6087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第六节 推动绿色转型发展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_Toc6087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96</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_Toc32300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第七节 完善生态保护机制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_Toc32300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_Toc22070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第十五章 完善协同发展机制，促进军民、兵地融合发展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_Toc22070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_Toc19929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第一节 积极推进军民融合发展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_Toc19929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99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_Toc17240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 全面推动兵地融合发展</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_Toc17240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_Toc31384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第十六章 坚持全面深化改革，切实打造高质量发展新动力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_Toc31384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_Toc18130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一</w:t>
      </w:r>
      <w:r>
        <w:rPr>
          <w:rFonts w:hint="default" w:ascii="Times New Roman" w:hAnsi="Times New Roman" w:cs="Times New Roman"/>
          <w:b w:val="0"/>
          <w:bCs/>
          <w:sz w:val="24"/>
          <w:szCs w:val="24"/>
          <w:lang w:val="zh-CN" w:eastAsia="zh-CN"/>
        </w:rPr>
        <w:t>节 持续优化营商</w:t>
      </w:r>
      <w:r>
        <w:rPr>
          <w:rFonts w:hint="default" w:ascii="Times New Roman" w:hAnsi="Times New Roman" w:cs="Times New Roman"/>
          <w:b w:val="0"/>
          <w:bCs/>
          <w:sz w:val="24"/>
          <w:szCs w:val="24"/>
          <w:lang w:val="en-US" w:eastAsia="zh-CN"/>
        </w:rPr>
        <w:t>服务</w:t>
      </w:r>
      <w:r>
        <w:rPr>
          <w:rFonts w:hint="default" w:ascii="Times New Roman" w:hAnsi="Times New Roman" w:cs="Times New Roman"/>
          <w:b w:val="0"/>
          <w:bCs/>
          <w:sz w:val="24"/>
          <w:szCs w:val="24"/>
          <w:lang w:val="zh-CN" w:eastAsia="zh-CN"/>
        </w:rPr>
        <w:t>环境</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_Toc18130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_Toc8357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深化金融财税和投融资体制改革</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_Toc8357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_Toc23129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深化公共服务改革</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_Toc23129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_Toc4005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四</w:t>
      </w:r>
      <w:r>
        <w:rPr>
          <w:rFonts w:hint="default" w:ascii="Times New Roman" w:hAnsi="Times New Roman" w:cs="Times New Roman"/>
          <w:b w:val="0"/>
          <w:bCs/>
          <w:sz w:val="24"/>
          <w:szCs w:val="24"/>
          <w:lang w:val="zh-CN" w:eastAsia="zh-CN"/>
        </w:rPr>
        <w:t>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深化</w:t>
      </w:r>
      <w:r>
        <w:rPr>
          <w:rFonts w:hint="default" w:ascii="Times New Roman" w:hAnsi="Times New Roman" w:cs="Times New Roman"/>
          <w:b w:val="0"/>
          <w:bCs/>
          <w:sz w:val="24"/>
          <w:szCs w:val="24"/>
          <w:lang w:val="en-US" w:eastAsia="zh-CN"/>
        </w:rPr>
        <w:t>企事业单位</w:t>
      </w:r>
      <w:r>
        <w:rPr>
          <w:rFonts w:hint="default" w:ascii="Times New Roman" w:hAnsi="Times New Roman" w:cs="Times New Roman"/>
          <w:b w:val="0"/>
          <w:bCs/>
          <w:sz w:val="24"/>
          <w:szCs w:val="24"/>
          <w:lang w:val="zh-CN" w:eastAsia="zh-CN"/>
        </w:rPr>
        <w:t>改革</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_Toc4005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_Toc24760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第五节 深化农村改革</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_Toc24760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_Toc4619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第十七章 深化对口援疆合作，开展高质量援疆工作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_Toc4619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_Toc27169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加大产业援叶力度</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_Toc27169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108</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_Toc20640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第二节 加大</w:t>
      </w:r>
      <w:r>
        <w:rPr>
          <w:rFonts w:hint="default" w:ascii="Times New Roman" w:hAnsi="Times New Roman" w:cs="Times New Roman"/>
          <w:b w:val="0"/>
          <w:bCs/>
          <w:sz w:val="24"/>
          <w:szCs w:val="24"/>
          <w:lang w:val="en-US" w:eastAsia="zh-CN"/>
        </w:rPr>
        <w:t>人才</w:t>
      </w:r>
      <w:r>
        <w:rPr>
          <w:rFonts w:hint="default" w:ascii="Times New Roman" w:hAnsi="Times New Roman" w:cs="Times New Roman"/>
          <w:b w:val="0"/>
          <w:bCs/>
          <w:sz w:val="24"/>
          <w:szCs w:val="24"/>
          <w:lang w:val="zh-CN" w:eastAsia="zh-CN"/>
        </w:rPr>
        <w:t>援叶力度</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_Toc20640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_Toc30739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 xml:space="preserve">第三节 </w:t>
      </w:r>
      <w:r>
        <w:rPr>
          <w:rFonts w:hint="default" w:ascii="Times New Roman" w:hAnsi="Times New Roman" w:cs="Times New Roman"/>
          <w:b w:val="0"/>
          <w:bCs/>
          <w:sz w:val="24"/>
          <w:szCs w:val="24"/>
          <w:lang w:val="en-US" w:eastAsia="zh-CN"/>
        </w:rPr>
        <w:t>加大文化教育援叶力度</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_Toc30739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109</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_Toc15194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 xml:space="preserve">第四节 </w:t>
      </w:r>
      <w:r>
        <w:rPr>
          <w:rFonts w:hint="default" w:ascii="Times New Roman" w:hAnsi="Times New Roman" w:cs="Times New Roman"/>
          <w:b w:val="0"/>
          <w:bCs/>
          <w:sz w:val="24"/>
          <w:szCs w:val="24"/>
          <w:lang w:val="en-US" w:eastAsia="zh-CN"/>
        </w:rPr>
        <w:t>紧贴民生服务援叶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_Toc15194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_Toc9556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第五节 深化交流交往交融</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_Toc9556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_Toc27113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 xml:space="preserve">第六节 </w:t>
      </w:r>
      <w:r>
        <w:rPr>
          <w:rFonts w:hint="default" w:ascii="Times New Roman" w:hAnsi="Times New Roman" w:cs="Times New Roman"/>
          <w:b w:val="0"/>
          <w:bCs/>
          <w:sz w:val="24"/>
          <w:szCs w:val="24"/>
          <w:lang w:val="en-US" w:eastAsia="zh-CN"/>
        </w:rPr>
        <w:t>加强基层建设援叶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_Toc27113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113</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_Toc31439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lang w:val="en-US" w:eastAsia="zh-CN"/>
        </w:rPr>
        <w:t>第十八章 推进社会治理现代化，打造平安叶城升级版</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_Toc31439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_Toc14750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第一节 着力推进法治</w:t>
      </w:r>
      <w:r>
        <w:rPr>
          <w:rFonts w:hint="default" w:ascii="Times New Roman" w:hAnsi="Times New Roman" w:cs="Times New Roman"/>
          <w:b w:val="0"/>
          <w:bCs/>
          <w:sz w:val="24"/>
          <w:szCs w:val="24"/>
          <w:lang w:val="zh-CN" w:eastAsia="zh-CN"/>
        </w:rPr>
        <w:t>建设</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_Toc14750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114</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_Toc16474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健全公共安全体制机制</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_Toc16474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_Toc23451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三</w:t>
      </w:r>
      <w:r>
        <w:rPr>
          <w:rFonts w:hint="default" w:ascii="Times New Roman" w:hAnsi="Times New Roman" w:cs="Times New Roman"/>
          <w:b w:val="0"/>
          <w:bCs/>
          <w:sz w:val="24"/>
          <w:szCs w:val="24"/>
          <w:lang w:val="zh-CN" w:eastAsia="zh-CN"/>
        </w:rPr>
        <w:t>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zh-CN" w:eastAsia="zh-CN"/>
        </w:rPr>
        <w:t>夯实基层社会治理基础</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_Toc23451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w:t>
      </w:r>
      <w:r>
        <w:rPr>
          <w:rFonts w:hint="eastAsia" w:ascii="Times New Roman" w:hAnsi="Times New Roman" w:cs="Times New Roman"/>
          <w:b w:val="0"/>
          <w:bCs/>
          <w:sz w:val="24"/>
          <w:szCs w:val="24"/>
          <w:lang w:val="en-US" w:eastAsia="zh-CN"/>
        </w:rPr>
        <w:t>5</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_Toc20652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第四节</w:t>
      </w:r>
      <w:r>
        <w:rPr>
          <w:rFonts w:hint="default" w:ascii="Times New Roman" w:hAnsi="Times New Roman" w:cs="Times New Roman"/>
          <w:b w:val="0"/>
          <w:bCs/>
          <w:sz w:val="24"/>
          <w:szCs w:val="24"/>
          <w:lang w:val="en-US" w:eastAsia="zh-CN"/>
        </w:rPr>
        <w:t xml:space="preserve"> 完善</w:t>
      </w:r>
      <w:r>
        <w:rPr>
          <w:rFonts w:hint="default" w:ascii="Times New Roman" w:hAnsi="Times New Roman" w:cs="Times New Roman"/>
          <w:b w:val="0"/>
          <w:bCs/>
          <w:sz w:val="24"/>
          <w:szCs w:val="24"/>
          <w:lang w:val="zh-CN" w:eastAsia="zh-CN"/>
        </w:rPr>
        <w:t>公共安全</w:t>
      </w:r>
      <w:r>
        <w:rPr>
          <w:rFonts w:hint="default" w:ascii="Times New Roman" w:hAnsi="Times New Roman" w:cs="Times New Roman"/>
          <w:b w:val="0"/>
          <w:bCs/>
          <w:sz w:val="24"/>
          <w:szCs w:val="24"/>
          <w:lang w:val="en-US" w:eastAsia="zh-CN"/>
        </w:rPr>
        <w:t>体系</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_Toc20652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117</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_Toc23914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zh-CN" w:eastAsia="zh-CN"/>
        </w:rPr>
        <w:t>第</w:t>
      </w:r>
      <w:r>
        <w:rPr>
          <w:rFonts w:hint="default" w:ascii="Times New Roman" w:hAnsi="Times New Roman" w:cs="Times New Roman"/>
          <w:b w:val="0"/>
          <w:bCs/>
          <w:sz w:val="24"/>
          <w:szCs w:val="24"/>
          <w:lang w:val="en-US" w:eastAsia="zh-CN"/>
        </w:rPr>
        <w:t>五</w:t>
      </w:r>
      <w:r>
        <w:rPr>
          <w:rFonts w:hint="default" w:ascii="Times New Roman" w:hAnsi="Times New Roman" w:cs="Times New Roman"/>
          <w:b w:val="0"/>
          <w:bCs/>
          <w:sz w:val="24"/>
          <w:szCs w:val="24"/>
          <w:lang w:val="zh-CN" w:eastAsia="zh-CN"/>
        </w:rPr>
        <w:t>节 提升应急救援能力</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_Toc23914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r>
        <w:rPr>
          <w:rFonts w:hint="eastAsia" w:ascii="Times New Roman" w:hAnsi="Times New Roman" w:eastAsia="仿宋_GB2312" w:cs="Times New Roman"/>
          <w:b w:val="0"/>
          <w:bCs/>
          <w:caps w:val="0"/>
          <w:color w:val="auto"/>
          <w:sz w:val="24"/>
          <w:szCs w:val="24"/>
          <w:highlight w:val="none"/>
          <w:lang w:val="en-US" w:eastAsia="zh-CN"/>
        </w:rPr>
        <w:t>8</w:t>
      </w:r>
    </w:p>
    <w:p>
      <w:pPr>
        <w:pStyle w:val="11"/>
        <w:keepNext w:val="0"/>
        <w:keepLines w:val="0"/>
        <w:pageBreakBefore w:val="0"/>
        <w:widowControl w:val="0"/>
        <w:tabs>
          <w:tab w:val="right" w:leader="dot" w:pos="8640"/>
        </w:tabs>
        <w:kinsoku/>
        <w:wordWrap/>
        <w:overflowPunct/>
        <w:topLinePunct w:val="0"/>
        <w:autoSpaceDE/>
        <w:autoSpaceDN/>
        <w:bidi w:val="0"/>
        <w:adjustRightInd/>
        <w:snapToGrid/>
        <w:spacing w:before="0" w:after="0" w:line="440" w:lineRule="exact"/>
        <w:textAlignment w:val="auto"/>
        <w:rPr>
          <w:rFonts w:hint="eastAsia"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_Toc401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eastAsia="黑体" w:cs="Times New Roman"/>
          <w:b w:val="0"/>
          <w:bCs/>
          <w:sz w:val="24"/>
          <w:szCs w:val="24"/>
          <w:highlight w:val="none"/>
        </w:rPr>
        <w:t>第十</w:t>
      </w:r>
      <w:r>
        <w:rPr>
          <w:rFonts w:hint="default" w:ascii="Times New Roman" w:hAnsi="Times New Roman" w:eastAsia="黑体" w:cs="Times New Roman"/>
          <w:b w:val="0"/>
          <w:bCs/>
          <w:sz w:val="24"/>
          <w:szCs w:val="24"/>
          <w:highlight w:val="none"/>
          <w:lang w:val="en-US" w:eastAsia="zh-CN"/>
        </w:rPr>
        <w:t>九</w:t>
      </w:r>
      <w:r>
        <w:rPr>
          <w:rFonts w:hint="default" w:ascii="Times New Roman" w:hAnsi="Times New Roman" w:eastAsia="黑体" w:cs="Times New Roman"/>
          <w:b w:val="0"/>
          <w:bCs/>
          <w:sz w:val="24"/>
          <w:szCs w:val="24"/>
          <w:highlight w:val="none"/>
        </w:rPr>
        <w:t xml:space="preserve">章 </w:t>
      </w:r>
      <w:r>
        <w:rPr>
          <w:rFonts w:hint="default" w:ascii="Times New Roman" w:hAnsi="Times New Roman" w:eastAsia="黑体" w:cs="Times New Roman"/>
          <w:b w:val="0"/>
          <w:bCs/>
          <w:sz w:val="24"/>
          <w:szCs w:val="24"/>
          <w:highlight w:val="none"/>
          <w:lang w:val="en-US" w:eastAsia="zh-CN"/>
        </w:rPr>
        <w:t>切实加强党的领导，为</w:t>
      </w:r>
      <w:r>
        <w:rPr>
          <w:rFonts w:hint="default" w:ascii="Times New Roman" w:hAnsi="Times New Roman" w:eastAsia="黑体" w:cs="Times New Roman"/>
          <w:b w:val="0"/>
          <w:bCs/>
          <w:sz w:val="24"/>
          <w:szCs w:val="24"/>
          <w:highlight w:val="none"/>
        </w:rPr>
        <w:t>规划实施</w:t>
      </w:r>
      <w:r>
        <w:rPr>
          <w:rFonts w:hint="default" w:ascii="Times New Roman" w:hAnsi="Times New Roman" w:eastAsia="黑体" w:cs="Times New Roman"/>
          <w:b w:val="0"/>
          <w:bCs/>
          <w:sz w:val="24"/>
          <w:szCs w:val="24"/>
          <w:highlight w:val="none"/>
          <w:lang w:val="en-US" w:eastAsia="zh-CN"/>
        </w:rPr>
        <w:t>提供坚强</w:t>
      </w:r>
      <w:r>
        <w:rPr>
          <w:rFonts w:hint="default" w:ascii="Times New Roman" w:hAnsi="Times New Roman" w:eastAsia="黑体" w:cs="Times New Roman"/>
          <w:b w:val="0"/>
          <w:bCs/>
          <w:sz w:val="24"/>
          <w:szCs w:val="24"/>
          <w:highlight w:val="none"/>
        </w:rPr>
        <w:t>保</w:t>
      </w:r>
      <w:r>
        <w:rPr>
          <w:rFonts w:hint="default" w:ascii="Times New Roman" w:hAnsi="Times New Roman" w:eastAsia="黑体" w:cs="Times New Roman"/>
          <w:b w:val="0"/>
          <w:bCs/>
          <w:sz w:val="24"/>
          <w:szCs w:val="24"/>
          <w:highlight w:val="none"/>
          <w:lang w:val="en-US" w:eastAsia="zh-CN"/>
        </w:rPr>
        <w:t>证</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_Toc401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r>
        <w:rPr>
          <w:rFonts w:hint="eastAsia" w:ascii="Times New Roman" w:hAnsi="Times New Roman" w:eastAsia="仿宋_GB2312" w:cs="Times New Roman"/>
          <w:b w:val="0"/>
          <w:bCs/>
          <w:caps w:val="0"/>
          <w:color w:val="auto"/>
          <w:sz w:val="24"/>
          <w:szCs w:val="24"/>
          <w:highlight w:val="none"/>
          <w:lang w:val="en-US" w:eastAsia="zh-CN"/>
        </w:rPr>
        <w:t>9</w:t>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_Toc2005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highlight w:val="none"/>
        </w:rPr>
        <w:t xml:space="preserve">第一节 </w:t>
      </w:r>
      <w:r>
        <w:rPr>
          <w:rFonts w:hint="default" w:ascii="Times New Roman" w:hAnsi="Times New Roman" w:cs="Times New Roman"/>
          <w:b w:val="0"/>
          <w:bCs/>
          <w:sz w:val="24"/>
          <w:szCs w:val="24"/>
          <w:highlight w:val="none"/>
          <w:lang w:val="en-US" w:eastAsia="zh-CN"/>
        </w:rPr>
        <w:t>坚持和加强党的全面领导</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_Toc2005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r>
        <w:rPr>
          <w:rFonts w:hint="eastAsia" w:ascii="Times New Roman" w:hAnsi="Times New Roman" w:eastAsia="仿宋_GB2312" w:cs="Times New Roman"/>
          <w:b w:val="0"/>
          <w:bCs/>
          <w:caps w:val="0"/>
          <w:color w:val="auto"/>
          <w:sz w:val="24"/>
          <w:szCs w:val="24"/>
          <w:highlight w:val="none"/>
          <w:lang w:val="en-US" w:eastAsia="zh-CN"/>
        </w:rPr>
        <w:t>9</w:t>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_Toc27836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第二节 做好规划的协调衔接</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_Toc27836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eastAsia" w:ascii="Times New Roman" w:hAnsi="Times New Roman" w:cs="Times New Roman"/>
          <w:b w:val="0"/>
          <w:bCs/>
          <w:sz w:val="24"/>
          <w:szCs w:val="24"/>
          <w:lang w:val="en-US" w:eastAsia="zh-CN"/>
        </w:rPr>
        <w:t>0</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sz w:val="24"/>
          <w:szCs w:val="24"/>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_Toc21982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第三节 严格规划的实施保障</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_Toc21982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eastAsia" w:ascii="Times New Roman" w:hAnsi="Times New Roman" w:cs="Times New Roman"/>
          <w:b w:val="0"/>
          <w:bCs/>
          <w:sz w:val="24"/>
          <w:szCs w:val="24"/>
          <w:lang w:val="en-US" w:eastAsia="zh-CN"/>
        </w:rPr>
        <w:t>1</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aps w:val="0"/>
          <w:color w:val="auto"/>
          <w:sz w:val="24"/>
          <w:szCs w:val="24"/>
          <w:highlight w:val="none"/>
        </w:rPr>
      </w:pPr>
      <w:r>
        <w:rPr>
          <w:rFonts w:hint="default" w:ascii="Times New Roman" w:hAnsi="Times New Roman" w:eastAsia="仿宋_GB2312" w:cs="Times New Roman"/>
          <w:b w:val="0"/>
          <w:bCs/>
          <w:caps w:val="0"/>
          <w:color w:val="auto"/>
          <w:sz w:val="24"/>
          <w:szCs w:val="24"/>
          <w:highlight w:val="none"/>
        </w:rPr>
        <w:fldChar w:fldCharType="begin"/>
      </w:r>
      <w:r>
        <w:rPr>
          <w:rFonts w:hint="default" w:ascii="Times New Roman" w:hAnsi="Times New Roman" w:eastAsia="仿宋_GB2312" w:cs="Times New Roman"/>
          <w:b w:val="0"/>
          <w:bCs/>
          <w:caps w:val="0"/>
          <w:sz w:val="24"/>
          <w:szCs w:val="24"/>
          <w:highlight w:val="none"/>
        </w:rPr>
        <w:instrText xml:space="preserve"> HYPERLINK \l _Toc5668 </w:instrText>
      </w:r>
      <w:r>
        <w:rPr>
          <w:rFonts w:hint="default" w:ascii="Times New Roman" w:hAnsi="Times New Roman" w:eastAsia="仿宋_GB2312" w:cs="Times New Roman"/>
          <w:b w:val="0"/>
          <w:bCs/>
          <w:caps w:val="0"/>
          <w:sz w:val="24"/>
          <w:szCs w:val="24"/>
          <w:highlight w:val="none"/>
        </w:rPr>
        <w:fldChar w:fldCharType="separate"/>
      </w:r>
      <w:r>
        <w:rPr>
          <w:rFonts w:hint="default" w:ascii="Times New Roman" w:hAnsi="Times New Roman" w:cs="Times New Roman"/>
          <w:b w:val="0"/>
          <w:bCs/>
          <w:sz w:val="24"/>
          <w:szCs w:val="24"/>
          <w:lang w:val="en-US" w:eastAsia="zh-CN"/>
        </w:rPr>
        <w:t>第四节 规范规划的评估调整</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PAGEREF _Toc5668 </w:instrText>
      </w:r>
      <w:r>
        <w:rPr>
          <w:rFonts w:hint="default" w:ascii="Times New Roman" w:hAnsi="Times New Roman" w:cs="Times New Roman"/>
          <w:b w:val="0"/>
          <w:bCs/>
          <w:sz w:val="24"/>
          <w:szCs w:val="24"/>
        </w:rPr>
        <w:fldChar w:fldCharType="separate"/>
      </w:r>
      <w:r>
        <w:rPr>
          <w:rFonts w:hint="default" w:ascii="Times New Roman" w:hAnsi="Times New Roman" w:cs="Times New Roman"/>
          <w:b w:val="0"/>
          <w:bCs/>
          <w:sz w:val="24"/>
          <w:szCs w:val="24"/>
        </w:rPr>
        <w:t>12</w:t>
      </w:r>
      <w:r>
        <w:rPr>
          <w:rFonts w:hint="eastAsia" w:ascii="Times New Roman" w:hAnsi="Times New Roman" w:cs="Times New Roman"/>
          <w:b w:val="0"/>
          <w:bCs/>
          <w:sz w:val="24"/>
          <w:szCs w:val="24"/>
          <w:lang w:val="en-US" w:eastAsia="zh-CN"/>
        </w:rPr>
        <w:t>2</w:t>
      </w:r>
      <w:r>
        <w:rPr>
          <w:rFonts w:hint="default" w:ascii="Times New Roman" w:hAnsi="Times New Roman" w:cs="Times New Roman"/>
          <w:b w:val="0"/>
          <w:bCs/>
          <w:sz w:val="24"/>
          <w:szCs w:val="24"/>
        </w:rPr>
        <w:fldChar w:fldCharType="end"/>
      </w:r>
      <w:r>
        <w:rPr>
          <w:rFonts w:hint="default" w:ascii="Times New Roman" w:hAnsi="Times New Roman" w:eastAsia="仿宋_GB2312" w:cs="Times New Roman"/>
          <w:b w:val="0"/>
          <w:bCs/>
          <w:caps w:val="0"/>
          <w:color w:val="auto"/>
          <w:sz w:val="24"/>
          <w:szCs w:val="24"/>
          <w:highlight w:val="none"/>
        </w:rPr>
        <w:fldChar w:fldCharType="end"/>
      </w:r>
      <w:r>
        <w:rPr>
          <w:rFonts w:hint="default" w:ascii="Times New Roman" w:hAnsi="Times New Roman" w:eastAsia="仿宋_GB2312" w:cs="Times New Roman"/>
          <w:bCs w:val="0"/>
          <w:caps w:val="0"/>
          <w:color w:val="auto"/>
          <w:sz w:val="24"/>
          <w:szCs w:val="24"/>
          <w:highlight w:val="none"/>
        </w:rPr>
        <w:fldChar w:fldCharType="end"/>
      </w:r>
    </w:p>
    <w:p>
      <w:pPr>
        <w:pStyle w:val="14"/>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880"/>
        <w:textAlignment w:val="auto"/>
        <w:rPr>
          <w:rFonts w:hint="default" w:ascii="Times New Roman" w:hAnsi="Times New Roman" w:eastAsia="仿宋_GB2312" w:cs="Times New Roman"/>
          <w:b w:val="0"/>
          <w:bCs w:val="0"/>
          <w:color w:val="auto"/>
          <w:sz w:val="24"/>
          <w:szCs w:val="24"/>
          <w:highlight w:val="none"/>
        </w:rPr>
        <w:sectPr>
          <w:footerReference r:id="rId4" w:type="default"/>
          <w:pgSz w:w="11906" w:h="16838"/>
          <w:pgMar w:top="1304" w:right="1633" w:bottom="1304" w:left="1633"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before="614" w:beforeLines="150" w:line="560" w:lineRule="exact"/>
        <w:jc w:val="center"/>
        <w:textAlignment w:val="auto"/>
        <w:rPr>
          <w:rFonts w:hint="eastAsia" w:eastAsia="方正大标宋简体" w:cs="方正大标宋简体"/>
          <w:color w:val="auto"/>
          <w:sz w:val="44"/>
          <w:szCs w:val="44"/>
          <w:highlight w:val="none"/>
        </w:rPr>
      </w:pPr>
      <w:bookmarkStart w:id="0" w:name="_Toc44929321"/>
      <w:r>
        <w:rPr>
          <w:rFonts w:hint="eastAsia" w:eastAsia="方正大标宋简体" w:cs="方正大标宋简体"/>
          <w:color w:val="auto"/>
          <w:sz w:val="44"/>
          <w:szCs w:val="44"/>
          <w:highlight w:val="none"/>
          <w:lang w:val="en-US" w:eastAsia="zh-CN"/>
        </w:rPr>
        <w:t>喀什地区</w:t>
      </w:r>
      <w:r>
        <w:rPr>
          <w:rFonts w:hint="eastAsia" w:eastAsia="方正大标宋简体" w:cs="方正大标宋简体"/>
          <w:color w:val="auto"/>
          <w:sz w:val="44"/>
          <w:szCs w:val="44"/>
          <w:highlight w:val="none"/>
        </w:rPr>
        <w:t>叶城县国民经济和社会发展</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jc w:val="center"/>
        <w:textAlignment w:val="auto"/>
        <w:rPr>
          <w:rFonts w:hint="eastAsia" w:eastAsia="方正大标宋简体" w:cs="方正大标宋简体"/>
          <w:color w:val="auto"/>
          <w:sz w:val="44"/>
          <w:szCs w:val="44"/>
          <w:highlight w:val="none"/>
        </w:rPr>
      </w:pPr>
      <w:r>
        <w:rPr>
          <w:rFonts w:hint="eastAsia" w:eastAsia="方正大标宋简体" w:cs="方正大标宋简体"/>
          <w:color w:val="auto"/>
          <w:sz w:val="44"/>
          <w:szCs w:val="44"/>
          <w:highlight w:val="none"/>
        </w:rPr>
        <w:t>第十四个五年规划纲要</w:t>
      </w:r>
      <w:bookmarkEnd w:id="0"/>
    </w:p>
    <w:p>
      <w:pPr>
        <w:pStyle w:val="3"/>
        <w:keepNext w:val="0"/>
        <w:keepLines w:val="0"/>
        <w:shd w:val="clear"/>
        <w:spacing w:beforeLines="100" w:afterLines="100" w:line="560" w:lineRule="exact"/>
        <w:jc w:val="center"/>
        <w:rPr>
          <w:rFonts w:hint="default" w:ascii="Times New Roman" w:hAnsi="Times New Roman" w:eastAsia="黑体" w:cs="Times New Roman"/>
          <w:b w:val="0"/>
          <w:bCs w:val="0"/>
          <w:sz w:val="30"/>
          <w:szCs w:val="30"/>
          <w:lang w:val="en-US" w:eastAsia="zh-CN"/>
        </w:rPr>
      </w:pPr>
      <w:bookmarkStart w:id="1" w:name="_Toc2669"/>
      <w:r>
        <w:rPr>
          <w:rFonts w:hint="eastAsia" w:ascii="Times New Roman" w:hAnsi="Times New Roman" w:eastAsia="黑体" w:cs="Times New Roman"/>
          <w:b w:val="0"/>
          <w:bCs w:val="0"/>
          <w:sz w:val="30"/>
          <w:szCs w:val="30"/>
          <w:lang w:val="en-US" w:eastAsia="zh-CN"/>
        </w:rPr>
        <w:t>前</w:t>
      </w:r>
      <w:r>
        <w:rPr>
          <w:rFonts w:hint="eastAsia" w:eastAsia="黑体" w:cs="Times New Roman"/>
          <w:b w:val="0"/>
          <w:bCs w:val="0"/>
          <w:sz w:val="30"/>
          <w:szCs w:val="30"/>
          <w:lang w:val="en-US" w:eastAsia="zh-CN"/>
        </w:rPr>
        <w:t xml:space="preserve">  </w:t>
      </w:r>
      <w:r>
        <w:rPr>
          <w:rFonts w:hint="eastAsia" w:ascii="Times New Roman" w:hAnsi="Times New Roman" w:eastAsia="黑体" w:cs="Times New Roman"/>
          <w:b w:val="0"/>
          <w:bCs w:val="0"/>
          <w:sz w:val="30"/>
          <w:szCs w:val="30"/>
          <w:lang w:val="en-US" w:eastAsia="zh-CN"/>
        </w:rPr>
        <w:t>言</w:t>
      </w:r>
      <w:bookmarkEnd w:id="1"/>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s="仿宋_GB2312"/>
          <w:color w:val="auto"/>
          <w:sz w:val="30"/>
          <w:szCs w:val="30"/>
          <w:highlight w:val="none"/>
        </w:rPr>
      </w:pPr>
      <w:r>
        <w:rPr>
          <w:rFonts w:hint="eastAsia" w:ascii="Times New Roman" w:hAnsi="Times New Roman" w:eastAsia="仿宋_GB2312"/>
          <w:bCs/>
          <w:color w:val="auto"/>
          <w:sz w:val="30"/>
          <w:szCs w:val="30"/>
          <w:highlight w:val="none"/>
        </w:rPr>
        <w:t>“十四五”时期，是全面建成小康社会、实现第一个百年奋斗目标后，乘势而上开启全面建设社会主义现代化国家新征程、向第二个百年奋斗目标进军的第一个五年</w:t>
      </w:r>
      <w:r>
        <w:rPr>
          <w:rFonts w:hint="eastAsia" w:ascii="Times New Roman" w:hAnsi="Times New Roman" w:eastAsia="仿宋_GB2312"/>
          <w:bCs/>
          <w:color w:val="auto"/>
          <w:sz w:val="30"/>
          <w:szCs w:val="30"/>
          <w:highlight w:val="none"/>
          <w:lang w:eastAsia="zh-CN"/>
        </w:rPr>
        <w:t>，</w:t>
      </w:r>
      <w:r>
        <w:rPr>
          <w:rFonts w:hint="eastAsia" w:ascii="Times New Roman" w:hAnsi="Times New Roman" w:eastAsia="仿宋_GB2312"/>
          <w:bCs/>
          <w:color w:val="auto"/>
          <w:sz w:val="30"/>
          <w:szCs w:val="30"/>
          <w:highlight w:val="none"/>
        </w:rPr>
        <w:t>我国将进入新发展阶段</w:t>
      </w:r>
      <w:r>
        <w:rPr>
          <w:rFonts w:hint="eastAsia" w:ascii="Times New Roman" w:hAnsi="Times New Roman" w:eastAsia="仿宋_GB2312"/>
          <w:bCs/>
          <w:color w:val="auto"/>
          <w:sz w:val="30"/>
          <w:szCs w:val="30"/>
          <w:highlight w:val="none"/>
          <w:lang w:eastAsia="zh-CN"/>
        </w:rPr>
        <w:t>，</w:t>
      </w:r>
      <w:r>
        <w:rPr>
          <w:rFonts w:hint="eastAsia" w:ascii="Times New Roman" w:hAnsi="Times New Roman" w:eastAsia="仿宋_GB2312"/>
          <w:bCs/>
          <w:color w:val="auto"/>
          <w:sz w:val="30"/>
          <w:szCs w:val="30"/>
          <w:highlight w:val="none"/>
        </w:rPr>
        <w:t>构建新发展格局。</w:t>
      </w:r>
      <w:r>
        <w:rPr>
          <w:rFonts w:hint="eastAsia" w:ascii="Times New Roman" w:hAnsi="Times New Roman" w:eastAsia="仿宋_GB2312"/>
          <w:bCs/>
          <w:color w:val="auto"/>
          <w:sz w:val="30"/>
          <w:szCs w:val="30"/>
          <w:highlight w:val="none"/>
          <w:lang w:val="en-US" w:eastAsia="zh-CN"/>
        </w:rPr>
        <w:t>未来五年</w:t>
      </w:r>
      <w:r>
        <w:rPr>
          <w:rFonts w:hint="eastAsia" w:ascii="Times New Roman" w:hAnsi="Times New Roman" w:eastAsia="仿宋_GB2312"/>
          <w:bCs/>
          <w:color w:val="auto"/>
          <w:sz w:val="30"/>
          <w:szCs w:val="30"/>
          <w:highlight w:val="none"/>
        </w:rPr>
        <w:t>既是</w:t>
      </w:r>
      <w:r>
        <w:rPr>
          <w:rFonts w:hint="eastAsia" w:ascii="Times New Roman" w:hAnsi="Times New Roman" w:eastAsia="仿宋_GB2312"/>
          <w:bCs/>
          <w:color w:val="auto"/>
          <w:sz w:val="30"/>
          <w:szCs w:val="30"/>
          <w:highlight w:val="none"/>
          <w:lang w:val="en-US" w:eastAsia="zh-CN"/>
        </w:rPr>
        <w:t>叶城</w:t>
      </w:r>
      <w:r>
        <w:rPr>
          <w:rFonts w:hint="eastAsia" w:eastAsia="仿宋_GB2312"/>
          <w:bCs/>
          <w:color w:val="auto"/>
          <w:sz w:val="30"/>
          <w:szCs w:val="30"/>
          <w:highlight w:val="none"/>
          <w:lang w:val="en-US" w:eastAsia="zh-CN"/>
        </w:rPr>
        <w:t>县</w:t>
      </w:r>
      <w:r>
        <w:rPr>
          <w:rFonts w:hint="eastAsia" w:ascii="Times New Roman" w:hAnsi="Times New Roman" w:eastAsia="仿宋_GB2312"/>
          <w:bCs/>
          <w:color w:val="auto"/>
          <w:sz w:val="30"/>
          <w:szCs w:val="30"/>
          <w:highlight w:val="none"/>
        </w:rPr>
        <w:t>深入贯彻落实习近平新时代</w:t>
      </w:r>
      <w:r>
        <w:rPr>
          <w:rFonts w:hint="eastAsia" w:eastAsia="仿宋_GB2312"/>
          <w:bCs/>
          <w:color w:val="auto"/>
          <w:sz w:val="30"/>
          <w:szCs w:val="30"/>
          <w:highlight w:val="none"/>
          <w:lang w:val="en-US" w:eastAsia="zh-CN"/>
        </w:rPr>
        <w:t>中国特色</w:t>
      </w:r>
      <w:r>
        <w:rPr>
          <w:rFonts w:hint="eastAsia" w:ascii="Times New Roman" w:hAnsi="Times New Roman" w:eastAsia="仿宋_GB2312"/>
          <w:bCs/>
          <w:color w:val="auto"/>
          <w:sz w:val="30"/>
          <w:szCs w:val="30"/>
          <w:highlight w:val="none"/>
        </w:rPr>
        <w:t>社会主义思想，加快推进治理体系</w:t>
      </w:r>
      <w:r>
        <w:rPr>
          <w:rFonts w:hint="eastAsia" w:eastAsia="仿宋_GB2312"/>
          <w:bCs/>
          <w:color w:val="auto"/>
          <w:sz w:val="30"/>
          <w:szCs w:val="30"/>
          <w:highlight w:val="none"/>
          <w:lang w:val="en-US" w:eastAsia="zh-CN"/>
        </w:rPr>
        <w:t>和</w:t>
      </w:r>
      <w:r>
        <w:rPr>
          <w:rFonts w:hint="eastAsia" w:ascii="Times New Roman" w:hAnsi="Times New Roman" w:eastAsia="仿宋_GB2312"/>
          <w:bCs/>
          <w:color w:val="auto"/>
          <w:sz w:val="30"/>
          <w:szCs w:val="30"/>
          <w:highlight w:val="none"/>
        </w:rPr>
        <w:t>治理能力现代化建设的关键时期，也是</w:t>
      </w:r>
      <w:r>
        <w:rPr>
          <w:rFonts w:hint="eastAsia" w:ascii="Times New Roman" w:hAnsi="Times New Roman" w:eastAsia="仿宋_GB2312"/>
          <w:bCs/>
          <w:color w:val="auto"/>
          <w:sz w:val="30"/>
          <w:szCs w:val="30"/>
          <w:highlight w:val="none"/>
          <w:lang w:val="en-US" w:eastAsia="zh-CN"/>
        </w:rPr>
        <w:t>叶城</w:t>
      </w:r>
      <w:r>
        <w:rPr>
          <w:rFonts w:hint="eastAsia" w:eastAsia="仿宋_GB2312"/>
          <w:bCs/>
          <w:color w:val="auto"/>
          <w:sz w:val="30"/>
          <w:szCs w:val="30"/>
          <w:highlight w:val="none"/>
          <w:lang w:val="en-US" w:eastAsia="zh-CN"/>
        </w:rPr>
        <w:t>县</w:t>
      </w:r>
      <w:r>
        <w:rPr>
          <w:rFonts w:hint="eastAsia" w:ascii="Times New Roman" w:hAnsi="Times New Roman" w:eastAsia="仿宋_GB2312"/>
          <w:bCs/>
          <w:color w:val="auto"/>
          <w:sz w:val="30"/>
          <w:szCs w:val="30"/>
          <w:highlight w:val="none"/>
        </w:rPr>
        <w:t>共享丝绸之路经济带核心区建设战略机遇和持续释放安全稳定红利的重要时期，更是叶城县适应新变化、把握新形势、理解新内涵，全面推动高质量发展的攻坚时期。从自身资源禀赋、发展特点和发展</w:t>
      </w:r>
      <w:r>
        <w:rPr>
          <w:rFonts w:hint="eastAsia" w:ascii="Times New Roman" w:hAnsi="Times New Roman" w:eastAsia="仿宋_GB2312"/>
          <w:bCs/>
          <w:color w:val="auto"/>
          <w:sz w:val="30"/>
          <w:szCs w:val="30"/>
          <w:highlight w:val="none"/>
          <w:lang w:val="en-US" w:eastAsia="zh-CN"/>
        </w:rPr>
        <w:t>诉</w:t>
      </w:r>
      <w:r>
        <w:rPr>
          <w:rFonts w:hint="eastAsia" w:ascii="Times New Roman" w:hAnsi="Times New Roman" w:eastAsia="仿宋_GB2312"/>
          <w:bCs/>
          <w:color w:val="auto"/>
          <w:sz w:val="30"/>
          <w:szCs w:val="30"/>
          <w:highlight w:val="none"/>
        </w:rPr>
        <w:t>求入手，全面谋划、深入研究，科学编制</w:t>
      </w:r>
      <w:r>
        <w:rPr>
          <w:rFonts w:hint="eastAsia" w:ascii="Times New Roman" w:hAnsi="Times New Roman" w:eastAsia="仿宋_GB2312"/>
          <w:bCs/>
          <w:color w:val="auto"/>
          <w:sz w:val="30"/>
          <w:szCs w:val="30"/>
          <w:highlight w:val="none"/>
          <w:lang w:val="en-US" w:eastAsia="zh-CN"/>
        </w:rPr>
        <w:t>叶城县国民经济和社会发展第十四个五年</w:t>
      </w:r>
      <w:r>
        <w:rPr>
          <w:rFonts w:hint="eastAsia" w:ascii="Times New Roman" w:hAnsi="Times New Roman" w:eastAsia="仿宋_GB2312"/>
          <w:bCs/>
          <w:color w:val="auto"/>
          <w:sz w:val="30"/>
          <w:szCs w:val="30"/>
          <w:highlight w:val="none"/>
        </w:rPr>
        <w:t>规划</w:t>
      </w:r>
      <w:r>
        <w:rPr>
          <w:rFonts w:hint="eastAsia" w:ascii="Times New Roman" w:hAnsi="Times New Roman" w:eastAsia="仿宋_GB2312"/>
          <w:bCs/>
          <w:color w:val="auto"/>
          <w:sz w:val="30"/>
          <w:szCs w:val="30"/>
          <w:highlight w:val="none"/>
          <w:lang w:val="en-US" w:eastAsia="zh-CN"/>
        </w:rPr>
        <w:t>纲要</w:t>
      </w:r>
      <w:r>
        <w:rPr>
          <w:rFonts w:hint="eastAsia" w:ascii="Times New Roman" w:hAnsi="Times New Roman" w:eastAsia="仿宋_GB2312"/>
          <w:bCs/>
          <w:color w:val="auto"/>
          <w:sz w:val="30"/>
          <w:szCs w:val="30"/>
          <w:highlight w:val="none"/>
        </w:rPr>
        <w:t>，对推动叶城县</w:t>
      </w:r>
      <w:r>
        <w:rPr>
          <w:rFonts w:hint="eastAsia" w:ascii="Times New Roman" w:hAnsi="Times New Roman" w:eastAsia="仿宋_GB2312"/>
          <w:bCs/>
          <w:color w:val="auto"/>
          <w:sz w:val="30"/>
          <w:szCs w:val="30"/>
          <w:highlight w:val="none"/>
          <w:lang w:eastAsia="zh-CN"/>
        </w:rPr>
        <w:t>社会</w:t>
      </w:r>
      <w:r>
        <w:rPr>
          <w:rFonts w:hint="eastAsia" w:ascii="Times New Roman" w:hAnsi="Times New Roman" w:eastAsia="仿宋_GB2312"/>
          <w:bCs/>
          <w:color w:val="auto"/>
          <w:sz w:val="30"/>
          <w:szCs w:val="30"/>
          <w:highlight w:val="none"/>
        </w:rPr>
        <w:t>大局持续稳定、经济持续发展、民生持续改善、环境持续优化，加速推进经济高质量发展具有重要作用</w:t>
      </w:r>
      <w:r>
        <w:rPr>
          <w:rFonts w:hint="eastAsia" w:ascii="Times New Roman" w:hAnsi="Times New Roman" w:eastAsia="仿宋_GB2312"/>
          <w:bCs/>
          <w:color w:val="auto"/>
          <w:sz w:val="30"/>
          <w:szCs w:val="30"/>
          <w:highlight w:val="none"/>
          <w:lang w:eastAsia="zh-CN"/>
        </w:rPr>
        <w:t>，是指导</w:t>
      </w:r>
      <w:r>
        <w:rPr>
          <w:rFonts w:hint="eastAsia" w:ascii="Times New Roman" w:hAnsi="Times New Roman" w:eastAsia="仿宋_GB2312"/>
          <w:bCs/>
          <w:color w:val="auto"/>
          <w:sz w:val="30"/>
          <w:szCs w:val="30"/>
          <w:highlight w:val="none"/>
          <w:lang w:val="en-US" w:eastAsia="zh-CN"/>
        </w:rPr>
        <w:t>全县</w:t>
      </w:r>
      <w:r>
        <w:rPr>
          <w:rFonts w:hint="eastAsia" w:ascii="Times New Roman" w:hAnsi="Times New Roman" w:eastAsia="仿宋_GB2312"/>
          <w:bCs/>
          <w:color w:val="auto"/>
          <w:sz w:val="30"/>
          <w:szCs w:val="30"/>
          <w:highlight w:val="none"/>
          <w:lang w:eastAsia="zh-CN"/>
        </w:rPr>
        <w:t>未来五年发展的宏伟蓝图，是</w:t>
      </w:r>
      <w:r>
        <w:rPr>
          <w:rFonts w:hint="eastAsia" w:ascii="Times New Roman" w:hAnsi="Times New Roman" w:eastAsia="仿宋_GB2312"/>
          <w:bCs/>
          <w:color w:val="auto"/>
          <w:sz w:val="30"/>
          <w:szCs w:val="30"/>
          <w:highlight w:val="none"/>
          <w:lang w:val="en-US" w:eastAsia="zh-CN"/>
        </w:rPr>
        <w:t>全县各族</w:t>
      </w:r>
      <w:r>
        <w:rPr>
          <w:rFonts w:hint="eastAsia" w:ascii="Times New Roman" w:hAnsi="Times New Roman" w:eastAsia="仿宋_GB2312"/>
          <w:bCs/>
          <w:color w:val="auto"/>
          <w:sz w:val="30"/>
          <w:szCs w:val="30"/>
          <w:highlight w:val="none"/>
          <w:lang w:eastAsia="zh-CN"/>
        </w:rPr>
        <w:t>群众共同奋斗的行动纲领。</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2" w:name="_Toc26409"/>
      <w:bookmarkStart w:id="3" w:name="_Toc28790"/>
      <w:r>
        <w:rPr>
          <w:rFonts w:hint="eastAsia" w:ascii="Times New Roman" w:hAnsi="Times New Roman" w:eastAsia="黑体" w:cs="Times New Roman"/>
          <w:b w:val="0"/>
          <w:bCs w:val="0"/>
          <w:sz w:val="30"/>
          <w:szCs w:val="30"/>
        </w:rPr>
        <w:t>第一章 “</w:t>
      </w:r>
      <w:r>
        <w:rPr>
          <w:rFonts w:hint="eastAsia" w:ascii="Times New Roman" w:hAnsi="Times New Roman" w:eastAsia="黑体" w:cs="Times New Roman"/>
          <w:b w:val="0"/>
          <w:bCs w:val="0"/>
          <w:sz w:val="30"/>
          <w:szCs w:val="30"/>
          <w:lang w:val="en-US" w:eastAsia="zh-CN"/>
        </w:rPr>
        <w:t>十三五</w:t>
      </w:r>
      <w:r>
        <w:rPr>
          <w:rFonts w:hint="eastAsia" w:ascii="Times New Roman" w:hAnsi="Times New Roman" w:eastAsia="黑体" w:cs="Times New Roman"/>
          <w:b w:val="0"/>
          <w:bCs w:val="0"/>
          <w:sz w:val="30"/>
          <w:szCs w:val="30"/>
        </w:rPr>
        <w:t>”</w:t>
      </w:r>
      <w:r>
        <w:rPr>
          <w:rFonts w:hint="eastAsia" w:ascii="Times New Roman" w:hAnsi="Times New Roman" w:eastAsia="黑体" w:cs="Times New Roman"/>
          <w:b w:val="0"/>
          <w:bCs w:val="0"/>
          <w:sz w:val="30"/>
          <w:szCs w:val="30"/>
          <w:lang w:eastAsia="zh-CN"/>
        </w:rPr>
        <w:t>规划完成情况</w:t>
      </w:r>
      <w:bookmarkEnd w:id="2"/>
      <w:bookmarkEnd w:id="3"/>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rPr>
      </w:pPr>
      <w:r>
        <w:rPr>
          <w:rFonts w:hint="eastAsia" w:ascii="Times New Roman" w:hAnsi="Times New Roman" w:eastAsia="仿宋_GB2312"/>
          <w:bCs/>
          <w:color w:val="auto"/>
          <w:sz w:val="30"/>
          <w:szCs w:val="30"/>
          <w:highlight w:val="none"/>
        </w:rPr>
        <w:t>“十三五”以来，面对严峻复杂的社会稳定形势和错综复杂的经</w:t>
      </w:r>
      <w:r>
        <w:rPr>
          <w:rFonts w:hint="eastAsia" w:ascii="Times New Roman" w:hAnsi="Times New Roman" w:eastAsia="仿宋_GB2312"/>
          <w:bCs/>
          <w:color w:val="auto"/>
          <w:sz w:val="30"/>
          <w:szCs w:val="30"/>
          <w:highlight w:val="none"/>
          <w:lang w:val="en-US" w:eastAsia="zh-CN"/>
        </w:rPr>
        <w:t>济发展环境，面对两个“三期叠加”，叶城县委、县人民政府在自治区党委、人民政府和喀什地委、行署的坚强领导下，团结带领全县各族干部群众，</w:t>
      </w:r>
      <w:r>
        <w:rPr>
          <w:rFonts w:hint="eastAsia" w:ascii="Times New Roman" w:hAnsi="Times New Roman" w:eastAsia="仿宋_GB2312"/>
          <w:bCs/>
          <w:color w:val="auto"/>
          <w:sz w:val="30"/>
          <w:szCs w:val="30"/>
          <w:highlight w:val="none"/>
          <w:lang w:val="en-US"/>
        </w:rPr>
        <w:t>始终</w:t>
      </w:r>
      <w:r>
        <w:rPr>
          <w:rFonts w:hint="eastAsia" w:ascii="Times New Roman" w:hAnsi="Times New Roman" w:eastAsia="仿宋_GB2312"/>
          <w:bCs/>
          <w:color w:val="auto"/>
          <w:sz w:val="30"/>
          <w:szCs w:val="30"/>
          <w:highlight w:val="none"/>
        </w:rPr>
        <w:t>坚持以习近平新时代中国特色社会主义思想为指导，认真贯彻落实自</w:t>
      </w:r>
      <w:r>
        <w:rPr>
          <w:rFonts w:hint="eastAsia" w:ascii="Times New Roman" w:hAnsi="Times New Roman" w:eastAsia="仿宋_GB2312"/>
          <w:bCs/>
          <w:color w:val="auto"/>
          <w:sz w:val="30"/>
          <w:szCs w:val="30"/>
          <w:highlight w:val="none"/>
          <w:lang w:val="en-US"/>
        </w:rPr>
        <w:t>治区党委“1+3+3+改革开放”工作部署，坚持稳中求进工作总基调，主动适应新常态，妥善应</w:t>
      </w:r>
      <w:r>
        <w:rPr>
          <w:rFonts w:hint="eastAsia" w:ascii="Times New Roman" w:hAnsi="Times New Roman" w:eastAsia="仿宋_GB2312"/>
          <w:bCs/>
          <w:color w:val="auto"/>
          <w:sz w:val="30"/>
          <w:szCs w:val="30"/>
          <w:highlight w:val="none"/>
        </w:rPr>
        <w:t>对各种风险挑战，实现</w:t>
      </w:r>
      <w:r>
        <w:rPr>
          <w:rFonts w:hint="eastAsia" w:ascii="Times New Roman" w:hAnsi="Times New Roman" w:eastAsia="仿宋_GB2312"/>
          <w:bCs/>
          <w:color w:val="auto"/>
          <w:sz w:val="30"/>
          <w:szCs w:val="30"/>
          <w:highlight w:val="none"/>
          <w:lang w:val="en-US"/>
        </w:rPr>
        <w:t>了</w:t>
      </w:r>
      <w:r>
        <w:rPr>
          <w:rFonts w:hint="eastAsia" w:ascii="Times New Roman" w:hAnsi="Times New Roman" w:eastAsia="仿宋_GB2312"/>
          <w:bCs/>
          <w:color w:val="auto"/>
          <w:sz w:val="30"/>
          <w:szCs w:val="30"/>
          <w:highlight w:val="none"/>
        </w:rPr>
        <w:t>社会</w:t>
      </w:r>
      <w:r>
        <w:rPr>
          <w:rFonts w:hint="eastAsia" w:ascii="Times New Roman" w:hAnsi="Times New Roman" w:eastAsia="仿宋_GB2312"/>
          <w:bCs/>
          <w:color w:val="auto"/>
          <w:sz w:val="30"/>
          <w:szCs w:val="30"/>
          <w:highlight w:val="none"/>
          <w:lang w:val="en-US"/>
        </w:rPr>
        <w:t>持续</w:t>
      </w:r>
      <w:r>
        <w:rPr>
          <w:rFonts w:hint="eastAsia" w:ascii="Times New Roman" w:hAnsi="Times New Roman" w:eastAsia="仿宋_GB2312"/>
          <w:bCs/>
          <w:color w:val="auto"/>
          <w:sz w:val="30"/>
          <w:szCs w:val="30"/>
          <w:highlight w:val="none"/>
        </w:rPr>
        <w:t>稳定、经济持续发展、民生</w:t>
      </w:r>
      <w:r>
        <w:rPr>
          <w:rFonts w:hint="eastAsia" w:ascii="Times New Roman" w:hAnsi="Times New Roman" w:eastAsia="仿宋_GB2312"/>
          <w:bCs/>
          <w:color w:val="auto"/>
          <w:sz w:val="30"/>
          <w:szCs w:val="30"/>
          <w:highlight w:val="none"/>
          <w:lang w:val="en-US"/>
        </w:rPr>
        <w:t>持续</w:t>
      </w:r>
      <w:r>
        <w:rPr>
          <w:rFonts w:hint="eastAsia" w:ascii="Times New Roman" w:hAnsi="Times New Roman" w:eastAsia="仿宋_GB2312"/>
          <w:bCs/>
          <w:color w:val="auto"/>
          <w:sz w:val="30"/>
          <w:szCs w:val="30"/>
          <w:highlight w:val="none"/>
        </w:rPr>
        <w:t>改善，民族团结、宗教和谐和党的建设明显加强。</w:t>
      </w:r>
    </w:p>
    <w:p>
      <w:pPr>
        <w:pStyle w:val="18"/>
        <w:keepNext w:val="0"/>
        <w:keepLines w:val="0"/>
        <w:shd w:val="clear"/>
        <w:spacing w:beforeLines="50" w:afterLines="50"/>
        <w:rPr>
          <w:rFonts w:hint="eastAsia" w:ascii="方正楷体简体" w:hAnsi="方正楷体简体" w:eastAsia="方正楷体简体" w:cs="方正楷体简体"/>
          <w:bCs/>
          <w:color w:val="auto"/>
          <w:kern w:val="2"/>
          <w:sz w:val="30"/>
          <w:szCs w:val="30"/>
          <w:highlight w:val="none"/>
          <w:lang w:val="en-US" w:eastAsia="zh-CN" w:bidi="ar-SA"/>
        </w:rPr>
      </w:pPr>
      <w:bookmarkStart w:id="4" w:name="_Toc14958"/>
      <w:bookmarkStart w:id="5" w:name="_Toc2253"/>
      <w:r>
        <w:rPr>
          <w:rFonts w:hint="eastAsia" w:ascii="方正楷体简体" w:hAnsi="方正楷体简体" w:eastAsia="方正楷体简体" w:cs="方正楷体简体"/>
          <w:bCs/>
          <w:color w:val="auto"/>
          <w:kern w:val="2"/>
          <w:sz w:val="30"/>
          <w:szCs w:val="30"/>
          <w:highlight w:val="none"/>
          <w:lang w:val="en-US" w:eastAsia="zh-CN" w:bidi="ar-SA"/>
        </w:rPr>
        <w:t>第一节 疫情防控取得阶段性成果</w:t>
      </w:r>
      <w:bookmarkEnd w:id="4"/>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zh-CN" w:eastAsia="zh-CN"/>
        </w:rPr>
        <w:t>全县各级党政、广大党员干部群众直面大疫、大战、大考，不惜一切代价，打赢了疫情防控阻击战、攻坚战、歼灭战。“三道门”“八项监测预警机制”常态化运行，“外</w:t>
      </w:r>
      <w:r>
        <w:rPr>
          <w:rFonts w:hint="eastAsia" w:eastAsia="仿宋_GB2312"/>
          <w:bCs/>
          <w:color w:val="auto"/>
          <w:sz w:val="30"/>
          <w:szCs w:val="30"/>
          <w:highlight w:val="none"/>
          <w:lang w:val="en-US" w:eastAsia="zh-CN"/>
        </w:rPr>
        <w:t>防</w:t>
      </w:r>
      <w:r>
        <w:rPr>
          <w:rFonts w:hint="eastAsia" w:ascii="Times New Roman" w:hAnsi="Times New Roman" w:eastAsia="仿宋_GB2312"/>
          <w:bCs/>
          <w:color w:val="auto"/>
          <w:sz w:val="30"/>
          <w:szCs w:val="30"/>
          <w:highlight w:val="none"/>
          <w:lang w:val="zh-CN" w:eastAsia="zh-CN"/>
        </w:rPr>
        <w:t>输入、内防反弹”的防线不断巩固。集中医学观察、居家医学观察规范有序。核酸日检测能力达到</w:t>
      </w:r>
      <w:r>
        <w:rPr>
          <w:rFonts w:hint="eastAsia" w:ascii="Times New Roman" w:hAnsi="Times New Roman" w:eastAsia="仿宋_GB2312"/>
          <w:bCs/>
          <w:color w:val="auto"/>
          <w:sz w:val="30"/>
          <w:szCs w:val="30"/>
          <w:highlight w:val="none"/>
          <w:lang w:val="en-US" w:eastAsia="zh-CN"/>
        </w:rPr>
        <w:t>35万人份，应对重大突发公共卫生事件的能力和水平不断提升。一系列民生保障、纾困惠企政策有效落实，累积发放困难救助1.1亿元、减税降费6858.1万元，贷款25.6亿元。</w:t>
      </w:r>
    </w:p>
    <w:p>
      <w:pPr>
        <w:pStyle w:val="18"/>
        <w:keepNext w:val="0"/>
        <w:keepLines w:val="0"/>
        <w:shd w:val="clear"/>
        <w:spacing w:beforeLines="50" w:afterLines="50"/>
        <w:rPr>
          <w:rFonts w:hint="eastAsia" w:ascii="Times New Roman" w:hAnsi="Times New Roman"/>
          <w:color w:val="auto"/>
        </w:rPr>
      </w:pPr>
      <w:bookmarkStart w:id="6" w:name="_Toc7591"/>
      <w:r>
        <w:rPr>
          <w:rFonts w:hint="eastAsia" w:ascii="Times New Roman" w:hAnsi="Times New Roman"/>
          <w:color w:val="auto"/>
          <w:lang w:eastAsia="zh-CN"/>
        </w:rPr>
        <w:t>第二节</w:t>
      </w:r>
      <w:r>
        <w:rPr>
          <w:rFonts w:hint="eastAsia" w:ascii="Times New Roman" w:hAnsi="Times New Roman"/>
          <w:color w:val="auto"/>
          <w:lang w:val="en-US" w:eastAsia="zh-CN"/>
        </w:rPr>
        <w:t xml:space="preserve"> </w:t>
      </w:r>
      <w:r>
        <w:rPr>
          <w:rFonts w:hint="eastAsia" w:ascii="Times New Roman" w:hAnsi="Times New Roman"/>
          <w:color w:val="auto"/>
        </w:rPr>
        <w:t>社会大局持续稳定</w:t>
      </w:r>
      <w:bookmarkEnd w:id="5"/>
      <w:bookmarkEnd w:id="6"/>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lang w:val="zh-CN"/>
        </w:rPr>
      </w:pPr>
      <w:r>
        <w:rPr>
          <w:rFonts w:hint="eastAsia" w:ascii="Times New Roman" w:hAnsi="Times New Roman" w:eastAsia="仿宋_GB2312"/>
          <w:bCs/>
          <w:color w:val="auto"/>
          <w:sz w:val="30"/>
          <w:szCs w:val="30"/>
          <w:highlight w:val="none"/>
          <w:lang w:val="zh-CN"/>
        </w:rPr>
        <w:t>坚持标本兼治、综合施策，持续打好“三场硬仗”“一场人民战争”、做到“三个联动”，各族群众的生存权和发展权得到切实保障。扫黑除恶专项斗争成果明显。“六位一体”联防联控机制和“两站三警”“三线四网”防控体系、兵力部署不断优化。“重点保城区、抓好结合部、看好重点乡”的战略布局全面推进，“两必谈一审批”“三确</w:t>
      </w:r>
      <w:r>
        <w:rPr>
          <w:rFonts w:hint="eastAsia" w:eastAsia="仿宋_GB2312"/>
          <w:bCs/>
          <w:color w:val="auto"/>
          <w:sz w:val="30"/>
          <w:szCs w:val="30"/>
          <w:highlight w:val="none"/>
          <w:lang w:val="en-US" w:eastAsia="zh-CN"/>
        </w:rPr>
        <w:t>保</w:t>
      </w:r>
      <w:r>
        <w:rPr>
          <w:rFonts w:hint="eastAsia" w:ascii="Times New Roman" w:hAnsi="Times New Roman" w:eastAsia="仿宋_GB2312"/>
          <w:bCs/>
          <w:color w:val="auto"/>
          <w:sz w:val="30"/>
          <w:szCs w:val="30"/>
          <w:highlight w:val="none"/>
          <w:lang w:val="zh-CN"/>
        </w:rPr>
        <w:t>”和“单位化”管理等制度管用有效，社会治理体系和治理能力大幅提升。“七五”普法扎实开展，平安创建、信访等工作成效显著，安定团结的社会局面持续巩固、不断向好，稳定红利持续释放，实现了多年来群众对平安稳定的期盼。</w:t>
      </w:r>
    </w:p>
    <w:p>
      <w:pPr>
        <w:pStyle w:val="18"/>
        <w:keepNext w:val="0"/>
        <w:keepLines w:val="0"/>
        <w:shd w:val="clear"/>
        <w:spacing w:beforeLines="50" w:afterLines="50"/>
        <w:rPr>
          <w:rFonts w:hint="eastAsia" w:ascii="楷体" w:hAnsi="楷体" w:eastAsia="楷体" w:cs="楷体"/>
          <w:b/>
          <w:bCs/>
          <w:color w:val="auto"/>
          <w:kern w:val="2"/>
          <w:sz w:val="30"/>
          <w:szCs w:val="30"/>
          <w:highlight w:val="none"/>
          <w:lang w:val="en-US" w:eastAsia="zh-CN" w:bidi="ar-SA"/>
        </w:rPr>
      </w:pPr>
      <w:bookmarkStart w:id="7" w:name="_Toc1697"/>
      <w:bookmarkStart w:id="8" w:name="_Toc20625"/>
      <w:r>
        <w:rPr>
          <w:rFonts w:hint="eastAsia" w:ascii="楷体" w:hAnsi="楷体" w:eastAsia="楷体" w:cs="楷体"/>
          <w:b/>
          <w:bCs/>
          <w:color w:val="auto"/>
          <w:kern w:val="2"/>
          <w:sz w:val="30"/>
          <w:szCs w:val="30"/>
          <w:highlight w:val="none"/>
          <w:lang w:val="zh-CN" w:eastAsia="zh-CN" w:bidi="ar-SA"/>
        </w:rPr>
        <w:t xml:space="preserve">第三节 </w:t>
      </w:r>
      <w:bookmarkEnd w:id="7"/>
      <w:r>
        <w:rPr>
          <w:rFonts w:hint="eastAsia" w:ascii="楷体" w:hAnsi="楷体" w:eastAsia="楷体" w:cs="楷体"/>
          <w:b/>
          <w:bCs/>
          <w:color w:val="auto"/>
          <w:kern w:val="2"/>
          <w:sz w:val="30"/>
          <w:szCs w:val="30"/>
          <w:highlight w:val="none"/>
          <w:lang w:val="en-US" w:eastAsia="zh-CN" w:bidi="ar-SA"/>
        </w:rPr>
        <w:t>脱贫攻坚任务如期完成</w:t>
      </w:r>
      <w:bookmarkEnd w:id="8"/>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en-US" w:eastAsia="zh-CN"/>
        </w:rPr>
        <w:t>“十三五”时期，叶城县严格落实中央“六个精准”“五个一批”，自治区党委“七个一批”“三个加大力度”和地委“十二大工程”“三项保障措施”和“4321”脱贫帮扶机制，紧盯“两不愁、三保障、一超过、一接近”目标，切实补齐产业、就业、社会扶贫“三大短板”，全县所有行政村通水、通电、通路、通网、通广播电视，基础设施条件明显改善。全县整体脱贫摘帽，绝对贫困问题得到历史性解决。185个贫困村退出，3</w:t>
      </w:r>
      <w:r>
        <w:rPr>
          <w:rFonts w:hint="eastAsia" w:eastAsia="仿宋_GB2312"/>
          <w:bCs/>
          <w:color w:val="auto"/>
          <w:sz w:val="30"/>
          <w:szCs w:val="30"/>
          <w:highlight w:val="none"/>
          <w:lang w:val="en-US" w:eastAsia="zh-CN"/>
        </w:rPr>
        <w:t>.6万</w:t>
      </w:r>
      <w:r>
        <w:rPr>
          <w:rFonts w:hint="eastAsia" w:ascii="Times New Roman" w:hAnsi="Times New Roman" w:eastAsia="仿宋_GB2312"/>
          <w:bCs/>
          <w:color w:val="auto"/>
          <w:sz w:val="30"/>
          <w:szCs w:val="30"/>
          <w:highlight w:val="none"/>
          <w:lang w:val="en-US" w:eastAsia="zh-CN"/>
        </w:rPr>
        <w:t>户15</w:t>
      </w:r>
      <w:r>
        <w:rPr>
          <w:rFonts w:hint="eastAsia" w:eastAsia="仿宋_GB2312"/>
          <w:bCs/>
          <w:color w:val="auto"/>
          <w:sz w:val="30"/>
          <w:szCs w:val="30"/>
          <w:highlight w:val="none"/>
          <w:lang w:val="en-US" w:eastAsia="zh-CN"/>
        </w:rPr>
        <w:t>.8万</w:t>
      </w:r>
      <w:r>
        <w:rPr>
          <w:rFonts w:hint="eastAsia" w:ascii="Times New Roman" w:hAnsi="Times New Roman" w:eastAsia="仿宋_GB2312"/>
          <w:bCs/>
          <w:color w:val="auto"/>
          <w:sz w:val="30"/>
          <w:szCs w:val="30"/>
          <w:highlight w:val="none"/>
          <w:lang w:val="en-US" w:eastAsia="zh-CN"/>
        </w:rPr>
        <w:t>贫困人口</w:t>
      </w:r>
      <w:r>
        <w:rPr>
          <w:rFonts w:hint="eastAsia" w:eastAsia="仿宋_GB2312"/>
          <w:bCs/>
          <w:color w:val="auto"/>
          <w:sz w:val="30"/>
          <w:szCs w:val="30"/>
          <w:highlight w:val="none"/>
          <w:lang w:val="en-US" w:eastAsia="zh-CN"/>
        </w:rPr>
        <w:t>全部</w:t>
      </w:r>
      <w:r>
        <w:rPr>
          <w:rFonts w:hint="eastAsia" w:ascii="Times New Roman" w:hAnsi="Times New Roman" w:eastAsia="仿宋_GB2312"/>
          <w:bCs/>
          <w:color w:val="auto"/>
          <w:sz w:val="30"/>
          <w:szCs w:val="30"/>
          <w:highlight w:val="none"/>
          <w:lang w:val="en-US" w:eastAsia="zh-CN"/>
        </w:rPr>
        <w:t>脱贫，实现“三率”清零。“两不愁”质量水平明显提升，“三保障”突出问题彻底消除，贫困村全部实现“五通七有”，贫困群众生产生活条件得到极大改善，为全面推进乡村振兴奠定了坚实基础、提供了宝贵经验。产业扶贫与贫困群众利益联结更加紧密，群众持续增收能力不断增强。就业扶贫成效显著，3</w:t>
      </w:r>
      <w:r>
        <w:rPr>
          <w:rFonts w:hint="eastAsia" w:eastAsia="仿宋_GB2312"/>
          <w:bCs/>
          <w:color w:val="auto"/>
          <w:sz w:val="30"/>
          <w:szCs w:val="30"/>
          <w:highlight w:val="none"/>
          <w:lang w:val="en-US" w:eastAsia="zh-CN"/>
        </w:rPr>
        <w:t>.6万</w:t>
      </w:r>
      <w:r>
        <w:rPr>
          <w:rFonts w:hint="eastAsia" w:ascii="Times New Roman" w:hAnsi="Times New Roman" w:eastAsia="仿宋_GB2312"/>
          <w:bCs/>
          <w:color w:val="auto"/>
          <w:sz w:val="30"/>
          <w:szCs w:val="30"/>
          <w:highlight w:val="none"/>
          <w:lang w:val="en-US" w:eastAsia="zh-CN"/>
        </w:rPr>
        <w:t>户7</w:t>
      </w:r>
      <w:r>
        <w:rPr>
          <w:rFonts w:hint="eastAsia" w:eastAsia="仿宋_GB2312"/>
          <w:bCs/>
          <w:color w:val="auto"/>
          <w:sz w:val="30"/>
          <w:szCs w:val="30"/>
          <w:highlight w:val="none"/>
          <w:lang w:val="en-US" w:eastAsia="zh-CN"/>
        </w:rPr>
        <w:t>.3万</w:t>
      </w:r>
      <w:r>
        <w:rPr>
          <w:rFonts w:hint="eastAsia" w:ascii="Times New Roman" w:hAnsi="Times New Roman" w:eastAsia="仿宋_GB2312"/>
          <w:bCs/>
          <w:color w:val="auto"/>
          <w:sz w:val="30"/>
          <w:szCs w:val="30"/>
          <w:highlight w:val="none"/>
          <w:lang w:val="en-US" w:eastAsia="zh-CN"/>
        </w:rPr>
        <w:t>人实现稳定就业。三年攻坚期内累积投入59.7亿元，实施扶贫项目515个。“十三五”期间</w:t>
      </w:r>
      <w:r>
        <w:rPr>
          <w:rFonts w:hint="eastAsia" w:eastAsia="仿宋_GB2312"/>
          <w:bCs/>
          <w:color w:val="auto"/>
          <w:sz w:val="30"/>
          <w:szCs w:val="30"/>
          <w:highlight w:val="none"/>
          <w:lang w:val="en-US" w:eastAsia="zh-CN"/>
        </w:rPr>
        <w:t>，</w:t>
      </w:r>
      <w:r>
        <w:rPr>
          <w:rFonts w:hint="eastAsia" w:ascii="Times New Roman" w:hAnsi="Times New Roman" w:eastAsia="仿宋_GB2312"/>
          <w:bCs/>
          <w:color w:val="auto"/>
          <w:sz w:val="30"/>
          <w:szCs w:val="30"/>
          <w:highlight w:val="none"/>
          <w:lang w:val="en-US" w:eastAsia="zh-CN"/>
        </w:rPr>
        <w:t>建成易地扶贫搬迁集中安置区（点）15个，</w:t>
      </w:r>
      <w:r>
        <w:rPr>
          <w:rFonts w:hint="eastAsia" w:eastAsia="仿宋_GB2312"/>
          <w:bCs/>
          <w:color w:val="auto"/>
          <w:sz w:val="30"/>
          <w:szCs w:val="30"/>
          <w:highlight w:val="none"/>
          <w:lang w:val="en-US" w:eastAsia="zh-CN"/>
        </w:rPr>
        <w:t>6750</w:t>
      </w:r>
      <w:r>
        <w:rPr>
          <w:rFonts w:hint="eastAsia" w:ascii="Times New Roman" w:hAnsi="Times New Roman" w:eastAsia="仿宋_GB2312"/>
          <w:bCs/>
          <w:color w:val="auto"/>
          <w:sz w:val="30"/>
          <w:szCs w:val="30"/>
          <w:highlight w:val="none"/>
          <w:lang w:val="en-US" w:eastAsia="zh-CN"/>
        </w:rPr>
        <w:t>户2</w:t>
      </w:r>
      <w:r>
        <w:rPr>
          <w:rFonts w:hint="eastAsia" w:eastAsia="仿宋_GB2312"/>
          <w:bCs/>
          <w:color w:val="auto"/>
          <w:sz w:val="30"/>
          <w:szCs w:val="30"/>
          <w:highlight w:val="none"/>
          <w:lang w:val="en-US" w:eastAsia="zh-CN"/>
        </w:rPr>
        <w:t>.96万</w:t>
      </w:r>
      <w:r>
        <w:rPr>
          <w:rFonts w:hint="eastAsia" w:ascii="Times New Roman" w:hAnsi="Times New Roman" w:eastAsia="仿宋_GB2312"/>
          <w:bCs/>
          <w:color w:val="auto"/>
          <w:sz w:val="30"/>
          <w:szCs w:val="30"/>
          <w:highlight w:val="none"/>
          <w:lang w:val="en-US" w:eastAsia="zh-CN"/>
        </w:rPr>
        <w:t>人易地</w:t>
      </w:r>
      <w:r>
        <w:rPr>
          <w:rFonts w:hint="eastAsia" w:eastAsia="仿宋_GB2312"/>
          <w:bCs/>
          <w:color w:val="auto"/>
          <w:sz w:val="30"/>
          <w:szCs w:val="30"/>
          <w:highlight w:val="none"/>
          <w:lang w:val="en-US" w:eastAsia="zh-CN"/>
        </w:rPr>
        <w:t>扶贫</w:t>
      </w:r>
      <w:r>
        <w:rPr>
          <w:rFonts w:hint="eastAsia" w:ascii="Times New Roman" w:hAnsi="Times New Roman" w:eastAsia="仿宋_GB2312"/>
          <w:bCs/>
          <w:color w:val="auto"/>
          <w:sz w:val="30"/>
          <w:szCs w:val="30"/>
          <w:highlight w:val="none"/>
          <w:lang w:val="en-US" w:eastAsia="zh-CN"/>
        </w:rPr>
        <w:t>搬迁任务全面完成，荣获全国“2019年民生示范工程奖”，被评为“全国易地扶贫搬迁成效明显县”。</w:t>
      </w:r>
    </w:p>
    <w:p>
      <w:pPr>
        <w:pStyle w:val="18"/>
        <w:keepNext w:val="0"/>
        <w:keepLines w:val="0"/>
        <w:shd w:val="clear"/>
        <w:spacing w:beforeLines="50" w:afterLines="50"/>
        <w:rPr>
          <w:rFonts w:hint="eastAsia" w:ascii="Times New Roman" w:hAnsi="Times New Roman"/>
          <w:color w:val="auto"/>
          <w:lang w:val="en-US" w:eastAsia="zh-CN"/>
        </w:rPr>
      </w:pPr>
      <w:bookmarkStart w:id="9" w:name="_Toc1797"/>
      <w:bookmarkStart w:id="10" w:name="_Toc8329"/>
      <w:r>
        <w:rPr>
          <w:rFonts w:hint="eastAsia" w:ascii="Times New Roman" w:hAnsi="Times New Roman"/>
          <w:color w:val="auto"/>
        </w:rPr>
        <w:t>第</w:t>
      </w:r>
      <w:r>
        <w:rPr>
          <w:rFonts w:hint="eastAsia" w:ascii="Times New Roman" w:hAnsi="Times New Roman"/>
          <w:color w:val="auto"/>
          <w:lang w:eastAsia="zh-CN"/>
        </w:rPr>
        <w:t>四</w:t>
      </w:r>
      <w:r>
        <w:rPr>
          <w:rFonts w:hint="eastAsia" w:ascii="Times New Roman" w:hAnsi="Times New Roman"/>
          <w:color w:val="auto"/>
        </w:rPr>
        <w:t xml:space="preserve">节 </w:t>
      </w:r>
      <w:r>
        <w:rPr>
          <w:rFonts w:hint="eastAsia" w:ascii="Times New Roman" w:hAnsi="Times New Roman"/>
          <w:color w:val="auto"/>
          <w:lang w:eastAsia="zh-CN"/>
        </w:rPr>
        <w:t>经济发展健康平稳</w:t>
      </w:r>
      <w:bookmarkEnd w:id="9"/>
      <w:bookmarkEnd w:id="10"/>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lang w:val="en-US" w:eastAsia="zh-CN"/>
        </w:rPr>
      </w:pPr>
      <w:r>
        <w:rPr>
          <w:rFonts w:hint="eastAsia" w:eastAsia="仿宋_GB2312"/>
          <w:bCs/>
          <w:color w:val="auto"/>
          <w:sz w:val="30"/>
          <w:szCs w:val="30"/>
          <w:highlight w:val="none"/>
          <w:lang w:val="en-US" w:eastAsia="zh-CN"/>
        </w:rPr>
        <w:t>坚定不移推动经济高质量发展，大力实施乡村振兴战略，充分释放稳定红利，全县经济平稳健康发展，经济规模持续扩大，质量效益稳步提升。</w:t>
      </w:r>
      <w:r>
        <w:rPr>
          <w:rFonts w:hint="eastAsia" w:ascii="Times New Roman" w:hAnsi="Times New Roman" w:eastAsia="仿宋_GB2312"/>
          <w:bCs/>
          <w:color w:val="auto"/>
          <w:sz w:val="30"/>
          <w:szCs w:val="30"/>
          <w:highlight w:val="none"/>
          <w:lang w:val="zh-CN" w:eastAsia="zh-CN"/>
        </w:rPr>
        <w:t>“十三五”</w:t>
      </w:r>
      <w:r>
        <w:rPr>
          <w:rFonts w:hint="eastAsia" w:ascii="Times New Roman" w:hAnsi="Times New Roman" w:eastAsia="仿宋_GB2312"/>
          <w:bCs/>
          <w:color w:val="auto"/>
          <w:sz w:val="30"/>
          <w:szCs w:val="30"/>
          <w:highlight w:val="none"/>
          <w:lang w:val="en-US" w:eastAsia="zh-CN"/>
        </w:rPr>
        <w:t>时期，全县</w:t>
      </w:r>
      <w:r>
        <w:rPr>
          <w:rFonts w:hint="eastAsia" w:ascii="Times New Roman" w:hAnsi="Times New Roman" w:eastAsia="仿宋_GB2312"/>
          <w:bCs/>
          <w:color w:val="auto"/>
          <w:sz w:val="30"/>
          <w:szCs w:val="30"/>
          <w:highlight w:val="none"/>
          <w:lang w:val="zh-CN" w:eastAsia="zh-CN"/>
        </w:rPr>
        <w:t>累计实现地方生产总值47</w:t>
      </w:r>
      <w:r>
        <w:rPr>
          <w:rFonts w:hint="eastAsia" w:ascii="Times New Roman" w:hAnsi="Times New Roman" w:eastAsia="仿宋_GB2312"/>
          <w:bCs/>
          <w:color w:val="auto"/>
          <w:sz w:val="30"/>
          <w:szCs w:val="30"/>
          <w:highlight w:val="none"/>
          <w:lang w:val="en-US" w:eastAsia="zh-CN"/>
        </w:rPr>
        <w:t>2</w:t>
      </w:r>
      <w:r>
        <w:rPr>
          <w:rFonts w:hint="eastAsia" w:ascii="Times New Roman" w:hAnsi="Times New Roman" w:eastAsia="仿宋_GB2312"/>
          <w:bCs/>
          <w:color w:val="auto"/>
          <w:sz w:val="30"/>
          <w:szCs w:val="30"/>
          <w:highlight w:val="none"/>
          <w:lang w:val="zh-CN" w:eastAsia="zh-CN"/>
        </w:rPr>
        <w:t>亿元，年均增长5.6%；</w:t>
      </w:r>
      <w:r>
        <w:rPr>
          <w:rFonts w:hint="eastAsia" w:eastAsia="仿宋_GB2312"/>
          <w:bCs/>
          <w:color w:val="auto"/>
          <w:sz w:val="30"/>
          <w:szCs w:val="30"/>
          <w:highlight w:val="none"/>
          <w:lang w:val="zh-CN" w:eastAsia="zh-CN"/>
        </w:rPr>
        <w:t>一般</w:t>
      </w:r>
      <w:r>
        <w:rPr>
          <w:rFonts w:hint="eastAsia" w:ascii="Times New Roman" w:hAnsi="Times New Roman" w:eastAsia="仿宋_GB2312"/>
          <w:bCs/>
          <w:color w:val="auto"/>
          <w:sz w:val="30"/>
          <w:szCs w:val="30"/>
          <w:highlight w:val="none"/>
          <w:lang w:val="zh-CN" w:eastAsia="zh-CN"/>
        </w:rPr>
        <w:t>公共财政预算收入</w:t>
      </w:r>
      <w:r>
        <w:rPr>
          <w:rFonts w:hint="eastAsia" w:eastAsia="仿宋_GB2312"/>
          <w:bCs/>
          <w:color w:val="auto"/>
          <w:sz w:val="30"/>
          <w:szCs w:val="30"/>
          <w:highlight w:val="none"/>
          <w:lang w:val="zh-CN" w:eastAsia="zh-CN"/>
        </w:rPr>
        <w:t>达到</w:t>
      </w:r>
      <w:r>
        <w:rPr>
          <w:rFonts w:hint="eastAsia" w:eastAsia="仿宋_GB2312"/>
          <w:bCs/>
          <w:color w:val="auto"/>
          <w:sz w:val="30"/>
          <w:szCs w:val="30"/>
          <w:highlight w:val="none"/>
          <w:lang w:val="en-US" w:eastAsia="zh-CN"/>
        </w:rPr>
        <w:t>5.5</w:t>
      </w:r>
      <w:r>
        <w:rPr>
          <w:rFonts w:hint="eastAsia" w:ascii="Times New Roman" w:hAnsi="Times New Roman" w:eastAsia="仿宋_GB2312"/>
          <w:bCs/>
          <w:color w:val="auto"/>
          <w:sz w:val="30"/>
          <w:szCs w:val="30"/>
          <w:highlight w:val="none"/>
          <w:lang w:val="zh-CN" w:eastAsia="zh-CN"/>
        </w:rPr>
        <w:t>亿元，年均增长</w:t>
      </w:r>
      <w:r>
        <w:rPr>
          <w:rFonts w:hint="eastAsia" w:eastAsia="仿宋_GB2312"/>
          <w:bCs/>
          <w:color w:val="auto"/>
          <w:sz w:val="30"/>
          <w:szCs w:val="30"/>
          <w:highlight w:val="none"/>
          <w:lang w:val="en-US" w:eastAsia="zh-CN"/>
        </w:rPr>
        <w:t>8.32</w:t>
      </w:r>
      <w:r>
        <w:rPr>
          <w:rFonts w:hint="eastAsia" w:ascii="Times New Roman" w:hAnsi="Times New Roman" w:eastAsia="仿宋_GB2312"/>
          <w:bCs/>
          <w:color w:val="auto"/>
          <w:sz w:val="30"/>
          <w:szCs w:val="30"/>
          <w:highlight w:val="none"/>
          <w:lang w:val="zh-CN" w:eastAsia="zh-CN"/>
        </w:rPr>
        <w:t>%；</w:t>
      </w:r>
      <w:r>
        <w:rPr>
          <w:rFonts w:hint="eastAsia" w:ascii="Times New Roman" w:hAnsi="Times New Roman" w:eastAsia="仿宋_GB2312"/>
          <w:bCs/>
          <w:color w:val="auto"/>
          <w:sz w:val="30"/>
          <w:szCs w:val="30"/>
          <w:highlight w:val="none"/>
          <w:lang w:val="en-US" w:eastAsia="zh-CN"/>
        </w:rPr>
        <w:t>固</w:t>
      </w:r>
      <w:r>
        <w:rPr>
          <w:rFonts w:hint="eastAsia" w:ascii="Times New Roman" w:hAnsi="Times New Roman" w:eastAsia="仿宋_GB2312"/>
          <w:bCs/>
          <w:color w:val="auto"/>
          <w:sz w:val="30"/>
          <w:szCs w:val="30"/>
          <w:highlight w:val="none"/>
          <w:lang w:val="en-US"/>
        </w:rPr>
        <w:t>定资产投资亿元以上项目118项，</w:t>
      </w:r>
      <w:r>
        <w:rPr>
          <w:rFonts w:hint="eastAsia" w:eastAsia="仿宋_GB2312"/>
          <w:bCs/>
          <w:color w:val="auto"/>
          <w:sz w:val="30"/>
          <w:szCs w:val="30"/>
          <w:highlight w:val="none"/>
          <w:lang w:val="en-US" w:eastAsia="zh-CN"/>
        </w:rPr>
        <w:t>累计</w:t>
      </w:r>
      <w:r>
        <w:rPr>
          <w:rFonts w:hint="eastAsia" w:ascii="Times New Roman" w:hAnsi="Times New Roman" w:eastAsia="仿宋_GB2312"/>
          <w:bCs/>
          <w:color w:val="auto"/>
          <w:sz w:val="30"/>
          <w:szCs w:val="30"/>
          <w:highlight w:val="none"/>
        </w:rPr>
        <w:t>完</w:t>
      </w:r>
      <w:r>
        <w:rPr>
          <w:rFonts w:hint="eastAsia" w:eastAsia="仿宋_GB2312"/>
          <w:bCs/>
          <w:color w:val="auto"/>
          <w:sz w:val="30"/>
          <w:szCs w:val="30"/>
          <w:highlight w:val="none"/>
          <w:lang w:bidi="zh-CN"/>
        </w:rPr>
        <w:t>成</w:t>
      </w:r>
      <w:r>
        <w:rPr>
          <w:rFonts w:hint="eastAsia" w:eastAsia="仿宋_GB2312"/>
          <w:bCs/>
          <w:color w:val="auto"/>
          <w:sz w:val="30"/>
          <w:szCs w:val="30"/>
          <w:highlight w:val="none"/>
          <w:lang w:val="zh-CN" w:bidi="zh-CN"/>
        </w:rPr>
        <w:t>全社会固定资产投资312.8亿元，</w:t>
      </w:r>
      <w:r>
        <w:rPr>
          <w:rFonts w:hint="eastAsia" w:eastAsia="仿宋_GB2312"/>
          <w:bCs/>
          <w:color w:val="auto"/>
          <w:sz w:val="30"/>
          <w:szCs w:val="30"/>
          <w:highlight w:val="none"/>
          <w:lang w:val="en-US" w:bidi="zh-CN"/>
        </w:rPr>
        <w:t>投资量持续提升</w:t>
      </w:r>
      <w:r>
        <w:rPr>
          <w:rFonts w:hint="eastAsia" w:eastAsia="仿宋_GB2312"/>
          <w:bCs/>
          <w:color w:val="auto"/>
          <w:sz w:val="30"/>
          <w:szCs w:val="30"/>
          <w:highlight w:val="none"/>
          <w:lang w:val="zh-CN" w:bidi="zh-CN"/>
        </w:rPr>
        <w:t>；社会消费品零售总额88.2亿元，年均增长7.3%，</w:t>
      </w:r>
      <w:r>
        <w:rPr>
          <w:rFonts w:hint="eastAsia" w:eastAsia="仿宋_GB2312"/>
          <w:bCs/>
          <w:color w:val="auto"/>
          <w:sz w:val="30"/>
          <w:szCs w:val="30"/>
          <w:highlight w:val="none"/>
          <w:lang w:val="en-US" w:bidi="zh-CN"/>
        </w:rPr>
        <w:t>消费拉动持续增强</w:t>
      </w:r>
      <w:r>
        <w:rPr>
          <w:rFonts w:hint="eastAsia" w:eastAsia="仿宋_GB2312"/>
          <w:bCs/>
          <w:color w:val="auto"/>
          <w:sz w:val="30"/>
          <w:szCs w:val="30"/>
          <w:highlight w:val="none"/>
          <w:lang w:val="zh-CN" w:bidi="zh-CN"/>
        </w:rPr>
        <w:t>；</w:t>
      </w:r>
      <w:r>
        <w:rPr>
          <w:rFonts w:hint="eastAsia" w:eastAsia="仿宋_GB2312"/>
          <w:bCs/>
          <w:color w:val="auto"/>
          <w:sz w:val="30"/>
          <w:szCs w:val="30"/>
          <w:highlight w:val="none"/>
          <w:lang w:bidi="zh-CN"/>
        </w:rPr>
        <w:t>实现</w:t>
      </w:r>
      <w:r>
        <w:rPr>
          <w:rFonts w:hint="eastAsia" w:eastAsia="仿宋_GB2312"/>
          <w:bCs/>
          <w:color w:val="auto"/>
          <w:sz w:val="30"/>
          <w:szCs w:val="30"/>
          <w:highlight w:val="none"/>
          <w:lang w:val="zh-CN" w:bidi="zh-CN"/>
        </w:rPr>
        <w:t>外贸进出口总额0.1</w:t>
      </w:r>
      <w:r>
        <w:rPr>
          <w:rFonts w:hint="eastAsia" w:eastAsia="仿宋_GB2312"/>
          <w:bCs/>
          <w:color w:val="auto"/>
          <w:sz w:val="30"/>
          <w:szCs w:val="30"/>
          <w:highlight w:val="none"/>
          <w:lang w:val="en-US" w:bidi="zh-CN"/>
        </w:rPr>
        <w:t>6</w:t>
      </w:r>
      <w:r>
        <w:rPr>
          <w:rFonts w:hint="eastAsia" w:eastAsia="仿宋_GB2312"/>
          <w:bCs/>
          <w:color w:val="auto"/>
          <w:sz w:val="30"/>
          <w:szCs w:val="30"/>
          <w:highlight w:val="none"/>
          <w:lang w:val="zh-CN" w:bidi="zh-CN"/>
        </w:rPr>
        <w:t>亿美元。</w:t>
      </w:r>
      <w:r>
        <w:rPr>
          <w:rFonts w:hint="eastAsia" w:ascii="Times New Roman" w:hAnsi="Times New Roman" w:eastAsia="仿宋_GB2312"/>
          <w:bCs/>
          <w:color w:val="auto"/>
          <w:sz w:val="30"/>
          <w:szCs w:val="30"/>
          <w:highlight w:val="none"/>
          <w:lang w:val="en-US" w:eastAsia="zh-CN"/>
        </w:rPr>
        <w:t>城镇居民人均可支配收入由</w:t>
      </w:r>
      <w:r>
        <w:rPr>
          <w:rFonts w:hint="eastAsia" w:eastAsia="仿宋_GB2312"/>
          <w:bCs/>
          <w:color w:val="auto"/>
          <w:sz w:val="30"/>
          <w:szCs w:val="30"/>
          <w:highlight w:val="none"/>
          <w:lang w:val="en-US" w:eastAsia="zh-CN"/>
        </w:rPr>
        <w:t>2.01万</w:t>
      </w:r>
      <w:r>
        <w:rPr>
          <w:rFonts w:hint="eastAsia" w:ascii="Times New Roman" w:hAnsi="Times New Roman" w:eastAsia="仿宋_GB2312"/>
          <w:bCs/>
          <w:color w:val="auto"/>
          <w:sz w:val="30"/>
          <w:szCs w:val="30"/>
          <w:highlight w:val="none"/>
          <w:lang w:val="en-US" w:eastAsia="zh-CN"/>
        </w:rPr>
        <w:t>元增长到</w:t>
      </w:r>
      <w:r>
        <w:rPr>
          <w:rFonts w:hint="eastAsia" w:eastAsia="仿宋_GB2312"/>
          <w:bCs/>
          <w:color w:val="auto"/>
          <w:sz w:val="30"/>
          <w:szCs w:val="30"/>
          <w:highlight w:val="none"/>
          <w:lang w:val="en-US" w:eastAsia="zh-CN"/>
        </w:rPr>
        <w:t>2.6万</w:t>
      </w:r>
      <w:r>
        <w:rPr>
          <w:rFonts w:hint="eastAsia" w:ascii="Times New Roman" w:hAnsi="Times New Roman" w:eastAsia="仿宋_GB2312"/>
          <w:bCs/>
          <w:color w:val="auto"/>
          <w:sz w:val="30"/>
          <w:szCs w:val="30"/>
          <w:highlight w:val="none"/>
          <w:lang w:val="en-US" w:eastAsia="zh-CN"/>
        </w:rPr>
        <w:t>元，年均增长</w:t>
      </w:r>
      <w:r>
        <w:rPr>
          <w:rFonts w:hint="eastAsia" w:eastAsia="仿宋_GB2312"/>
          <w:bCs/>
          <w:color w:val="auto"/>
          <w:sz w:val="30"/>
          <w:szCs w:val="30"/>
          <w:highlight w:val="none"/>
          <w:lang w:val="en-US" w:eastAsia="zh-CN"/>
        </w:rPr>
        <w:t>5.4</w:t>
      </w:r>
      <w:r>
        <w:rPr>
          <w:rFonts w:hint="eastAsia" w:ascii="Times New Roman" w:hAnsi="Times New Roman" w:eastAsia="仿宋_GB2312"/>
          <w:bCs/>
          <w:color w:val="auto"/>
          <w:sz w:val="30"/>
          <w:szCs w:val="30"/>
          <w:highlight w:val="none"/>
          <w:lang w:val="en-US" w:eastAsia="zh-CN"/>
        </w:rPr>
        <w:t>%；农牧民人均纯收入由8025元增长到9</w:t>
      </w:r>
      <w:r>
        <w:rPr>
          <w:rFonts w:hint="eastAsia" w:eastAsia="仿宋_GB2312"/>
          <w:bCs/>
          <w:color w:val="auto"/>
          <w:sz w:val="30"/>
          <w:szCs w:val="30"/>
          <w:highlight w:val="none"/>
          <w:lang w:val="en-US" w:eastAsia="zh-CN"/>
        </w:rPr>
        <w:t>686</w:t>
      </w:r>
      <w:r>
        <w:rPr>
          <w:rFonts w:hint="eastAsia" w:ascii="Times New Roman" w:hAnsi="Times New Roman" w:eastAsia="仿宋_GB2312"/>
          <w:bCs/>
          <w:color w:val="auto"/>
          <w:sz w:val="30"/>
          <w:szCs w:val="30"/>
          <w:highlight w:val="none"/>
          <w:lang w:val="en-US" w:eastAsia="zh-CN"/>
        </w:rPr>
        <w:t>元，年均增长</w:t>
      </w:r>
      <w:r>
        <w:rPr>
          <w:rFonts w:hint="eastAsia" w:eastAsia="仿宋_GB2312"/>
          <w:bCs/>
          <w:color w:val="auto"/>
          <w:sz w:val="30"/>
          <w:szCs w:val="30"/>
          <w:highlight w:val="none"/>
          <w:lang w:val="en-US" w:eastAsia="zh-CN"/>
        </w:rPr>
        <w:t>7.2</w:t>
      </w:r>
      <w:r>
        <w:rPr>
          <w:rFonts w:hint="eastAsia" w:ascii="Times New Roman" w:hAnsi="Times New Roman" w:eastAsia="仿宋_GB2312"/>
          <w:bCs/>
          <w:color w:val="auto"/>
          <w:sz w:val="30"/>
          <w:szCs w:val="30"/>
          <w:highlight w:val="none"/>
          <w:lang w:val="en-US" w:eastAsia="zh-CN"/>
        </w:rPr>
        <w:t>%。</w:t>
      </w:r>
    </w:p>
    <w:p>
      <w:pPr>
        <w:pStyle w:val="18"/>
        <w:keepNext w:val="0"/>
        <w:keepLines w:val="0"/>
        <w:pageBreakBefore w:val="0"/>
        <w:widowControl w:val="0"/>
        <w:shd w:val="clear"/>
        <w:kinsoku/>
        <w:wordWrap/>
        <w:overflowPunct/>
        <w:topLinePunct w:val="0"/>
        <w:autoSpaceDE/>
        <w:autoSpaceDN/>
        <w:bidi w:val="0"/>
        <w:adjustRightInd/>
        <w:snapToGrid/>
        <w:spacing w:beforeLines="50" w:afterLines="50" w:line="560" w:lineRule="exact"/>
        <w:ind w:firstLine="602" w:firstLineChars="200"/>
        <w:textAlignment w:val="auto"/>
        <w:rPr>
          <w:rFonts w:hint="default" w:ascii="Times New Roman" w:hAnsi="Times New Roman" w:eastAsia="仿宋_GB2312"/>
          <w:bCs/>
          <w:color w:val="auto"/>
          <w:sz w:val="30"/>
          <w:szCs w:val="30"/>
          <w:highlight w:val="none"/>
          <w:lang w:val="en-US" w:eastAsia="zh-CN"/>
        </w:rPr>
      </w:pPr>
      <w:bookmarkStart w:id="11" w:name="_Toc1857"/>
      <w:r>
        <w:rPr>
          <w:rFonts w:hint="eastAsia" w:ascii="Times New Roman" w:hAnsi="Times New Roman"/>
          <w:color w:val="auto"/>
        </w:rPr>
        <w:t>第</w:t>
      </w:r>
      <w:r>
        <w:rPr>
          <w:rFonts w:hint="eastAsia" w:ascii="Times New Roman" w:hAnsi="Times New Roman"/>
          <w:color w:val="auto"/>
          <w:lang w:val="en-US" w:eastAsia="zh-CN"/>
        </w:rPr>
        <w:t>五</w:t>
      </w:r>
      <w:r>
        <w:rPr>
          <w:rFonts w:hint="eastAsia" w:ascii="Times New Roman" w:hAnsi="Times New Roman"/>
          <w:color w:val="auto"/>
        </w:rPr>
        <w:t xml:space="preserve">节 </w:t>
      </w:r>
      <w:r>
        <w:rPr>
          <w:rFonts w:hint="eastAsia" w:ascii="Times New Roman" w:hAnsi="Times New Roman"/>
          <w:color w:val="auto"/>
          <w:lang w:val="en-US" w:eastAsia="zh-CN"/>
        </w:rPr>
        <w:t>产业结构逐步优化</w:t>
      </w:r>
      <w:bookmarkEnd w:id="11"/>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eastAsia="仿宋_GB2312"/>
          <w:color w:val="auto"/>
          <w:sz w:val="30"/>
          <w:szCs w:val="30"/>
          <w:highlight w:val="none"/>
        </w:rPr>
      </w:pPr>
      <w:r>
        <w:rPr>
          <w:rFonts w:hint="eastAsia" w:eastAsia="仿宋_GB2312"/>
          <w:bCs/>
          <w:color w:val="auto"/>
          <w:sz w:val="30"/>
          <w:szCs w:val="30"/>
          <w:highlight w:val="none"/>
          <w:lang w:val="en-US" w:bidi="zh-CN"/>
        </w:rPr>
        <w:t>经济产业结构进一步优化，</w:t>
      </w:r>
      <w:r>
        <w:rPr>
          <w:rFonts w:hint="eastAsia" w:eastAsia="仿宋_GB2312"/>
          <w:bCs/>
          <w:color w:val="auto"/>
          <w:sz w:val="30"/>
          <w:szCs w:val="30"/>
          <w:highlight w:val="none"/>
          <w:lang w:val="zh-CN" w:bidi="zh-CN"/>
        </w:rPr>
        <w:t>全县三次产业结构由2015年的</w:t>
      </w:r>
      <w:r>
        <w:rPr>
          <w:rFonts w:hint="eastAsia" w:eastAsia="仿宋_GB2312"/>
          <w:bCs/>
          <w:color w:val="auto"/>
          <w:sz w:val="30"/>
          <w:szCs w:val="30"/>
          <w:highlight w:val="none"/>
          <w:lang w:val="en-US" w:bidi="zh-CN"/>
        </w:rPr>
        <w:t>40.0</w:t>
      </w:r>
      <w:r>
        <w:rPr>
          <w:rFonts w:hint="eastAsia" w:eastAsia="仿宋_GB2312"/>
          <w:bCs/>
          <w:color w:val="auto"/>
          <w:sz w:val="30"/>
          <w:szCs w:val="30"/>
          <w:highlight w:val="none"/>
          <w:lang w:val="zh-CN" w:bidi="zh-CN"/>
        </w:rPr>
        <w:t>:</w:t>
      </w:r>
      <w:r>
        <w:rPr>
          <w:rFonts w:hint="eastAsia" w:eastAsia="仿宋_GB2312"/>
          <w:bCs/>
          <w:color w:val="auto"/>
          <w:sz w:val="30"/>
          <w:szCs w:val="30"/>
          <w:highlight w:val="none"/>
          <w:lang w:val="en-US" w:bidi="zh-CN"/>
        </w:rPr>
        <w:t>19.2</w:t>
      </w:r>
      <w:r>
        <w:rPr>
          <w:rFonts w:hint="eastAsia" w:eastAsia="仿宋_GB2312"/>
          <w:bCs/>
          <w:color w:val="auto"/>
          <w:sz w:val="30"/>
          <w:szCs w:val="30"/>
          <w:highlight w:val="none"/>
          <w:lang w:val="zh-CN" w:bidi="zh-CN"/>
        </w:rPr>
        <w:t>:</w:t>
      </w:r>
      <w:r>
        <w:rPr>
          <w:rFonts w:hint="eastAsia" w:eastAsia="仿宋_GB2312"/>
          <w:bCs/>
          <w:color w:val="auto"/>
          <w:sz w:val="30"/>
          <w:szCs w:val="30"/>
          <w:highlight w:val="none"/>
          <w:lang w:val="en-US" w:bidi="zh-CN"/>
        </w:rPr>
        <w:t>40.8</w:t>
      </w:r>
      <w:r>
        <w:rPr>
          <w:rFonts w:hint="eastAsia" w:eastAsia="仿宋_GB2312"/>
          <w:bCs/>
          <w:color w:val="auto"/>
          <w:sz w:val="30"/>
          <w:szCs w:val="30"/>
          <w:highlight w:val="none"/>
          <w:lang w:val="zh-CN" w:bidi="zh-CN"/>
        </w:rPr>
        <w:t>转变为</w:t>
      </w:r>
      <w:r>
        <w:rPr>
          <w:rFonts w:hint="eastAsia" w:eastAsia="仿宋_GB2312"/>
          <w:bCs/>
          <w:color w:val="auto"/>
          <w:sz w:val="30"/>
          <w:szCs w:val="30"/>
          <w:highlight w:val="none"/>
          <w:lang w:val="en-US" w:bidi="zh-CN"/>
        </w:rPr>
        <w:t>35.4</w:t>
      </w:r>
      <w:r>
        <w:rPr>
          <w:rFonts w:hint="eastAsia" w:eastAsia="仿宋_GB2312"/>
          <w:bCs/>
          <w:color w:val="auto"/>
          <w:sz w:val="30"/>
          <w:szCs w:val="30"/>
          <w:highlight w:val="none"/>
          <w:lang w:bidi="zh-CN"/>
        </w:rPr>
        <w:t>:</w:t>
      </w:r>
      <w:r>
        <w:rPr>
          <w:rFonts w:hint="eastAsia" w:eastAsia="仿宋_GB2312"/>
          <w:bCs/>
          <w:color w:val="auto"/>
          <w:sz w:val="30"/>
          <w:szCs w:val="30"/>
          <w:highlight w:val="none"/>
          <w:lang w:val="zh-CN" w:bidi="zh-CN"/>
        </w:rPr>
        <w:t>16.4</w:t>
      </w:r>
      <w:r>
        <w:rPr>
          <w:rFonts w:hint="eastAsia" w:eastAsia="仿宋_GB2312"/>
          <w:bCs/>
          <w:color w:val="auto"/>
          <w:sz w:val="30"/>
          <w:szCs w:val="30"/>
          <w:highlight w:val="none"/>
          <w:lang w:bidi="zh-CN"/>
        </w:rPr>
        <w:t>:</w:t>
      </w:r>
      <w:r>
        <w:rPr>
          <w:rFonts w:hint="eastAsia" w:eastAsia="仿宋_GB2312"/>
          <w:bCs/>
          <w:color w:val="auto"/>
          <w:sz w:val="30"/>
          <w:szCs w:val="30"/>
          <w:highlight w:val="none"/>
          <w:lang w:val="en-US" w:bidi="zh-CN"/>
        </w:rPr>
        <w:t>48.2</w:t>
      </w:r>
      <w:r>
        <w:rPr>
          <w:rFonts w:hint="eastAsia" w:eastAsia="仿宋_GB2312"/>
          <w:bCs/>
          <w:color w:val="auto"/>
          <w:sz w:val="30"/>
          <w:szCs w:val="30"/>
          <w:highlight w:val="none"/>
          <w:lang w:val="zh-CN" w:bidi="zh-CN"/>
        </w:rPr>
        <w:t>。</w:t>
      </w:r>
      <w:r>
        <w:rPr>
          <w:rFonts w:hint="eastAsia" w:eastAsia="仿宋_GB2312"/>
          <w:bCs/>
          <w:color w:val="auto"/>
          <w:sz w:val="30"/>
          <w:szCs w:val="30"/>
          <w:highlight w:val="none"/>
          <w:lang w:val="en-US" w:bidi="zh-CN"/>
        </w:rPr>
        <w:t>农村产业不断优化升级，培育产业化龙头企业12家、新型农业主体达到1059家，农村合作社蓬勃发展。“一乡一业、一村一品”产业布局初见规模。构建了产购销一体的12万亩“菜篮子”产业。</w:t>
      </w:r>
      <w:r>
        <w:rPr>
          <w:rFonts w:hint="eastAsia" w:eastAsia="仿宋_GB2312"/>
          <w:bCs/>
          <w:color w:val="auto"/>
          <w:sz w:val="30"/>
          <w:szCs w:val="30"/>
          <w:highlight w:val="none"/>
          <w:lang w:val="zh-CN" w:bidi="zh-CN"/>
        </w:rPr>
        <w:t>现代化畜牧业全产业链体系实现新发展，培育了千万羽鸽子产业，</w:t>
      </w:r>
      <w:r>
        <w:rPr>
          <w:rFonts w:hint="eastAsia" w:eastAsia="仿宋_GB2312"/>
          <w:bCs/>
          <w:color w:val="auto"/>
          <w:sz w:val="30"/>
          <w:szCs w:val="30"/>
          <w:highlight w:val="none"/>
          <w:lang w:val="en-US" w:bidi="zh-CN"/>
        </w:rPr>
        <w:t>20万对种鸽繁育、养殖、屠宰、精深加工示范基地和冷链物流基地建成并相继投入使用，建成年产12万吨饲草料加工厂、活畜交易市场。</w:t>
      </w:r>
      <w:r>
        <w:rPr>
          <w:rFonts w:hint="eastAsia" w:eastAsia="仿宋_GB2312"/>
          <w:bCs/>
          <w:color w:val="auto"/>
          <w:sz w:val="30"/>
          <w:szCs w:val="30"/>
          <w:highlight w:val="none"/>
          <w:lang w:val="zh-CN" w:bidi="zh-CN"/>
        </w:rPr>
        <w:t>“一区五园”基础设施日趋完善，园区落户企业达168家、规模以上企业达</w:t>
      </w:r>
      <w:r>
        <w:rPr>
          <w:rFonts w:hint="eastAsia" w:eastAsia="仿宋_GB2312"/>
          <w:bCs/>
          <w:color w:val="auto"/>
          <w:sz w:val="30"/>
          <w:szCs w:val="30"/>
          <w:highlight w:val="none"/>
          <w:lang w:val="en-US" w:bidi="zh-CN"/>
        </w:rPr>
        <w:t>40</w:t>
      </w:r>
      <w:r>
        <w:rPr>
          <w:rFonts w:hint="eastAsia" w:eastAsia="仿宋_GB2312"/>
          <w:bCs/>
          <w:color w:val="auto"/>
          <w:sz w:val="30"/>
          <w:szCs w:val="30"/>
          <w:highlight w:val="none"/>
          <w:lang w:val="zh-CN" w:bidi="zh-CN"/>
        </w:rPr>
        <w:t>家，在喀什地区排名第一，招商引资落地企业达30家。</w:t>
      </w:r>
      <w:r>
        <w:rPr>
          <w:rFonts w:hint="eastAsia" w:eastAsia="仿宋_GB2312"/>
          <w:b w:val="0"/>
          <w:bCs w:val="0"/>
          <w:color w:val="auto"/>
          <w:sz w:val="30"/>
          <w:szCs w:val="30"/>
          <w:highlight w:val="none"/>
          <w:lang w:val="zh-CN" w:bidi="zh-CN"/>
        </w:rPr>
        <w:t>旅游产业带动经济社会发展成效明显。</w:t>
      </w:r>
      <w:r>
        <w:rPr>
          <w:rFonts w:hint="eastAsia" w:eastAsia="仿宋_GB2312"/>
          <w:bCs/>
          <w:color w:val="auto"/>
          <w:sz w:val="30"/>
          <w:szCs w:val="30"/>
          <w:highlight w:val="none"/>
          <w:lang w:val="zh-CN" w:bidi="zh-CN"/>
        </w:rPr>
        <w:t>成功举办自治区乡村旅游与旅游扶贫工作推进会、喀什—阿里区域旅游交流合作暨中国“新藏线”旅游联盟推进会，全面启动新藏线“汽摩极致之旅”公益挑战赛，荣获“首批全国最具特色魅力旅游胜地”称号。新藏线—“海拔最高的公路”、乔戈里峰—“徒步登山路线最长的山峰”、核桃七仙园—“平均树龄最长的古核桃园”、“福”树—“最大的古核桃（薄皮核桃）树”等荣获上海大世界</w:t>
      </w:r>
      <w:r>
        <w:rPr>
          <w:rFonts w:hint="eastAsia" w:eastAsia="仿宋_GB2312"/>
          <w:bCs/>
          <w:color w:val="auto"/>
          <w:sz w:val="30"/>
          <w:szCs w:val="30"/>
          <w:highlight w:val="none"/>
          <w:lang w:val="en-US" w:bidi="zh-CN"/>
        </w:rPr>
        <w:t>吉</w:t>
      </w:r>
      <w:r>
        <w:rPr>
          <w:rFonts w:hint="eastAsia" w:eastAsia="仿宋_GB2312"/>
          <w:bCs/>
          <w:color w:val="auto"/>
          <w:sz w:val="30"/>
          <w:szCs w:val="30"/>
          <w:highlight w:val="none"/>
          <w:lang w:val="zh-CN" w:bidi="zh-CN"/>
        </w:rPr>
        <w:t>尼斯记录。</w:t>
      </w:r>
    </w:p>
    <w:p>
      <w:pPr>
        <w:pStyle w:val="18"/>
        <w:keepNext w:val="0"/>
        <w:keepLines w:val="0"/>
        <w:shd w:val="clear"/>
        <w:spacing w:beforeLines="50" w:afterLines="50"/>
        <w:rPr>
          <w:rFonts w:hint="eastAsia" w:ascii="Times New Roman" w:hAnsi="Times New Roman"/>
          <w:color w:val="auto"/>
          <w:lang w:eastAsia="zh-CN"/>
        </w:rPr>
      </w:pPr>
      <w:bookmarkStart w:id="12" w:name="_Toc8404"/>
      <w:bookmarkStart w:id="13" w:name="_Toc10291"/>
      <w:r>
        <w:rPr>
          <w:rFonts w:hint="eastAsia" w:ascii="Times New Roman" w:hAnsi="Times New Roman"/>
          <w:color w:val="auto"/>
        </w:rPr>
        <w:t>第</w:t>
      </w:r>
      <w:r>
        <w:rPr>
          <w:rFonts w:hint="eastAsia" w:ascii="Times New Roman" w:hAnsi="Times New Roman"/>
          <w:color w:val="auto"/>
          <w:lang w:val="en-US" w:eastAsia="zh-CN"/>
        </w:rPr>
        <w:t>六</w:t>
      </w:r>
      <w:r>
        <w:rPr>
          <w:rFonts w:hint="eastAsia" w:ascii="Times New Roman" w:hAnsi="Times New Roman"/>
          <w:color w:val="auto"/>
        </w:rPr>
        <w:t xml:space="preserve">节 </w:t>
      </w:r>
      <w:r>
        <w:rPr>
          <w:rFonts w:hint="eastAsia" w:ascii="Times New Roman" w:hAnsi="Times New Roman"/>
          <w:color w:val="auto"/>
          <w:lang w:val="en-US" w:eastAsia="zh-CN"/>
        </w:rPr>
        <w:t>民生</w:t>
      </w:r>
      <w:bookmarkEnd w:id="12"/>
      <w:r>
        <w:rPr>
          <w:rFonts w:hint="eastAsia" w:ascii="Times New Roman" w:hAnsi="Times New Roman"/>
          <w:color w:val="auto"/>
          <w:lang w:eastAsia="zh-CN"/>
        </w:rPr>
        <w:t>保障实现历史性跨越</w:t>
      </w:r>
      <w:bookmarkEnd w:id="13"/>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en-US" w:eastAsia="zh-CN"/>
        </w:rPr>
        <w:t>连续五年民生支出占公共财政预算支出70%以上。“九项惠民工程”扎实推进，民生福祉持续改善，各族群众普遍受惠。“十三五”期间</w:t>
      </w:r>
      <w:r>
        <w:rPr>
          <w:rFonts w:hint="eastAsia" w:eastAsia="仿宋_GB2312"/>
          <w:bCs/>
          <w:color w:val="auto"/>
          <w:sz w:val="30"/>
          <w:szCs w:val="30"/>
          <w:highlight w:val="none"/>
          <w:lang w:val="en-US" w:eastAsia="zh-CN"/>
        </w:rPr>
        <w:t>，</w:t>
      </w:r>
      <w:r>
        <w:rPr>
          <w:rFonts w:hint="eastAsia" w:ascii="Times New Roman" w:hAnsi="Times New Roman" w:eastAsia="仿宋_GB2312"/>
          <w:bCs/>
          <w:color w:val="auto"/>
          <w:sz w:val="30"/>
          <w:szCs w:val="30"/>
          <w:highlight w:val="none"/>
          <w:lang w:val="en-US" w:eastAsia="zh-CN"/>
        </w:rPr>
        <w:t>新增城镇就业</w:t>
      </w:r>
      <w:r>
        <w:rPr>
          <w:rFonts w:hint="eastAsia" w:eastAsia="仿宋_GB2312"/>
          <w:bCs/>
          <w:color w:val="auto"/>
          <w:sz w:val="30"/>
          <w:szCs w:val="30"/>
          <w:highlight w:val="none"/>
          <w:lang w:val="en-US" w:eastAsia="zh-CN"/>
        </w:rPr>
        <w:t>6.3</w:t>
      </w:r>
      <w:r>
        <w:rPr>
          <w:rFonts w:hint="eastAsia" w:ascii="Times New Roman" w:hAnsi="Times New Roman" w:eastAsia="仿宋_GB2312"/>
          <w:bCs/>
          <w:color w:val="auto"/>
          <w:sz w:val="30"/>
          <w:szCs w:val="30"/>
          <w:highlight w:val="none"/>
          <w:lang w:val="en-US" w:eastAsia="zh-CN"/>
        </w:rPr>
        <w:t>万人，登记失业率控制在了4%以内，累积转移劳动力</w:t>
      </w:r>
      <w:r>
        <w:rPr>
          <w:rFonts w:hint="eastAsia" w:eastAsia="仿宋_GB2312"/>
          <w:bCs/>
          <w:color w:val="auto"/>
          <w:sz w:val="30"/>
          <w:szCs w:val="30"/>
          <w:highlight w:val="none"/>
          <w:lang w:val="en-US" w:eastAsia="zh-CN"/>
        </w:rPr>
        <w:t>62.3</w:t>
      </w:r>
      <w:r>
        <w:rPr>
          <w:rFonts w:hint="eastAsia" w:ascii="Times New Roman" w:hAnsi="Times New Roman" w:eastAsia="仿宋_GB2312"/>
          <w:bCs/>
          <w:color w:val="auto"/>
          <w:sz w:val="30"/>
          <w:szCs w:val="30"/>
          <w:highlight w:val="none"/>
          <w:lang w:val="en-US" w:eastAsia="zh-CN"/>
        </w:rPr>
        <w:t>万人次，劳务创收46亿元。县办高中、乡办小学、村办幼儿园战略全面实现，入园率、幼小衔接、小升初、初升高100%。义务教育“两化”全面达标，幼儿园至高中国家通用语言文字教育教学全覆盖</w:t>
      </w:r>
      <w:r>
        <w:rPr>
          <w:rFonts w:hint="eastAsia" w:eastAsia="仿宋_GB2312"/>
          <w:bCs/>
          <w:color w:val="auto"/>
          <w:sz w:val="30"/>
          <w:szCs w:val="30"/>
          <w:highlight w:val="none"/>
          <w:lang w:val="en-US" w:eastAsia="zh-CN"/>
        </w:rPr>
        <w:t>。</w:t>
      </w:r>
      <w:r>
        <w:rPr>
          <w:rFonts w:hint="eastAsia" w:ascii="Times New Roman" w:hAnsi="Times New Roman" w:eastAsia="仿宋_GB2312"/>
          <w:bCs/>
          <w:color w:val="auto"/>
          <w:sz w:val="30"/>
          <w:szCs w:val="30"/>
          <w:highlight w:val="none"/>
          <w:lang w:val="en-US" w:eastAsia="zh-CN"/>
        </w:rPr>
        <w:t>乡村卫生院（室）标准化率100%，医疗卫生体系不断完善。省部共建中亚高发病成因与防治国家重点实验室叶城工作站授牌。免费健康体检高标准开展，基本消灭结核病，艾滋病、精神病患者应治尽治。荣获“2018-2020年全国计划生育优质服务先进单位”称号。农村幸福大院、残疾人康复中心服务管理规范，弱势困难群体兜底保障和社会救助体系更加健全。“五大保险”覆盖面不断提高。农村安全饮水集中供水率、自来水普及率均达到100%。第三水厂水质提升项目正式运行，彻底结束了苦咸水的历史。完成第一、第二污水处理厂提标改造工程，水质全部达到国家一级A标准。“电气化叶城”扎实推进，累积“煤改电”4万户。</w:t>
      </w:r>
      <w:r>
        <w:rPr>
          <w:rFonts w:hint="eastAsia" w:ascii="Times New Roman" w:hAnsi="Times New Roman" w:eastAsia="仿宋_GB2312" w:cs="Times New Roman"/>
          <w:bCs/>
          <w:color w:val="auto"/>
          <w:sz w:val="30"/>
          <w:szCs w:val="30"/>
          <w:highlight w:val="none"/>
          <w:lang w:val="en-US" w:eastAsia="zh-CN"/>
        </w:rPr>
        <w:t>城乡一体化建设进程加快，完成</w:t>
      </w:r>
      <w:r>
        <w:rPr>
          <w:rFonts w:hint="eastAsia" w:eastAsia="仿宋_GB2312" w:cs="Times New Roman"/>
          <w:bCs/>
          <w:color w:val="auto"/>
          <w:sz w:val="30"/>
          <w:szCs w:val="30"/>
          <w:highlight w:val="none"/>
          <w:lang w:val="en-US" w:eastAsia="zh-CN"/>
        </w:rPr>
        <w:t>1.7万</w:t>
      </w:r>
      <w:r>
        <w:rPr>
          <w:rFonts w:hint="eastAsia" w:ascii="Times New Roman" w:hAnsi="Times New Roman" w:eastAsia="仿宋_GB2312" w:cs="Times New Roman"/>
          <w:bCs/>
          <w:color w:val="auto"/>
          <w:sz w:val="30"/>
          <w:szCs w:val="30"/>
          <w:highlight w:val="none"/>
          <w:lang w:val="en-US" w:eastAsia="zh-CN"/>
        </w:rPr>
        <w:t>套棚户区改造和7700套续新建保障性住房建设。</w:t>
      </w:r>
      <w:r>
        <w:rPr>
          <w:rFonts w:hint="eastAsia" w:ascii="Times New Roman" w:hAnsi="Times New Roman" w:eastAsia="仿宋_GB2312"/>
          <w:bCs/>
          <w:color w:val="auto"/>
          <w:sz w:val="30"/>
          <w:szCs w:val="30"/>
          <w:highlight w:val="none"/>
          <w:lang w:val="en-US" w:eastAsia="zh-CN"/>
        </w:rPr>
        <w:t>建设农牧民“两居”住房4.78万套，农牧民安全住房实现全覆盖。行政村广播电视和宽带网络全覆盖。</w:t>
      </w:r>
    </w:p>
    <w:p>
      <w:pPr>
        <w:pStyle w:val="18"/>
        <w:keepNext w:val="0"/>
        <w:keepLines w:val="0"/>
        <w:shd w:val="clear"/>
        <w:spacing w:beforeLines="50" w:afterLines="50"/>
        <w:rPr>
          <w:rFonts w:hint="eastAsia" w:ascii="Times New Roman" w:hAnsi="Times New Roman"/>
          <w:color w:val="auto"/>
          <w:lang w:eastAsia="zh-CN"/>
        </w:rPr>
      </w:pPr>
      <w:bookmarkStart w:id="14" w:name="_Toc23898"/>
      <w:bookmarkStart w:id="15" w:name="_Toc31514"/>
      <w:r>
        <w:rPr>
          <w:rFonts w:hint="eastAsia" w:ascii="Times New Roman" w:hAnsi="Times New Roman"/>
          <w:color w:val="auto"/>
        </w:rPr>
        <w:t>第</w:t>
      </w:r>
      <w:r>
        <w:rPr>
          <w:rFonts w:hint="eastAsia" w:ascii="Times New Roman" w:hAnsi="Times New Roman"/>
          <w:color w:val="auto"/>
          <w:lang w:val="en-US" w:eastAsia="zh-CN"/>
        </w:rPr>
        <w:t>七</w:t>
      </w:r>
      <w:r>
        <w:rPr>
          <w:rFonts w:hint="eastAsia" w:ascii="Times New Roman" w:hAnsi="Times New Roman"/>
          <w:color w:val="auto"/>
        </w:rPr>
        <w:t>节 基础设施</w:t>
      </w:r>
      <w:r>
        <w:rPr>
          <w:rFonts w:hint="eastAsia" w:ascii="Times New Roman" w:hAnsi="Times New Roman"/>
          <w:color w:val="auto"/>
          <w:lang w:eastAsia="zh-CN"/>
        </w:rPr>
        <w:t>不断完善</w:t>
      </w:r>
      <w:bookmarkEnd w:id="14"/>
      <w:bookmarkEnd w:id="15"/>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bCs/>
          <w:color w:val="auto"/>
          <w:sz w:val="30"/>
          <w:szCs w:val="30"/>
          <w:highlight w:val="none"/>
        </w:rPr>
      </w:pPr>
      <w:r>
        <w:rPr>
          <w:rFonts w:hint="eastAsia" w:ascii="Times New Roman" w:hAnsi="Times New Roman" w:eastAsia="仿宋_GB2312" w:cs="Times New Roman"/>
          <w:bCs/>
          <w:color w:val="auto"/>
          <w:sz w:val="30"/>
          <w:szCs w:val="30"/>
          <w:highlight w:val="none"/>
          <w:lang w:val="en-US" w:eastAsia="zh-CN"/>
        </w:rPr>
        <w:t>城乡基础设施和公共服务设施不断完善，城市综合承载能力进一步提升。G3012喀什（疏勒）—叶城—墨玉（喀叶墨）高速公路二期工程建成通车，南疆四地州之间首次实现高速公路连通，叶城通用机场前期基本完成。莫莫克水利枢纽工程、华凌牛业、碳纳米管生产、冷链物流基地等重点工程项目建设全面展开，幸福大院、棚户区改造、保障性安居工程、中水库、城市自来水提标、幸福大桥、西合休乡通动力电，西合休乡9个村全部通路、</w:t>
      </w:r>
      <w:r>
        <w:rPr>
          <w:rFonts w:hint="eastAsia" w:ascii="Times New Roman" w:hAnsi="Times New Roman" w:eastAsia="仿宋_GB2312" w:cs="Times New Roman"/>
          <w:bCs/>
          <w:color w:val="auto"/>
          <w:sz w:val="30"/>
          <w:szCs w:val="30"/>
          <w:highlight w:val="none"/>
        </w:rPr>
        <w:t>城乡供排水、垃圾污水处理、480万立方米再生水调节池建设、电网改造、停车场建设、城市道路建设</w:t>
      </w:r>
      <w:r>
        <w:rPr>
          <w:rFonts w:hint="eastAsia" w:ascii="Times New Roman" w:hAnsi="Times New Roman" w:eastAsia="仿宋_GB2312" w:cs="Times New Roman"/>
          <w:bCs/>
          <w:color w:val="auto"/>
          <w:sz w:val="30"/>
          <w:szCs w:val="30"/>
          <w:highlight w:val="none"/>
          <w:lang w:eastAsia="zh-CN"/>
        </w:rPr>
        <w:t>、</w:t>
      </w:r>
      <w:r>
        <w:rPr>
          <w:rFonts w:hint="eastAsia" w:ascii="Times New Roman" w:hAnsi="Times New Roman" w:eastAsia="仿宋_GB2312" w:cs="Times New Roman"/>
          <w:bCs/>
          <w:color w:val="auto"/>
          <w:sz w:val="30"/>
          <w:szCs w:val="30"/>
          <w:highlight w:val="none"/>
        </w:rPr>
        <w:t>自来水三水厂改扩建</w:t>
      </w:r>
      <w:r>
        <w:rPr>
          <w:rFonts w:hint="eastAsia" w:ascii="Times New Roman" w:hAnsi="Times New Roman" w:eastAsia="仿宋_GB2312" w:cs="Times New Roman"/>
          <w:bCs/>
          <w:color w:val="auto"/>
          <w:sz w:val="30"/>
          <w:szCs w:val="30"/>
          <w:highlight w:val="none"/>
          <w:lang w:eastAsia="zh-CN"/>
        </w:rPr>
        <w:t>、</w:t>
      </w:r>
      <w:r>
        <w:rPr>
          <w:rFonts w:hint="eastAsia" w:ascii="Times New Roman" w:hAnsi="Times New Roman" w:eastAsia="仿宋_GB2312" w:cs="Times New Roman"/>
          <w:bCs/>
          <w:color w:val="auto"/>
          <w:sz w:val="30"/>
          <w:szCs w:val="30"/>
          <w:highlight w:val="none"/>
        </w:rPr>
        <w:t>七一大渠防渗改建、提孜那甫河夏合甫防洪、保尔水库放水渠节水改造工程</w:t>
      </w:r>
      <w:r>
        <w:rPr>
          <w:rFonts w:hint="eastAsia" w:ascii="Times New Roman" w:hAnsi="Times New Roman" w:eastAsia="仿宋_GB2312" w:cs="Times New Roman"/>
          <w:bCs/>
          <w:color w:val="auto"/>
          <w:sz w:val="30"/>
          <w:szCs w:val="30"/>
          <w:highlight w:val="none"/>
          <w:lang w:val="en-US" w:eastAsia="zh-CN"/>
        </w:rPr>
        <w:t>等一批项目建设成效明显。</w:t>
      </w:r>
    </w:p>
    <w:p>
      <w:pPr>
        <w:pStyle w:val="18"/>
        <w:keepNext w:val="0"/>
        <w:keepLines w:val="0"/>
        <w:shd w:val="clear"/>
        <w:spacing w:beforeLines="50" w:afterLines="50"/>
        <w:rPr>
          <w:rFonts w:hint="eastAsia" w:ascii="Times New Roman" w:hAnsi="Times New Roman"/>
        </w:rPr>
      </w:pPr>
      <w:bookmarkStart w:id="16" w:name="_Toc20771"/>
      <w:bookmarkStart w:id="17" w:name="_Toc14661"/>
      <w:r>
        <w:rPr>
          <w:rFonts w:hint="eastAsia" w:ascii="Times New Roman" w:hAnsi="Times New Roman"/>
        </w:rPr>
        <w:t>第</w:t>
      </w:r>
      <w:r>
        <w:rPr>
          <w:rFonts w:hint="eastAsia" w:ascii="Times New Roman" w:hAnsi="Times New Roman"/>
          <w:lang w:val="en-US" w:eastAsia="zh-CN"/>
        </w:rPr>
        <w:t>八</w:t>
      </w:r>
      <w:r>
        <w:rPr>
          <w:rFonts w:hint="eastAsia" w:ascii="Times New Roman" w:hAnsi="Times New Roman"/>
        </w:rPr>
        <w:t>节 全面深化改革开放扎实推进</w:t>
      </w:r>
      <w:bookmarkEnd w:id="16"/>
      <w:bookmarkEnd w:id="17"/>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zh-CN" w:eastAsia="zh-CN"/>
        </w:rPr>
        <w:t>持续推进“放管服”改革，优化营商环境，强化行政审批和“一站式”服务保障，网上可办事项562项、可办率92.82%，“一网通”可办事项562项、实现率91.68%，电子印章认证30个，完成率100%，最大限度为群众和企业提供便利。深化财税、金融、投资体制改革。科技、教育、文化和医药卫生体制改革加快推进，事业单位分类改革进一步推进。民主法治、社会治理、纪检体制等各领域改革整体推进。兵地融合发展迈上新台阶，军地军民共建纵深推进，</w:t>
      </w:r>
      <w:r>
        <w:rPr>
          <w:rFonts w:hint="eastAsia" w:ascii="Times New Roman" w:hAnsi="Times New Roman" w:eastAsia="仿宋_GB2312"/>
          <w:bCs/>
          <w:color w:val="auto"/>
          <w:sz w:val="30"/>
          <w:szCs w:val="30"/>
          <w:highlight w:val="none"/>
          <w:lang w:val="en-US" w:eastAsia="zh-CN"/>
        </w:rPr>
        <w:t>深度融入“一带一路”建设，</w:t>
      </w:r>
      <w:r>
        <w:rPr>
          <w:rFonts w:hint="eastAsia" w:ascii="Times New Roman" w:hAnsi="Times New Roman" w:eastAsia="仿宋_GB2312"/>
          <w:bCs/>
          <w:color w:val="auto"/>
          <w:sz w:val="30"/>
          <w:szCs w:val="30"/>
          <w:highlight w:val="none"/>
          <w:lang w:val="zh-CN" w:eastAsia="zh-CN"/>
        </w:rPr>
        <w:t>全县形成了各方力量思想共融、维稳共担、民族团结共创的全新格局。</w:t>
      </w:r>
    </w:p>
    <w:p>
      <w:pPr>
        <w:pStyle w:val="18"/>
        <w:keepNext w:val="0"/>
        <w:keepLines w:val="0"/>
        <w:shd w:val="clear"/>
        <w:spacing w:beforeLines="50" w:afterLines="50"/>
        <w:rPr>
          <w:rFonts w:hint="eastAsia" w:ascii="Times New Roman" w:hAnsi="Times New Roman"/>
          <w:lang w:val="en-US" w:eastAsia="zh-CN"/>
        </w:rPr>
      </w:pPr>
      <w:bookmarkStart w:id="18" w:name="_Toc21245"/>
      <w:bookmarkStart w:id="19" w:name="_Toc21505"/>
      <w:r>
        <w:rPr>
          <w:rFonts w:hint="eastAsia" w:ascii="Times New Roman" w:hAnsi="Times New Roman"/>
          <w:lang w:val="en-US" w:eastAsia="zh-CN"/>
        </w:rPr>
        <w:t>第九节 意识形态领域工作全面加强</w:t>
      </w:r>
      <w:bookmarkEnd w:id="18"/>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en-US" w:eastAsia="zh-CN"/>
        </w:rPr>
        <w:t>意识形态领域工作责任制全面落实。社会主义核心价值观、《纪要》精神、“七个白皮书”宣讲和“中华文化进万家”活动持续深入开展。县乡村文化阵地建设全面加强，融媒体中心挂牌运行，新时代文明实践中心和乡村站（所）并线运行。“争做文明幸福自豪的叶城人”主题实践活动和“蓝、绳”行动扎实开展。免费发放《叶城时报》117期、1669万份。军政、军民和兵地团结取得积极成效，连获“自治区双拥模范县”称号，三师二牧场成功升格为正县级团场。</w:t>
      </w:r>
    </w:p>
    <w:p>
      <w:pPr>
        <w:pStyle w:val="18"/>
        <w:keepNext w:val="0"/>
        <w:keepLines w:val="0"/>
        <w:shd w:val="clear"/>
        <w:spacing w:beforeLines="50" w:afterLines="50"/>
        <w:rPr>
          <w:rFonts w:hint="eastAsia" w:ascii="Times New Roman" w:hAnsi="Times New Roman"/>
          <w:lang w:val="en-US" w:eastAsia="zh-CN"/>
        </w:rPr>
      </w:pPr>
      <w:bookmarkStart w:id="20" w:name="_Toc12543"/>
      <w:r>
        <w:rPr>
          <w:rFonts w:hint="eastAsia" w:ascii="Times New Roman" w:hAnsi="Times New Roman"/>
          <w:lang w:val="en-US" w:eastAsia="zh-CN"/>
        </w:rPr>
        <w:t>第十节 民族宗教工作取得新成效</w:t>
      </w:r>
      <w:bookmarkEnd w:id="20"/>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bCs/>
          <w:color w:val="auto"/>
          <w:sz w:val="30"/>
          <w:szCs w:val="30"/>
          <w:highlight w:val="yellow"/>
          <w:lang w:val="en-US" w:eastAsia="zh-CN"/>
        </w:rPr>
      </w:pPr>
      <w:r>
        <w:rPr>
          <w:rFonts w:hint="eastAsia" w:ascii="Times New Roman" w:hAnsi="Times New Roman" w:eastAsia="仿宋_GB2312"/>
          <w:bCs/>
          <w:color w:val="auto"/>
          <w:sz w:val="30"/>
          <w:szCs w:val="30"/>
          <w:highlight w:val="none"/>
          <w:lang w:val="en-US" w:eastAsia="zh-CN"/>
        </w:rPr>
        <w:t>“民族团结一家亲”和民族团结联谊活动、“三进两联一交友”活动广泛深入。挂牌命名烈士陵园、邓缵先纪念馆、民族团结展馆等一批民族团结进步教育基地。构建47个嵌入式居民区，10所学校、194个班级学生混合教学、混合住宿。“七进两有”“九配备”和宗教教职人员培训、关爱服务保障工作进一步加强。红白理事会作用发挥明显。</w:t>
      </w:r>
    </w:p>
    <w:p>
      <w:pPr>
        <w:pStyle w:val="18"/>
        <w:keepNext w:val="0"/>
        <w:keepLines w:val="0"/>
        <w:shd w:val="clear"/>
        <w:spacing w:beforeLines="50" w:afterLines="50"/>
        <w:rPr>
          <w:rFonts w:hint="eastAsia" w:ascii="Times New Roman" w:hAnsi="Times New Roman"/>
        </w:rPr>
      </w:pPr>
      <w:bookmarkStart w:id="21" w:name="_Toc24057"/>
      <w:r>
        <w:rPr>
          <w:rFonts w:hint="eastAsia" w:ascii="Times New Roman" w:hAnsi="Times New Roman"/>
          <w:lang w:val="en-US" w:eastAsia="zh-CN"/>
        </w:rPr>
        <w:t xml:space="preserve">第十一节 </w:t>
      </w:r>
      <w:r>
        <w:rPr>
          <w:rFonts w:hint="eastAsia" w:ascii="Times New Roman" w:hAnsi="Times New Roman"/>
        </w:rPr>
        <w:t>对口援疆增添新动力</w:t>
      </w:r>
      <w:bookmarkEnd w:id="19"/>
      <w:bookmarkEnd w:id="21"/>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bCs/>
          <w:color w:val="auto"/>
          <w:sz w:val="30"/>
          <w:szCs w:val="30"/>
          <w:highlight w:val="none"/>
          <w:lang w:val="zh-CN" w:eastAsia="zh-CN"/>
        </w:rPr>
      </w:pPr>
      <w:r>
        <w:rPr>
          <w:rFonts w:hint="eastAsia" w:ascii="Times New Roman" w:hAnsi="Times New Roman" w:eastAsia="仿宋_GB2312"/>
          <w:bCs/>
          <w:color w:val="auto"/>
          <w:sz w:val="30"/>
          <w:szCs w:val="30"/>
          <w:highlight w:val="none"/>
          <w:lang w:val="zh-CN" w:eastAsia="zh-CN"/>
        </w:rPr>
        <w:t>上海市坚持以科学规划为引领，以改善民生为重点，以项目建设为抓手，以干部援疆为关键，以交往交流交融为目标，围绕稳定、产业就业、教育、民生、人才等重点工作，对叶城县进行了全方位的对口援助，五年累计安排援助资金</w:t>
      </w:r>
      <w:r>
        <w:rPr>
          <w:rFonts w:hint="eastAsia" w:eastAsia="仿宋_GB2312"/>
          <w:bCs/>
          <w:color w:val="auto"/>
          <w:sz w:val="30"/>
          <w:szCs w:val="30"/>
          <w:highlight w:val="none"/>
          <w:lang w:val="en-US" w:eastAsia="zh-CN"/>
        </w:rPr>
        <w:t>30.2</w:t>
      </w:r>
      <w:r>
        <w:rPr>
          <w:rFonts w:hint="eastAsia" w:ascii="Times New Roman" w:hAnsi="Times New Roman" w:eastAsia="仿宋_GB2312"/>
          <w:bCs/>
          <w:color w:val="auto"/>
          <w:sz w:val="30"/>
          <w:szCs w:val="30"/>
          <w:highlight w:val="none"/>
          <w:lang w:val="zh-CN" w:eastAsia="zh-CN"/>
        </w:rPr>
        <w:t>亿元，实施项目</w:t>
      </w:r>
      <w:r>
        <w:rPr>
          <w:rFonts w:hint="eastAsia" w:eastAsia="仿宋_GB2312"/>
          <w:bCs/>
          <w:color w:val="auto"/>
          <w:sz w:val="30"/>
          <w:szCs w:val="30"/>
          <w:highlight w:val="none"/>
          <w:lang w:val="en-US" w:eastAsia="zh-CN"/>
        </w:rPr>
        <w:t>90</w:t>
      </w:r>
      <w:r>
        <w:rPr>
          <w:rFonts w:hint="eastAsia" w:ascii="Times New Roman" w:hAnsi="Times New Roman" w:eastAsia="仿宋_GB2312"/>
          <w:bCs/>
          <w:color w:val="auto"/>
          <w:sz w:val="30"/>
          <w:szCs w:val="30"/>
          <w:highlight w:val="none"/>
          <w:lang w:val="zh-CN" w:eastAsia="zh-CN"/>
        </w:rPr>
        <w:t>项。强力推进产业援疆，积极引导援疆资金向基层、民生领域倾斜，最大限度发挥援疆资金政治、经济、社会效益。推进援疆工作在承接中创新、落实中深化、实施中提升，极大地改善了</w:t>
      </w:r>
      <w:r>
        <w:rPr>
          <w:rFonts w:hint="eastAsia" w:ascii="Times New Roman" w:hAnsi="Times New Roman" w:eastAsia="仿宋_GB2312"/>
          <w:bCs/>
          <w:color w:val="auto"/>
          <w:sz w:val="30"/>
          <w:szCs w:val="30"/>
          <w:highlight w:val="none"/>
          <w:lang w:val="en-US" w:eastAsia="zh-CN"/>
        </w:rPr>
        <w:t>叶城</w:t>
      </w:r>
      <w:r>
        <w:rPr>
          <w:rFonts w:hint="eastAsia" w:ascii="Times New Roman" w:hAnsi="Times New Roman" w:eastAsia="仿宋_GB2312"/>
          <w:bCs/>
          <w:color w:val="auto"/>
          <w:sz w:val="30"/>
          <w:szCs w:val="30"/>
          <w:highlight w:val="none"/>
          <w:lang w:val="zh-CN" w:eastAsia="zh-CN"/>
        </w:rPr>
        <w:t>的生产生活条件，深化了全方位交往交流交融，助推了叶城县经济快速发展、民生明显改善、社会大局稳定。</w:t>
      </w:r>
    </w:p>
    <w:p>
      <w:pPr>
        <w:pStyle w:val="18"/>
        <w:keepNext w:val="0"/>
        <w:keepLines w:val="0"/>
        <w:shd w:val="clear"/>
        <w:spacing w:beforeLines="50" w:afterLines="50"/>
        <w:rPr>
          <w:rFonts w:hint="eastAsia" w:ascii="Times New Roman" w:hAnsi="Times New Roman"/>
          <w:lang w:val="en-US" w:eastAsia="zh-CN"/>
        </w:rPr>
      </w:pPr>
      <w:bookmarkStart w:id="22" w:name="_Toc27905"/>
      <w:r>
        <w:rPr>
          <w:rFonts w:hint="eastAsia" w:ascii="Times New Roman" w:hAnsi="Times New Roman"/>
          <w:lang w:val="en-US" w:eastAsia="zh-CN"/>
        </w:rPr>
        <w:t>第十二节 党的建设全面加强</w:t>
      </w:r>
      <w:bookmarkEnd w:id="22"/>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lang w:val="en-US" w:eastAsia="zh-CN"/>
        </w:rPr>
        <w:t>深入贯彻新时代党的建设总要求和新时代党的组织路线，基层组织建设取得新进展、新成效。“不忘初心、牢记使命”制度常态化长效化。坚持“以制度管人、以人干事、以事论人”工作机制，一批政治过硬、实绩突出、群众公认的干部得到提拔使用。“访惠聚”驻村工作深入开展，软弱涣散基层党组织整顿成效明显。学校、机关和“两新”组织等领域党的建设全面加强，群团组织作用不断发挥。纪检监察改革深入推进，强化政治监督，高质量完成县委巡察全覆盖，党风廉政建设“两个责任”全面落实，预防和惩治腐败体系建设成效显著，“四风”问题得到有效整治，基层肩负各项措施落实到位，全面从严治党走向严紧硬，党风、政风、社会风气焕然一新。</w:t>
      </w:r>
    </w:p>
    <w:p>
      <w:pPr>
        <w:pStyle w:val="5"/>
        <w:keepNext w:val="0"/>
        <w:keepLines w:val="0"/>
        <w:pageBreakBefore w:val="0"/>
        <w:widowControl w:val="0"/>
        <w:kinsoku/>
        <w:wordWrap/>
        <w:overflowPunct/>
        <w:topLinePunct w:val="0"/>
        <w:autoSpaceDE/>
        <w:autoSpaceDN/>
        <w:bidi w:val="0"/>
        <w:adjustRightInd/>
        <w:snapToGrid/>
        <w:spacing w:before="206" w:beforeLines="50" w:after="206" w:afterLines="50"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表1：叶城县“十三五”规划完成情况</w:t>
      </w:r>
    </w:p>
    <w:tbl>
      <w:tblPr>
        <w:tblStyle w:val="15"/>
        <w:tblpPr w:leftFromText="180" w:rightFromText="180" w:vertAnchor="text" w:horzAnchor="page" w:tblpX="1810" w:tblpY="222"/>
        <w:tblOverlap w:val="never"/>
        <w:tblW w:w="8338" w:type="dxa"/>
        <w:jc w:val="center"/>
        <w:tblLayout w:type="fixed"/>
        <w:tblCellMar>
          <w:top w:w="0" w:type="dxa"/>
          <w:left w:w="0" w:type="dxa"/>
          <w:bottom w:w="0" w:type="dxa"/>
          <w:right w:w="0" w:type="dxa"/>
        </w:tblCellMar>
      </w:tblPr>
      <w:tblGrid>
        <w:gridCol w:w="363"/>
        <w:gridCol w:w="1782"/>
        <w:gridCol w:w="796"/>
        <w:gridCol w:w="846"/>
        <w:gridCol w:w="856"/>
        <w:gridCol w:w="673"/>
        <w:gridCol w:w="1077"/>
        <w:gridCol w:w="1086"/>
        <w:gridCol w:w="859"/>
      </w:tblGrid>
      <w:tr>
        <w:tblPrEx>
          <w:tblCellMar>
            <w:top w:w="0" w:type="dxa"/>
            <w:left w:w="0" w:type="dxa"/>
            <w:bottom w:w="0" w:type="dxa"/>
            <w:right w:w="0" w:type="dxa"/>
          </w:tblCellMar>
        </w:tblPrEx>
        <w:trPr>
          <w:trHeight w:val="180" w:hRule="atLeast"/>
          <w:jc w:val="center"/>
        </w:trPr>
        <w:tc>
          <w:tcPr>
            <w:tcW w:w="214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ind w:firstLine="361" w:firstLineChars="200"/>
              <w:jc w:val="center"/>
              <w:textAlignment w:val="center"/>
              <w:rPr>
                <w:rFonts w:hint="eastAsia" w:ascii="黑体" w:hAnsi="黑体" w:eastAsia="黑体" w:cs="黑体"/>
                <w:b/>
                <w:color w:val="auto"/>
                <w:sz w:val="18"/>
                <w:szCs w:val="18"/>
                <w:highlight w:val="none"/>
                <w:u w:val="none" w:color="auto"/>
              </w:rPr>
            </w:pPr>
            <w:r>
              <w:rPr>
                <w:rFonts w:hint="eastAsia" w:ascii="黑体" w:hAnsi="黑体" w:eastAsia="黑体" w:cs="黑体"/>
                <w:b/>
                <w:color w:val="auto"/>
                <w:kern w:val="0"/>
                <w:sz w:val="18"/>
                <w:szCs w:val="18"/>
                <w:highlight w:val="none"/>
                <w:u w:val="none" w:color="auto"/>
                <w:lang w:bidi="ar"/>
              </w:rPr>
              <w:t>指标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sz w:val="18"/>
                <w:szCs w:val="18"/>
                <w:highlight w:val="none"/>
                <w:u w:val="none" w:color="auto"/>
              </w:rPr>
            </w:pPr>
            <w:r>
              <w:rPr>
                <w:rFonts w:hint="eastAsia" w:ascii="黑体" w:hAnsi="黑体" w:eastAsia="黑体" w:cs="黑体"/>
                <w:b/>
                <w:color w:val="auto"/>
                <w:kern w:val="0"/>
                <w:sz w:val="18"/>
                <w:szCs w:val="18"/>
                <w:highlight w:val="none"/>
                <w:u w:val="none" w:color="auto"/>
                <w:lang w:bidi="ar"/>
              </w:rPr>
              <w:t>单位</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sz w:val="18"/>
                <w:szCs w:val="18"/>
                <w:highlight w:val="none"/>
                <w:u w:val="none" w:color="auto"/>
              </w:rPr>
            </w:pPr>
            <w:r>
              <w:rPr>
                <w:rFonts w:hint="eastAsia" w:ascii="黑体" w:hAnsi="黑体" w:eastAsia="黑体" w:cs="黑体"/>
                <w:b/>
                <w:color w:val="auto"/>
                <w:kern w:val="0"/>
                <w:sz w:val="18"/>
                <w:szCs w:val="18"/>
                <w:highlight w:val="none"/>
                <w:u w:val="none" w:color="auto"/>
                <w:lang w:bidi="ar"/>
              </w:rPr>
              <w:t>2015年</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kern w:val="0"/>
                <w:sz w:val="18"/>
                <w:szCs w:val="18"/>
                <w:highlight w:val="none"/>
                <w:u w:val="none" w:color="auto"/>
                <w:lang w:bidi="ar"/>
              </w:rPr>
            </w:pPr>
            <w:r>
              <w:rPr>
                <w:rFonts w:hint="eastAsia" w:ascii="黑体" w:hAnsi="黑体" w:eastAsia="黑体" w:cs="黑体"/>
                <w:b/>
                <w:color w:val="auto"/>
                <w:kern w:val="0"/>
                <w:sz w:val="18"/>
                <w:szCs w:val="18"/>
                <w:highlight w:val="none"/>
                <w:u w:val="none" w:color="auto"/>
                <w:lang w:bidi="ar"/>
              </w:rPr>
              <w:t>2020年</w:t>
            </w:r>
          </w:p>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kern w:val="0"/>
                <w:sz w:val="18"/>
                <w:szCs w:val="18"/>
                <w:highlight w:val="none"/>
                <w:u w:val="none" w:color="auto"/>
                <w:lang w:bidi="ar"/>
              </w:rPr>
            </w:pPr>
            <w:r>
              <w:rPr>
                <w:rFonts w:hint="eastAsia" w:ascii="黑体" w:hAnsi="黑体" w:eastAsia="黑体" w:cs="黑体"/>
                <w:b/>
                <w:color w:val="auto"/>
                <w:kern w:val="0"/>
                <w:sz w:val="18"/>
                <w:szCs w:val="18"/>
                <w:highlight w:val="none"/>
                <w:u w:val="none" w:color="auto"/>
                <w:lang w:bidi="ar"/>
              </w:rPr>
              <w:t>目标值</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kern w:val="0"/>
                <w:sz w:val="18"/>
                <w:szCs w:val="18"/>
                <w:highlight w:val="none"/>
                <w:u w:val="none" w:color="auto"/>
                <w:lang w:bidi="ar"/>
              </w:rPr>
            </w:pPr>
            <w:r>
              <w:rPr>
                <w:rFonts w:hint="eastAsia" w:ascii="黑体" w:hAnsi="黑体" w:eastAsia="黑体" w:cs="黑体"/>
                <w:b/>
                <w:color w:val="auto"/>
                <w:kern w:val="0"/>
                <w:sz w:val="18"/>
                <w:szCs w:val="18"/>
                <w:highlight w:val="none"/>
                <w:u w:val="none" w:color="auto"/>
                <w:lang w:bidi="ar"/>
              </w:rPr>
              <w:t>20</w:t>
            </w:r>
            <w:r>
              <w:rPr>
                <w:rFonts w:hint="eastAsia" w:ascii="黑体" w:hAnsi="黑体" w:eastAsia="黑体" w:cs="黑体"/>
                <w:b/>
                <w:color w:val="auto"/>
                <w:kern w:val="0"/>
                <w:sz w:val="18"/>
                <w:szCs w:val="18"/>
                <w:highlight w:val="none"/>
                <w:u w:val="none" w:color="auto"/>
                <w:lang w:val="en-US" w:eastAsia="zh-CN" w:bidi="ar"/>
              </w:rPr>
              <w:t>20</w:t>
            </w:r>
            <w:r>
              <w:rPr>
                <w:rFonts w:hint="eastAsia" w:ascii="黑体" w:hAnsi="黑体" w:eastAsia="黑体" w:cs="黑体"/>
                <w:b/>
                <w:color w:val="auto"/>
                <w:kern w:val="0"/>
                <w:sz w:val="18"/>
                <w:szCs w:val="18"/>
                <w:highlight w:val="none"/>
                <w:u w:val="none" w:color="auto"/>
                <w:lang w:bidi="ar"/>
              </w:rPr>
              <w:t>年</w:t>
            </w:r>
          </w:p>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kern w:val="0"/>
                <w:sz w:val="18"/>
                <w:szCs w:val="18"/>
                <w:highlight w:val="none"/>
                <w:u w:val="none" w:color="auto"/>
                <w:lang w:val="en-US" w:eastAsia="zh-CN" w:bidi="ar"/>
              </w:rPr>
            </w:pPr>
            <w:r>
              <w:rPr>
                <w:rFonts w:hint="eastAsia" w:ascii="黑体" w:hAnsi="黑体" w:eastAsia="黑体" w:cs="黑体"/>
                <w:b/>
                <w:color w:val="auto"/>
                <w:kern w:val="0"/>
                <w:sz w:val="18"/>
                <w:szCs w:val="18"/>
                <w:highlight w:val="none"/>
                <w:u w:val="none" w:color="auto"/>
                <w:lang w:val="en-US" w:eastAsia="zh-CN" w:bidi="ar"/>
              </w:rPr>
              <w:t>实际值</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sz w:val="18"/>
                <w:szCs w:val="18"/>
                <w:highlight w:val="none"/>
                <w:u w:val="none" w:color="auto"/>
              </w:rPr>
            </w:pPr>
            <w:r>
              <w:rPr>
                <w:rFonts w:hint="eastAsia" w:ascii="黑体" w:hAnsi="黑体" w:eastAsia="黑体" w:cs="黑体"/>
                <w:b/>
                <w:color w:val="auto"/>
                <w:kern w:val="0"/>
                <w:sz w:val="18"/>
                <w:szCs w:val="18"/>
                <w:highlight w:val="none"/>
                <w:u w:val="none" w:color="auto"/>
                <w:lang w:bidi="ar"/>
              </w:rPr>
              <w:t>年均增长</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b/>
                <w:color w:val="auto"/>
                <w:sz w:val="18"/>
                <w:szCs w:val="18"/>
                <w:highlight w:val="none"/>
                <w:u w:val="none" w:color="auto"/>
                <w:lang w:val="en-US" w:eastAsia="zh-CN"/>
              </w:rPr>
            </w:pPr>
            <w:r>
              <w:rPr>
                <w:rFonts w:hint="eastAsia" w:ascii="黑体" w:hAnsi="黑体" w:eastAsia="黑体" w:cs="黑体"/>
                <w:b/>
                <w:color w:val="auto"/>
                <w:kern w:val="0"/>
                <w:sz w:val="18"/>
                <w:szCs w:val="18"/>
                <w:highlight w:val="none"/>
                <w:u w:val="none" w:color="auto"/>
                <w:lang w:val="en-US" w:eastAsia="zh-CN" w:bidi="ar"/>
              </w:rPr>
              <w:t>完成情况</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eastAsia" w:ascii="黑体" w:hAnsi="黑体" w:eastAsia="黑体" w:cs="黑体"/>
                <w:color w:val="auto"/>
                <w:sz w:val="18"/>
                <w:szCs w:val="18"/>
                <w:highlight w:val="none"/>
                <w:u w:val="none" w:color="auto"/>
              </w:rPr>
            </w:pPr>
            <w:r>
              <w:rPr>
                <w:rFonts w:hint="eastAsia" w:ascii="黑体" w:hAnsi="黑体" w:eastAsia="黑体" w:cs="黑体"/>
                <w:b/>
                <w:color w:val="auto"/>
                <w:kern w:val="0"/>
                <w:sz w:val="18"/>
                <w:szCs w:val="18"/>
                <w:highlight w:val="none"/>
                <w:u w:val="none" w:color="auto"/>
                <w:lang w:bidi="ar"/>
              </w:rPr>
              <w:t>属性</w:t>
            </w:r>
          </w:p>
        </w:tc>
      </w:tr>
      <w:tr>
        <w:tblPrEx>
          <w:tblCellMar>
            <w:top w:w="0" w:type="dxa"/>
            <w:left w:w="0" w:type="dxa"/>
            <w:bottom w:w="0" w:type="dxa"/>
            <w:right w:w="0" w:type="dxa"/>
          </w:tblCellMar>
        </w:tblPrEx>
        <w:trPr>
          <w:trHeight w:val="90" w:hRule="atLeast"/>
          <w:jc w:val="center"/>
        </w:trPr>
        <w:tc>
          <w:tcPr>
            <w:tcW w:w="363"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经济发展与结构调整</w:t>
            </w:r>
          </w:p>
        </w:tc>
        <w:tc>
          <w:tcPr>
            <w:tcW w:w="1782"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地区生产总值</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83.3</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150.11</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lang w:val="en-US" w:eastAsia="zh-CN"/>
              </w:rPr>
            </w:pPr>
            <w:r>
              <w:rPr>
                <w:rFonts w:hint="eastAsia" w:cs="Times New Roman" w:eastAsiaTheme="minorEastAsia"/>
                <w:color w:val="auto"/>
                <w:kern w:val="0"/>
                <w:sz w:val="18"/>
                <w:szCs w:val="18"/>
                <w:highlight w:val="none"/>
                <w:u w:val="none" w:color="auto"/>
                <w:lang w:val="en-US" w:eastAsia="zh-CN" w:bidi="ar"/>
              </w:rPr>
              <w:t>109.46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lang w:val="en-US" w:eastAsia="zh-CN"/>
              </w:rPr>
            </w:pPr>
            <w:r>
              <w:rPr>
                <w:rFonts w:hint="default" w:ascii="Times New Roman" w:hAnsi="Times New Roman" w:cs="Times New Roman" w:eastAsiaTheme="minorEastAsia"/>
                <w:b/>
                <w:color w:val="auto"/>
                <w:sz w:val="18"/>
                <w:szCs w:val="18"/>
                <w:highlight w:val="none"/>
                <w:u w:val="none" w:color="auto"/>
                <w:lang w:val="en-US" w:eastAsia="zh-CN"/>
              </w:rPr>
              <w:t>5.</w:t>
            </w:r>
            <w:r>
              <w:rPr>
                <w:rFonts w:hint="eastAsia" w:cs="Times New Roman" w:eastAsiaTheme="minorEastAsia"/>
                <w:b/>
                <w:color w:val="auto"/>
                <w:sz w:val="18"/>
                <w:szCs w:val="18"/>
                <w:highlight w:val="none"/>
                <w:u w:val="none" w:color="auto"/>
                <w:lang w:val="en-US" w:eastAsia="zh-CN"/>
              </w:rPr>
              <w:t>7</w:t>
            </w:r>
            <w:r>
              <w:rPr>
                <w:rFonts w:hint="default" w:ascii="Times New Roman" w:hAnsi="Times New Roman" w:cs="Times New Roman" w:eastAsiaTheme="minorEastAsia"/>
                <w:b/>
                <w:color w:val="auto"/>
                <w:sz w:val="18"/>
                <w:szCs w:val="18"/>
                <w:highlight w:val="none"/>
                <w:u w:val="none" w:color="auto"/>
                <w:lang w:val="en-US"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略低于预期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285"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一产增加值</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35.36</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51.04</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37.6</w:t>
            </w:r>
            <w:r>
              <w:rPr>
                <w:rFonts w:hint="eastAsia" w:cs="Times New Roman" w:eastAsiaTheme="minorEastAsia"/>
                <w:color w:val="auto"/>
                <w:sz w:val="18"/>
                <w:szCs w:val="18"/>
                <w:highlight w:val="none"/>
                <w:u w:val="none" w:color="auto"/>
                <w:lang w:val="en-US" w:eastAsia="zh-CN"/>
              </w:rPr>
              <w:t>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5.4%</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略低于预期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285"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二产增加值</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21.19</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46.54</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17.</w:t>
            </w:r>
            <w:r>
              <w:rPr>
                <w:rFonts w:hint="eastAsia" w:cs="Times New Roman" w:eastAsiaTheme="minorEastAsia"/>
                <w:color w:val="auto"/>
                <w:sz w:val="18"/>
                <w:szCs w:val="18"/>
                <w:highlight w:val="none"/>
                <w:u w:val="none" w:color="auto"/>
                <w:lang w:val="en-US" w:eastAsia="zh-CN"/>
              </w:rPr>
              <w:t>32</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8.3%</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略低于预期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285"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三产增加值</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26.75</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52.53</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eastAsia" w:cs="Times New Roman" w:eastAsiaTheme="minorEastAsia"/>
                <w:color w:val="auto"/>
                <w:sz w:val="18"/>
                <w:szCs w:val="18"/>
                <w:highlight w:val="none"/>
                <w:u w:val="none" w:color="auto"/>
                <w:lang w:val="en-US" w:eastAsia="zh-CN"/>
              </w:rPr>
              <w:t>54.48</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4.0%</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val="en-US" w:eastAsia="zh-CN" w:bidi="ar"/>
              </w:rPr>
              <w:t>超额</w:t>
            </w:r>
            <w:r>
              <w:rPr>
                <w:rFonts w:hint="default" w:ascii="Times New Roman" w:hAnsi="Times New Roman" w:cs="Times New Roman" w:eastAsiaTheme="minorEastAsia"/>
                <w:color w:val="auto"/>
                <w:kern w:val="0"/>
                <w:sz w:val="18"/>
                <w:szCs w:val="18"/>
                <w:highlight w:val="none"/>
                <w:u w:val="none" w:color="auto"/>
                <w:lang w:bidi="ar"/>
              </w:rPr>
              <w:t>完成</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全社会固定资产投资</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77.3</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139.30</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51.1</w:t>
            </w:r>
            <w:r>
              <w:rPr>
                <w:rFonts w:hint="eastAsia" w:cs="Times New Roman" w:eastAsiaTheme="minorEastAsia"/>
                <w:color w:val="auto"/>
                <w:sz w:val="18"/>
                <w:szCs w:val="18"/>
                <w:highlight w:val="none"/>
                <w:u w:val="none" w:color="auto"/>
                <w:lang w:val="en-US" w:eastAsia="zh-CN"/>
              </w:rPr>
              <w:t>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-7.6%</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公共财政预算收入</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5.10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7.49</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5.</w:t>
            </w:r>
            <w:r>
              <w:rPr>
                <w:rFonts w:hint="eastAsia" w:cs="Times New Roman" w:eastAsiaTheme="minorEastAsia"/>
                <w:color w:val="auto"/>
                <w:sz w:val="18"/>
                <w:szCs w:val="18"/>
                <w:highlight w:val="none"/>
                <w:u w:val="none" w:color="auto"/>
                <w:lang w:val="en-US" w:eastAsia="zh-CN"/>
              </w:rPr>
              <w:t>55</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2.6%</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社会消费品零售总额</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亿元</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14.5</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29.8</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eastAsia" w:cs="Times New Roman" w:eastAsiaTheme="minorEastAsia"/>
                <w:color w:val="auto"/>
                <w:sz w:val="18"/>
                <w:szCs w:val="18"/>
                <w:highlight w:val="none"/>
                <w:u w:val="none" w:color="auto"/>
                <w:lang w:val="en-US" w:eastAsia="zh-CN"/>
              </w:rPr>
              <w:t>11.95</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7.3%</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249"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eastAsia="zh-CN" w:bidi="ar"/>
              </w:rPr>
              <w:t>常住人口</w:t>
            </w:r>
            <w:r>
              <w:rPr>
                <w:rFonts w:hint="default" w:ascii="Times New Roman" w:hAnsi="Times New Roman" w:cs="Times New Roman" w:eastAsiaTheme="minorEastAsia"/>
                <w:color w:val="auto"/>
                <w:kern w:val="0"/>
                <w:sz w:val="18"/>
                <w:szCs w:val="18"/>
                <w:highlight w:val="none"/>
                <w:u w:val="none" w:color="auto"/>
                <w:lang w:bidi="ar"/>
              </w:rPr>
              <w:t>城镇化率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32</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52</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27.66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46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eastAsia="zh-CN" w:bidi="ar"/>
              </w:rPr>
              <w:t>年均</w:t>
            </w:r>
            <w:r>
              <w:rPr>
                <w:rFonts w:hint="default" w:ascii="Times New Roman" w:hAnsi="Times New Roman" w:cs="Times New Roman" w:eastAsiaTheme="minorEastAsia"/>
                <w:color w:val="auto"/>
                <w:kern w:val="0"/>
                <w:sz w:val="18"/>
                <w:szCs w:val="18"/>
                <w:highlight w:val="none"/>
                <w:u w:val="none" w:color="auto"/>
                <w:lang w:bidi="ar"/>
              </w:rPr>
              <w:t>人口自然增长率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15.6</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≤16.00</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4</w:t>
            </w:r>
            <w:r>
              <w:rPr>
                <w:rFonts w:hint="default" w:ascii="Times New Roman" w:hAnsi="Times New Roman" w:cs="Times New Roman" w:eastAsiaTheme="minorEastAsia"/>
                <w:color w:val="auto"/>
                <w:kern w:val="0"/>
                <w:sz w:val="18"/>
                <w:szCs w:val="18"/>
                <w:highlight w:val="none"/>
                <w:u w:val="none" w:color="auto"/>
                <w:lang w:bidi="ar"/>
              </w:rPr>
              <w:t>‰</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eastAsia="zh-CN" w:bidi="ar"/>
              </w:rPr>
              <w:t>——</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285" w:hRule="atLeast"/>
          <w:jc w:val="center"/>
        </w:trPr>
        <w:tc>
          <w:tcPr>
            <w:tcW w:w="363" w:type="dxa"/>
            <w:vMerge w:val="continue"/>
            <w:tcBorders>
              <w:top w:val="single" w:color="000000" w:sz="4" w:space="0"/>
              <w:left w:val="single" w:color="000000" w:sz="8" w:space="0"/>
              <w:bottom w:val="nil"/>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城镇新增就业人数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万人</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1.2</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eastAsia" w:cs="Times New Roman" w:eastAsiaTheme="minorEastAsia"/>
                <w:color w:val="auto"/>
                <w:sz w:val="18"/>
                <w:szCs w:val="18"/>
                <w:highlight w:val="none"/>
                <w:u w:val="none" w:color="auto"/>
                <w:lang w:val="en-US" w:eastAsia="zh-CN"/>
              </w:rPr>
              <w:t>1</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低于预期</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nil"/>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eastAsia="zh-CN" w:bidi="ar"/>
              </w:rPr>
              <w:t>农村</w:t>
            </w:r>
            <w:r>
              <w:rPr>
                <w:rFonts w:hint="default" w:ascii="Times New Roman" w:hAnsi="Times New Roman" w:cs="Times New Roman" w:eastAsiaTheme="minorEastAsia"/>
                <w:color w:val="auto"/>
                <w:kern w:val="0"/>
                <w:sz w:val="18"/>
                <w:szCs w:val="18"/>
                <w:highlight w:val="none"/>
                <w:u w:val="none" w:color="auto"/>
                <w:lang w:bidi="ar"/>
              </w:rPr>
              <w:t>富余劳动力</w:t>
            </w:r>
            <w:r>
              <w:rPr>
                <w:rFonts w:hint="default" w:ascii="Times New Roman" w:hAnsi="Times New Roman" w:cs="Times New Roman" w:eastAsiaTheme="minorEastAsia"/>
                <w:color w:val="auto"/>
                <w:kern w:val="0"/>
                <w:sz w:val="18"/>
                <w:szCs w:val="18"/>
                <w:highlight w:val="none"/>
                <w:u w:val="none" w:color="auto"/>
                <w:lang w:eastAsia="zh-CN" w:bidi="ar"/>
              </w:rPr>
              <w:t>转移人数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万人次</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9</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9.4</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eastAsia" w:cs="Times New Roman" w:eastAsiaTheme="minorEastAsia"/>
                <w:color w:val="auto"/>
                <w:sz w:val="18"/>
                <w:szCs w:val="18"/>
                <w:highlight w:val="none"/>
                <w:u w:val="none" w:color="auto"/>
                <w:lang w:val="en-US" w:eastAsia="zh-CN"/>
              </w:rPr>
              <w:t>11.96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超额</w:t>
            </w:r>
            <w:r>
              <w:rPr>
                <w:rFonts w:hint="default" w:ascii="Times New Roman" w:hAnsi="Times New Roman" w:cs="Times New Roman" w:eastAsiaTheme="minorEastAsia"/>
                <w:color w:val="auto"/>
                <w:kern w:val="0"/>
                <w:sz w:val="18"/>
                <w:szCs w:val="18"/>
                <w:highlight w:val="none"/>
                <w:u w:val="none" w:color="auto"/>
                <w:lang w:bidi="ar"/>
              </w:rPr>
              <w:t>完成</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预期性</w:t>
            </w:r>
          </w:p>
        </w:tc>
      </w:tr>
      <w:tr>
        <w:tblPrEx>
          <w:tblCellMar>
            <w:top w:w="0" w:type="dxa"/>
            <w:left w:w="0" w:type="dxa"/>
            <w:bottom w:w="0" w:type="dxa"/>
            <w:right w:w="0" w:type="dxa"/>
          </w:tblCellMar>
        </w:tblPrEx>
        <w:trPr>
          <w:trHeight w:val="575"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单位GDP能耗</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吨标准煤/万元</w:t>
            </w:r>
          </w:p>
        </w:tc>
        <w:tc>
          <w:tcPr>
            <w:tcW w:w="4538"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预计完成自治区下达指标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单位工业增加值水耗</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立方米/万元</w:t>
            </w:r>
          </w:p>
        </w:tc>
        <w:tc>
          <w:tcPr>
            <w:tcW w:w="4538"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预计完成自治区下达指标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单位GDP二氧化</w:t>
            </w:r>
            <w:r>
              <w:rPr>
                <w:rFonts w:hint="default" w:ascii="Times New Roman" w:hAnsi="Times New Roman" w:cs="Times New Roman" w:eastAsiaTheme="minorEastAsia"/>
                <w:color w:val="auto"/>
                <w:kern w:val="0"/>
                <w:sz w:val="18"/>
                <w:szCs w:val="18"/>
                <w:highlight w:val="none"/>
                <w:u w:val="none" w:color="auto"/>
                <w:lang w:eastAsia="zh-CN" w:bidi="ar"/>
              </w:rPr>
              <w:t>硫</w:t>
            </w:r>
            <w:r>
              <w:rPr>
                <w:rFonts w:hint="default" w:ascii="Times New Roman" w:hAnsi="Times New Roman" w:cs="Times New Roman" w:eastAsiaTheme="minorEastAsia"/>
                <w:color w:val="auto"/>
                <w:kern w:val="0"/>
                <w:sz w:val="18"/>
                <w:szCs w:val="18"/>
                <w:highlight w:val="none"/>
                <w:u w:val="none" w:color="auto"/>
                <w:lang w:bidi="ar"/>
              </w:rPr>
              <w:t>排放量</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吨/万元</w:t>
            </w:r>
          </w:p>
        </w:tc>
        <w:tc>
          <w:tcPr>
            <w:tcW w:w="23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累计下降14%</w:t>
            </w:r>
          </w:p>
        </w:tc>
        <w:tc>
          <w:tcPr>
            <w:tcW w:w="216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预计完成自治区下达指标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主要污染物排放强度指数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w:t>
            </w:r>
          </w:p>
        </w:tc>
        <w:tc>
          <w:tcPr>
            <w:tcW w:w="4538"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预计完成自治区下达指标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bidi="ar"/>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森林覆盖率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4.18</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4.29</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8.76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超额完成</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0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eastAsia="zh-CN" w:bidi="ar"/>
              </w:rPr>
              <w:t>化学需氧量排放量</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sz w:val="18"/>
                <w:szCs w:val="18"/>
                <w:highlight w:val="none"/>
                <w:u w:val="none" w:color="auto"/>
                <w:lang w:eastAsia="zh-CN"/>
              </w:rPr>
              <w:t>万吨</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0.25</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0.23</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0.23</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完成目标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32"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集中式饮用水水源地水质达标率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100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100</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val="en-US" w:eastAsia="zh-CN"/>
              </w:rPr>
              <w:t>100</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val="en-US" w:eastAsia="zh-CN" w:bidi="ar"/>
              </w:rPr>
              <w:t>完成目标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50"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1"/>
                <w:szCs w:val="21"/>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eastAsia="zh-CN" w:bidi="ar"/>
              </w:rPr>
              <w:t>农业灌溉水有效利用系数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0.44</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0.46</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0.46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val="en-US" w:eastAsia="zh-CN" w:bidi="ar"/>
              </w:rPr>
              <w:t>完成目标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r>
        <w:tblPrEx>
          <w:tblCellMar>
            <w:top w:w="0" w:type="dxa"/>
            <w:left w:w="0" w:type="dxa"/>
            <w:bottom w:w="0" w:type="dxa"/>
            <w:right w:w="0" w:type="dxa"/>
          </w:tblCellMar>
        </w:tblPrEx>
        <w:trPr>
          <w:trHeight w:val="333" w:hRule="atLeast"/>
          <w:jc w:val="center"/>
        </w:trPr>
        <w:tc>
          <w:tcPr>
            <w:tcW w:w="363"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24"/>
                <w:szCs w:val="24"/>
                <w:highlight w:val="none"/>
                <w:u w:val="none" w:color="auto"/>
              </w:rPr>
            </w:pPr>
          </w:p>
        </w:tc>
        <w:tc>
          <w:tcPr>
            <w:tcW w:w="1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eastAsia="zh-CN"/>
              </w:rPr>
            </w:pPr>
            <w:r>
              <w:rPr>
                <w:rFonts w:hint="default" w:ascii="Times New Roman" w:hAnsi="Times New Roman" w:cs="Times New Roman" w:eastAsiaTheme="minorEastAsia"/>
                <w:color w:val="auto"/>
                <w:kern w:val="0"/>
                <w:sz w:val="18"/>
                <w:szCs w:val="18"/>
                <w:highlight w:val="none"/>
                <w:u w:val="none" w:color="auto"/>
                <w:lang w:eastAsia="zh-CN" w:bidi="ar"/>
              </w:rPr>
              <w:t>人均公园绿地面积</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8.38</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lang w:val="en-US" w:eastAsia="zh-CN"/>
              </w:rPr>
            </w:pPr>
            <w:r>
              <w:rPr>
                <w:rFonts w:hint="default" w:ascii="Times New Roman" w:hAnsi="Times New Roman" w:cs="Times New Roman" w:eastAsiaTheme="minorEastAsia"/>
                <w:color w:val="auto"/>
                <w:kern w:val="0"/>
                <w:sz w:val="18"/>
                <w:szCs w:val="18"/>
                <w:highlight w:val="none"/>
                <w:u w:val="none" w:color="auto"/>
                <w:lang w:val="en-US" w:eastAsia="zh-CN" w:bidi="ar"/>
              </w:rPr>
              <w:t>9.96</w:t>
            </w:r>
          </w:p>
        </w:tc>
        <w:tc>
          <w:tcPr>
            <w:tcW w:w="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0"/>
                <w:sz w:val="18"/>
                <w:szCs w:val="18"/>
                <w:highlight w:val="none"/>
                <w:u w:val="none" w:color="auto"/>
                <w:lang w:val="en-US" w:eastAsia="zh-CN" w:bidi="ar"/>
              </w:rPr>
            </w:pPr>
            <w:r>
              <w:rPr>
                <w:rFonts w:hint="default" w:ascii="Times New Roman" w:hAnsi="Times New Roman" w:cs="Times New Roman" w:eastAsiaTheme="minorEastAsia"/>
                <w:color w:val="auto"/>
                <w:kern w:val="0"/>
                <w:sz w:val="18"/>
                <w:szCs w:val="18"/>
                <w:highlight w:val="none"/>
                <w:u w:val="none" w:color="auto"/>
                <w:lang w:val="en-US" w:eastAsia="zh-CN" w:bidi="ar"/>
              </w:rPr>
              <w:t>9.96</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sz w:val="18"/>
                <w:szCs w:val="18"/>
                <w:highlight w:val="none"/>
                <w:u w:val="none" w:color="auto"/>
                <w:lang w:eastAsia="zh-CN"/>
              </w:rPr>
              <w:t>——</w:t>
            </w:r>
          </w:p>
        </w:tc>
        <w:tc>
          <w:tcPr>
            <w:tcW w:w="108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val="en-US" w:eastAsia="zh-CN" w:bidi="ar"/>
              </w:rPr>
              <w:t>完成目标</w:t>
            </w:r>
          </w:p>
        </w:tc>
        <w:tc>
          <w:tcPr>
            <w:tcW w:w="85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sz w:val="18"/>
                <w:szCs w:val="18"/>
                <w:highlight w:val="none"/>
                <w:u w:val="none" w:color="auto"/>
              </w:rPr>
            </w:pPr>
            <w:r>
              <w:rPr>
                <w:rFonts w:hint="default" w:ascii="Times New Roman" w:hAnsi="Times New Roman" w:cs="Times New Roman" w:eastAsiaTheme="minorEastAsia"/>
                <w:color w:val="auto"/>
                <w:kern w:val="0"/>
                <w:sz w:val="18"/>
                <w:szCs w:val="18"/>
                <w:highlight w:val="none"/>
                <w:u w:val="none" w:color="auto"/>
                <w:lang w:bidi="ar"/>
              </w:rPr>
              <w:t>约束性</w:t>
            </w:r>
          </w:p>
        </w:tc>
      </w:tr>
    </w:tbl>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rPr>
      </w:pPr>
      <w:bookmarkStart w:id="23" w:name="_Toc44239995"/>
      <w:bookmarkStart w:id="24" w:name="_Toc3975"/>
      <w:bookmarkStart w:id="25" w:name="_Toc32055"/>
      <w:r>
        <w:rPr>
          <w:rFonts w:hint="eastAsia" w:ascii="Times New Roman" w:hAnsi="Times New Roman" w:eastAsia="黑体" w:cs="Times New Roman"/>
          <w:b w:val="0"/>
          <w:bCs w:val="0"/>
          <w:sz w:val="30"/>
          <w:szCs w:val="30"/>
        </w:rPr>
        <w:t>第二章 “十四五”发展</w:t>
      </w:r>
      <w:bookmarkEnd w:id="23"/>
      <w:r>
        <w:rPr>
          <w:rFonts w:hint="eastAsia" w:ascii="Times New Roman" w:hAnsi="Times New Roman" w:eastAsia="黑体" w:cs="Times New Roman"/>
          <w:b w:val="0"/>
          <w:bCs w:val="0"/>
          <w:sz w:val="30"/>
          <w:szCs w:val="30"/>
        </w:rPr>
        <w:t>形势环境</w:t>
      </w:r>
      <w:bookmarkEnd w:id="24"/>
      <w:bookmarkEnd w:id="25"/>
    </w:p>
    <w:p>
      <w:pPr>
        <w:pStyle w:val="18"/>
        <w:keepNext w:val="0"/>
        <w:keepLines w:val="0"/>
        <w:shd w:val="clear"/>
        <w:spacing w:beforeLines="50" w:afterLines="50"/>
        <w:rPr>
          <w:rFonts w:hint="default" w:ascii="Times New Roman" w:hAnsi="Times New Roman" w:eastAsia="楷体"/>
          <w:lang w:val="en-US" w:eastAsia="zh-CN"/>
        </w:rPr>
      </w:pPr>
      <w:bookmarkStart w:id="26" w:name="_Toc44239996"/>
      <w:bookmarkStart w:id="27" w:name="_Toc13362"/>
      <w:bookmarkStart w:id="28" w:name="_Toc22298"/>
      <w:r>
        <w:rPr>
          <w:rFonts w:hint="eastAsia" w:ascii="Times New Roman" w:hAnsi="Times New Roman"/>
        </w:rPr>
        <w:t xml:space="preserve">第一节 </w:t>
      </w:r>
      <w:bookmarkEnd w:id="26"/>
      <w:bookmarkEnd w:id="27"/>
      <w:r>
        <w:rPr>
          <w:rFonts w:hint="eastAsia" w:ascii="Times New Roman" w:hAnsi="Times New Roman"/>
          <w:lang w:val="en-US" w:eastAsia="zh-CN"/>
        </w:rPr>
        <w:t>发展环境</w:t>
      </w:r>
      <w:bookmarkEnd w:id="28"/>
    </w:p>
    <w:p>
      <w:pPr>
        <w:pStyle w:val="19"/>
        <w:keepNext w:val="0"/>
        <w:keepLines w:val="0"/>
        <w:pageBreakBefore w:val="0"/>
        <w:widowControl w:val="0"/>
        <w:shd w:val="clear"/>
        <w:kinsoku/>
        <w:wordWrap/>
        <w:overflowPunct/>
        <w:topLinePunct w:val="0"/>
        <w:autoSpaceDE/>
        <w:autoSpaceDN/>
        <w:bidi w:val="0"/>
        <w:adjustRightInd/>
        <w:snapToGrid/>
        <w:spacing w:line="580" w:lineRule="exact"/>
        <w:ind w:firstLine="600"/>
        <w:textAlignment w:val="auto"/>
        <w:rPr>
          <w:rFonts w:hint="default" w:eastAsia="仿宋_GB2312"/>
          <w:color w:val="auto"/>
          <w:sz w:val="30"/>
          <w:szCs w:val="30"/>
          <w:highlight w:val="none"/>
          <w:lang w:val="en-US" w:eastAsia="zh-CN"/>
        </w:rPr>
      </w:pPr>
      <w:bookmarkStart w:id="29" w:name="_Toc49795561"/>
      <w:r>
        <w:rPr>
          <w:rFonts w:hint="eastAsia" w:eastAsia="仿宋_GB2312"/>
          <w:b/>
          <w:bCs/>
          <w:color w:val="auto"/>
          <w:sz w:val="30"/>
          <w:szCs w:val="30"/>
          <w:highlight w:val="none"/>
          <w:lang w:val="zh-CN"/>
        </w:rPr>
        <w:t>全球经济形势不确定性因素显著增加</w:t>
      </w:r>
      <w:bookmarkEnd w:id="29"/>
      <w:r>
        <w:rPr>
          <w:rFonts w:hint="eastAsia" w:eastAsia="仿宋_GB2312"/>
          <w:b/>
          <w:bCs/>
          <w:color w:val="auto"/>
          <w:sz w:val="30"/>
          <w:szCs w:val="30"/>
          <w:highlight w:val="none"/>
          <w:lang w:val="zh-CN" w:eastAsia="zh-CN"/>
        </w:rPr>
        <w:t>。</w:t>
      </w:r>
      <w:r>
        <w:rPr>
          <w:rFonts w:hint="eastAsia" w:eastAsia="仿宋_GB2312"/>
          <w:color w:val="auto"/>
          <w:sz w:val="30"/>
          <w:szCs w:val="30"/>
          <w:highlight w:val="none"/>
        </w:rPr>
        <w:t>当今世界正处于百年未有之大变局，地缘政治格局空前复杂，国际格局和政治力量对比加速演变，黑天鹅、灰犀牛事件多出迭出，</w:t>
      </w:r>
      <w:r>
        <w:rPr>
          <w:rFonts w:hint="eastAsia" w:ascii="Times New Roman" w:hAnsi="Times New Roman" w:eastAsia="仿宋_GB2312" w:cs="仿宋_GB2312"/>
          <w:color w:val="auto"/>
          <w:sz w:val="30"/>
          <w:szCs w:val="30"/>
          <w:highlight w:val="none"/>
        </w:rPr>
        <w:t>2020年疫情全球大流行的影响已波及全球产业链、价值链、进出口贸易和消费等各个方面，将加快全球格局变化，这将导致“十四五”时期外部环境更加复杂，不确定性和挑战更多</w:t>
      </w:r>
      <w:r>
        <w:rPr>
          <w:rFonts w:hint="eastAsia" w:eastAsia="仿宋_GB2312"/>
          <w:color w:val="auto"/>
          <w:sz w:val="30"/>
          <w:szCs w:val="30"/>
          <w:highlight w:val="none"/>
        </w:rPr>
        <w:t>。</w:t>
      </w:r>
      <w:r>
        <w:rPr>
          <w:rFonts w:hint="eastAsia" w:eastAsia="仿宋_GB2312"/>
          <w:color w:val="auto"/>
          <w:sz w:val="30"/>
          <w:szCs w:val="30"/>
          <w:highlight w:val="none"/>
          <w:lang w:val="en-US" w:eastAsia="zh-CN"/>
        </w:rPr>
        <w:t>此外</w:t>
      </w:r>
      <w:r>
        <w:rPr>
          <w:rFonts w:hint="eastAsia" w:eastAsia="仿宋_GB2312"/>
          <w:color w:val="auto"/>
          <w:sz w:val="30"/>
          <w:szCs w:val="30"/>
          <w:highlight w:val="none"/>
        </w:rPr>
        <w:t>邻国疫情加剧等，不光对新疆整体发展环境造成不利影响，</w:t>
      </w:r>
      <w:r>
        <w:rPr>
          <w:rFonts w:hint="eastAsia" w:eastAsia="仿宋_GB2312"/>
          <w:color w:val="auto"/>
          <w:sz w:val="30"/>
          <w:szCs w:val="30"/>
          <w:highlight w:val="none"/>
          <w:lang w:val="en-US"/>
        </w:rPr>
        <w:t>也会在一定程度上影响叶城扩大开放步伐</w:t>
      </w:r>
      <w:r>
        <w:rPr>
          <w:rFonts w:hint="eastAsia" w:eastAsia="仿宋_GB2312"/>
          <w:color w:val="auto"/>
          <w:sz w:val="30"/>
          <w:szCs w:val="30"/>
          <w:highlight w:val="none"/>
        </w:rPr>
        <w:t>。</w:t>
      </w:r>
      <w:r>
        <w:rPr>
          <w:rFonts w:hint="eastAsia" w:eastAsia="仿宋_GB2312"/>
          <w:color w:val="auto"/>
          <w:sz w:val="30"/>
          <w:szCs w:val="30"/>
          <w:highlight w:val="none"/>
          <w:lang w:val="en-US" w:eastAsia="zh-CN"/>
        </w:rPr>
        <w:t>但危机并存，危中有机，</w:t>
      </w:r>
      <w:r>
        <w:rPr>
          <w:rFonts w:hint="eastAsia" w:eastAsia="仿宋_GB2312"/>
          <w:color w:val="auto"/>
          <w:sz w:val="30"/>
          <w:szCs w:val="30"/>
          <w:highlight w:val="none"/>
          <w:lang w:val="zh-CN"/>
        </w:rPr>
        <w:t>新兴市场国家和发展中国家加速发展，国际力量对比发生重大变化，二十国集团、金砖国家集团、“一带一路”、亚投行等国际组织和全球治理机制的出现表明，多极力量往均衡化方向演变。“十四五”时期，这种态势会更加明显，</w:t>
      </w:r>
      <w:r>
        <w:rPr>
          <w:rFonts w:hint="eastAsia" w:eastAsia="仿宋_GB2312"/>
          <w:color w:val="auto"/>
          <w:sz w:val="30"/>
          <w:szCs w:val="30"/>
          <w:highlight w:val="none"/>
          <w:lang w:val="en-US" w:eastAsia="zh-CN"/>
        </w:rPr>
        <w:t>和平与发展的主题没有根本改变。</w:t>
      </w:r>
    </w:p>
    <w:p>
      <w:pPr>
        <w:pStyle w:val="19"/>
        <w:keepNext w:val="0"/>
        <w:keepLines w:val="0"/>
        <w:pageBreakBefore w:val="0"/>
        <w:widowControl w:val="0"/>
        <w:shd w:val="clear"/>
        <w:kinsoku/>
        <w:wordWrap/>
        <w:overflowPunct/>
        <w:topLinePunct w:val="0"/>
        <w:autoSpaceDE/>
        <w:autoSpaceDN/>
        <w:bidi w:val="0"/>
        <w:adjustRightInd/>
        <w:snapToGrid/>
        <w:spacing w:line="580" w:lineRule="exact"/>
        <w:ind w:firstLine="600"/>
        <w:textAlignment w:val="auto"/>
        <w:rPr>
          <w:rFonts w:hint="eastAsia" w:eastAsia="仿宋_GB2312"/>
          <w:color w:val="auto"/>
          <w:sz w:val="30"/>
          <w:szCs w:val="30"/>
          <w:highlight w:val="none"/>
        </w:rPr>
      </w:pPr>
      <w:r>
        <w:rPr>
          <w:rFonts w:hint="eastAsia" w:eastAsia="仿宋_GB2312"/>
          <w:b/>
          <w:bCs/>
          <w:color w:val="auto"/>
          <w:sz w:val="30"/>
          <w:szCs w:val="30"/>
          <w:highlight w:val="none"/>
          <w:lang w:val="zh-CN"/>
        </w:rPr>
        <w:t>国内国际双循环新发展格局加快构建</w:t>
      </w:r>
      <w:r>
        <w:rPr>
          <w:rFonts w:hint="eastAsia" w:eastAsia="仿宋_GB2312"/>
          <w:b/>
          <w:bCs/>
          <w:color w:val="auto"/>
          <w:sz w:val="30"/>
          <w:szCs w:val="30"/>
          <w:highlight w:val="none"/>
          <w:lang w:val="zh-CN" w:eastAsia="zh-CN"/>
        </w:rPr>
        <w:t>。</w:t>
      </w:r>
      <w:r>
        <w:rPr>
          <w:rFonts w:hint="eastAsia" w:eastAsia="仿宋_GB2312"/>
          <w:color w:val="auto"/>
          <w:sz w:val="30"/>
          <w:szCs w:val="30"/>
          <w:highlight w:val="none"/>
        </w:rPr>
        <w:t>我国经济发展有着巨大的潜力、韧性和回旋余地，整体发展形势长期向好，</w:t>
      </w:r>
      <w:r>
        <w:rPr>
          <w:rFonts w:hint="eastAsia" w:eastAsia="仿宋_GB2312"/>
          <w:color w:val="auto"/>
          <w:sz w:val="30"/>
          <w:szCs w:val="30"/>
          <w:highlight w:val="none"/>
          <w:lang w:val="zh-CN"/>
        </w:rPr>
        <w:t>已进入高质量发展阶段，社会主要矛盾已经转化为人民日益增长的美好生活需要和不平衡不充分的发展之间的矛盾。“十四五”时期，人民对美好生活的向往内涵会更丰富，如何回应好人民群众不断提高的期望值，成为亟待解决的现实课题。中央提出</w:t>
      </w:r>
      <w:r>
        <w:rPr>
          <w:rFonts w:hint="eastAsia" w:eastAsia="仿宋_GB2312"/>
          <w:color w:val="auto"/>
          <w:sz w:val="30"/>
          <w:szCs w:val="30"/>
          <w:highlight w:val="none"/>
          <w:lang w:val="en-US" w:eastAsia="zh-CN"/>
        </w:rPr>
        <w:t>要</w:t>
      </w:r>
      <w:r>
        <w:rPr>
          <w:rFonts w:hint="eastAsia" w:eastAsia="仿宋_GB2312"/>
          <w:color w:val="auto"/>
          <w:sz w:val="30"/>
          <w:szCs w:val="30"/>
          <w:highlight w:val="none"/>
          <w:lang w:val="zh-CN"/>
        </w:rPr>
        <w:t>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特别是双循环新发展格局的构建，需要广大西部地区更加充分地融入产业分工，在生产制造环节发挥更大作用，这为</w:t>
      </w:r>
      <w:r>
        <w:rPr>
          <w:rFonts w:hint="eastAsia" w:eastAsia="仿宋_GB2312"/>
          <w:color w:val="auto"/>
          <w:sz w:val="30"/>
          <w:szCs w:val="30"/>
          <w:highlight w:val="none"/>
          <w:lang w:val="en-US" w:eastAsia="zh-CN"/>
        </w:rPr>
        <w:t>叶城</w:t>
      </w:r>
      <w:r>
        <w:rPr>
          <w:rFonts w:hint="eastAsia" w:eastAsia="仿宋_GB2312"/>
          <w:color w:val="auto"/>
          <w:sz w:val="30"/>
          <w:szCs w:val="30"/>
          <w:highlight w:val="none"/>
          <w:lang w:val="zh-CN"/>
        </w:rPr>
        <w:t>承接产业转移，加快创新驱动，助力产业升级，向产业链、供应链、价值链中上游攀升提供了机遇，也为</w:t>
      </w:r>
      <w:r>
        <w:rPr>
          <w:rFonts w:hint="eastAsia" w:eastAsia="仿宋_GB2312"/>
          <w:color w:val="auto"/>
          <w:sz w:val="30"/>
          <w:szCs w:val="30"/>
          <w:highlight w:val="none"/>
          <w:lang w:val="en-US" w:eastAsia="zh-CN"/>
        </w:rPr>
        <w:t>叶城加快推进新型城镇化，进一步增强城镇承载能力提供了可能。</w:t>
      </w:r>
    </w:p>
    <w:p>
      <w:pPr>
        <w:pStyle w:val="19"/>
        <w:keepNext w:val="0"/>
        <w:keepLines w:val="0"/>
        <w:pageBreakBefore w:val="0"/>
        <w:widowControl w:val="0"/>
        <w:shd w:val="clear"/>
        <w:kinsoku/>
        <w:wordWrap/>
        <w:overflowPunct/>
        <w:topLinePunct w:val="0"/>
        <w:autoSpaceDE/>
        <w:autoSpaceDN/>
        <w:bidi w:val="0"/>
        <w:adjustRightInd/>
        <w:snapToGrid/>
        <w:spacing w:line="58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新疆推动高质量发展的短板依然突出</w:t>
      </w:r>
      <w:r>
        <w:rPr>
          <w:rFonts w:hint="eastAsia" w:eastAsia="仿宋_GB2312"/>
          <w:b/>
          <w:bCs/>
          <w:color w:val="auto"/>
          <w:sz w:val="30"/>
          <w:szCs w:val="30"/>
          <w:highlight w:val="none"/>
          <w:lang w:val="zh-CN" w:eastAsia="zh-CN"/>
        </w:rPr>
        <w:t>。</w:t>
      </w:r>
      <w:r>
        <w:rPr>
          <w:rFonts w:hint="eastAsia" w:eastAsia="仿宋_GB2312"/>
          <w:color w:val="auto"/>
          <w:sz w:val="30"/>
          <w:szCs w:val="30"/>
          <w:highlight w:val="none"/>
          <w:lang w:val="zh-CN"/>
        </w:rPr>
        <w:t>新疆社会稳定和长治久安红利持续释放，整体呈现出大局稳定、形势可控、趋势向好的良好态势。经济运行总体平稳，经济增长保持在合理区间。</w:t>
      </w:r>
      <w:r>
        <w:rPr>
          <w:rFonts w:hint="eastAsia" w:eastAsia="仿宋_GB2312"/>
          <w:color w:val="auto"/>
          <w:sz w:val="30"/>
          <w:szCs w:val="30"/>
          <w:highlight w:val="none"/>
          <w:lang w:bidi="ar"/>
        </w:rPr>
        <w:t>第三次中央新疆工作座谈会的召开，深入谋划了新疆工作，标志着新时代新疆工作又站上了新的历史起点。</w:t>
      </w:r>
      <w:r>
        <w:rPr>
          <w:rFonts w:hint="eastAsia" w:eastAsia="仿宋_GB2312" w:cs="Times New Roman"/>
          <w:color w:val="auto"/>
          <w:sz w:val="30"/>
          <w:szCs w:val="30"/>
          <w:highlight w:val="none"/>
          <w:lang w:val="en-US" w:eastAsia="zh-CN"/>
        </w:rPr>
        <w:t>因此，</w:t>
      </w:r>
      <w:r>
        <w:rPr>
          <w:rFonts w:hint="eastAsia" w:eastAsia="仿宋_GB2312"/>
          <w:color w:val="auto"/>
          <w:sz w:val="30"/>
          <w:szCs w:val="30"/>
          <w:highlight w:val="none"/>
          <w:lang w:val="zh-CN"/>
        </w:rPr>
        <w:t>“十四五”</w:t>
      </w:r>
      <w:r>
        <w:rPr>
          <w:rFonts w:hint="eastAsia" w:eastAsia="仿宋_GB2312"/>
          <w:color w:val="auto"/>
          <w:sz w:val="30"/>
          <w:szCs w:val="30"/>
          <w:highlight w:val="none"/>
          <w:lang w:val="en-US" w:eastAsia="zh-CN"/>
        </w:rPr>
        <w:t>时期，</w:t>
      </w:r>
      <w:r>
        <w:rPr>
          <w:rFonts w:hint="eastAsia" w:eastAsia="仿宋_GB2312"/>
          <w:color w:val="auto"/>
          <w:sz w:val="30"/>
          <w:szCs w:val="30"/>
          <w:highlight w:val="none"/>
          <w:lang w:val="zh-CN"/>
        </w:rPr>
        <w:t>仍是新疆新型工业化、城镇化加速发展的关键期，</w:t>
      </w:r>
      <w:r>
        <w:rPr>
          <w:rFonts w:hint="eastAsia" w:eastAsia="仿宋_GB2312"/>
          <w:color w:val="auto"/>
          <w:sz w:val="30"/>
          <w:szCs w:val="30"/>
          <w:highlight w:val="none"/>
        </w:rPr>
        <w:t>叶城</w:t>
      </w:r>
      <w:r>
        <w:rPr>
          <w:rFonts w:hint="eastAsia" w:eastAsia="仿宋_GB2312"/>
          <w:color w:val="auto"/>
          <w:sz w:val="30"/>
          <w:szCs w:val="30"/>
          <w:highlight w:val="none"/>
          <w:lang w:val="zh-CN"/>
        </w:rPr>
        <w:t>要充分把握社会稳定红利释放机遇，深化兵地融合，在新时代党的治疆方略指引下，在国家和援助省市大力支持下，补短板，强弱项，发挥比较优势和引领作用，加快构建现代化经济体系，提高社会治理能力，完善</w:t>
      </w:r>
      <w:r>
        <w:rPr>
          <w:rFonts w:hint="eastAsia" w:eastAsia="仿宋_GB2312"/>
          <w:color w:val="auto"/>
          <w:sz w:val="30"/>
          <w:szCs w:val="30"/>
          <w:highlight w:val="none"/>
          <w:lang w:val="en-US" w:eastAsia="zh-CN"/>
        </w:rPr>
        <w:t>社会</w:t>
      </w:r>
      <w:r>
        <w:rPr>
          <w:rFonts w:hint="eastAsia" w:eastAsia="仿宋_GB2312"/>
          <w:color w:val="auto"/>
          <w:sz w:val="30"/>
          <w:szCs w:val="30"/>
          <w:highlight w:val="none"/>
          <w:lang w:val="zh-CN"/>
        </w:rPr>
        <w:t>治理体系，全面推进社会主义现代化建设。</w:t>
      </w:r>
    </w:p>
    <w:p>
      <w:pPr>
        <w:pStyle w:val="19"/>
        <w:keepNext w:val="0"/>
        <w:keepLines w:val="0"/>
        <w:pageBreakBefore w:val="0"/>
        <w:widowControl w:val="0"/>
        <w:shd w:val="clear"/>
        <w:kinsoku/>
        <w:wordWrap/>
        <w:overflowPunct/>
        <w:topLinePunct w:val="0"/>
        <w:autoSpaceDE/>
        <w:autoSpaceDN/>
        <w:bidi w:val="0"/>
        <w:adjustRightInd/>
        <w:snapToGrid/>
        <w:spacing w:line="580" w:lineRule="exact"/>
        <w:ind w:firstLine="600"/>
        <w:textAlignment w:val="auto"/>
        <w:rPr>
          <w:rFonts w:hint="eastAsia" w:eastAsia="仿宋_GB2312"/>
          <w:color w:val="auto"/>
          <w:sz w:val="28"/>
          <w:szCs w:val="28"/>
          <w:highlight w:val="none"/>
          <w:lang w:val="zh-CN"/>
        </w:rPr>
      </w:pPr>
      <w:r>
        <w:rPr>
          <w:rFonts w:hint="eastAsia" w:eastAsia="仿宋_GB2312"/>
          <w:b/>
          <w:bCs/>
          <w:color w:val="auto"/>
          <w:sz w:val="30"/>
          <w:szCs w:val="30"/>
          <w:highlight w:val="none"/>
          <w:lang w:val="zh-CN"/>
        </w:rPr>
        <w:t>县域经济社会高质量发展的任务艰巨</w:t>
      </w:r>
      <w:r>
        <w:rPr>
          <w:rFonts w:hint="eastAsia" w:eastAsia="仿宋_GB2312"/>
          <w:b/>
          <w:bCs/>
          <w:color w:val="auto"/>
          <w:sz w:val="30"/>
          <w:szCs w:val="30"/>
          <w:highlight w:val="none"/>
          <w:lang w:val="zh-CN" w:eastAsia="zh-CN"/>
        </w:rPr>
        <w:t>。</w:t>
      </w:r>
      <w:r>
        <w:rPr>
          <w:rFonts w:hint="eastAsia" w:eastAsia="仿宋_GB2312"/>
          <w:color w:val="auto"/>
          <w:sz w:val="30"/>
          <w:szCs w:val="30"/>
          <w:highlight w:val="none"/>
          <w:lang w:val="zh-CN"/>
        </w:rPr>
        <w:t>“十三五”时期，叶城县经济增长平稳，产业逐步实现多元化发展，城乡面貌发生较大改变，人民生活水平显著提高，社会稳定形势不断巩固，为“十四五”期间的经济转型升级奠定了坚实的基础。但叶城县区域发展不平衡，加快偏远落后地区发展、保障和改善民生任务十分繁重；产业层次结构低，新型工业化和新型城镇化水平不高，科技创新</w:t>
      </w:r>
      <w:r>
        <w:rPr>
          <w:rFonts w:hint="eastAsia" w:eastAsia="仿宋_GB2312"/>
          <w:color w:val="auto"/>
          <w:sz w:val="30"/>
          <w:szCs w:val="30"/>
          <w:highlight w:val="none"/>
          <w:lang w:val="en-US" w:eastAsia="zh-CN"/>
        </w:rPr>
        <w:t>和</w:t>
      </w:r>
      <w:r>
        <w:rPr>
          <w:rFonts w:hint="eastAsia" w:eastAsia="仿宋_GB2312"/>
          <w:color w:val="auto"/>
          <w:sz w:val="28"/>
          <w:szCs w:val="28"/>
          <w:highlight w:val="none"/>
          <w:lang w:val="zh-CN"/>
        </w:rPr>
        <w:t>人才</w:t>
      </w:r>
      <w:r>
        <w:rPr>
          <w:rFonts w:hint="eastAsia" w:eastAsia="仿宋_GB2312"/>
          <w:color w:val="auto"/>
          <w:sz w:val="28"/>
          <w:szCs w:val="28"/>
          <w:highlight w:val="none"/>
          <w:lang w:val="en-US" w:eastAsia="zh-CN"/>
        </w:rPr>
        <w:t>支撑能力不足</w:t>
      </w:r>
      <w:r>
        <w:rPr>
          <w:rFonts w:hint="eastAsia" w:eastAsia="仿宋_GB2312"/>
          <w:color w:val="auto"/>
          <w:sz w:val="28"/>
          <w:szCs w:val="28"/>
          <w:highlight w:val="none"/>
          <w:lang w:val="zh-CN"/>
        </w:rPr>
        <w:t>，主要依靠投资拉动的增长格局</w:t>
      </w:r>
      <w:r>
        <w:rPr>
          <w:rFonts w:hint="eastAsia" w:eastAsia="仿宋_GB2312"/>
          <w:color w:val="auto"/>
          <w:sz w:val="28"/>
          <w:szCs w:val="28"/>
          <w:highlight w:val="none"/>
          <w:lang w:val="en-US" w:eastAsia="zh-CN"/>
        </w:rPr>
        <w:t>还未得到根本改变</w:t>
      </w:r>
      <w:r>
        <w:rPr>
          <w:rFonts w:hint="eastAsia" w:eastAsia="仿宋_GB2312"/>
          <w:color w:val="auto"/>
          <w:sz w:val="28"/>
          <w:szCs w:val="28"/>
          <w:highlight w:val="none"/>
          <w:lang w:val="zh-CN"/>
        </w:rPr>
        <w:t>，经济结构调整和转型升级难度大、任务重；生态环境十分脆弱，生态环境约束趋紧。实现经济社会高质量发展的任务非常艰巨。</w:t>
      </w:r>
    </w:p>
    <w:p>
      <w:pPr>
        <w:pStyle w:val="18"/>
        <w:keepNext w:val="0"/>
        <w:keepLines w:val="0"/>
        <w:shd w:val="clear"/>
        <w:spacing w:beforeLines="50" w:afterLines="50"/>
        <w:rPr>
          <w:rFonts w:hint="default" w:ascii="Times New Roman" w:hAnsi="Times New Roman" w:eastAsia="楷体"/>
          <w:lang w:val="en-US" w:eastAsia="zh-CN"/>
        </w:rPr>
      </w:pPr>
      <w:bookmarkStart w:id="30" w:name="_Toc4397"/>
      <w:bookmarkStart w:id="31" w:name="_Toc44239998"/>
      <w:bookmarkStart w:id="32" w:name="_Toc8844"/>
      <w:r>
        <w:rPr>
          <w:rFonts w:hint="eastAsia" w:ascii="Times New Roman" w:hAnsi="Times New Roman"/>
        </w:rPr>
        <w:t xml:space="preserve">第二节 </w:t>
      </w:r>
      <w:bookmarkEnd w:id="30"/>
      <w:bookmarkEnd w:id="31"/>
      <w:r>
        <w:rPr>
          <w:rFonts w:hint="eastAsia" w:ascii="Times New Roman" w:hAnsi="Times New Roman"/>
          <w:lang w:val="en-US" w:eastAsia="zh-CN"/>
        </w:rPr>
        <w:t>发展机遇</w:t>
      </w:r>
      <w:bookmarkEnd w:id="32"/>
    </w:p>
    <w:p>
      <w:pPr>
        <w:pStyle w:val="19"/>
        <w:keepNext w:val="0"/>
        <w:keepLines w:val="0"/>
        <w:pageBreakBefore w:val="0"/>
        <w:shd w:val="clear"/>
        <w:kinsoku/>
        <w:wordWrap/>
        <w:autoSpaceDE/>
        <w:autoSpaceDN/>
        <w:bidi w:val="0"/>
        <w:spacing w:line="560" w:lineRule="exact"/>
        <w:ind w:firstLine="600"/>
        <w:textAlignment w:val="auto"/>
        <w:rPr>
          <w:rFonts w:hint="eastAsia" w:eastAsia="仿宋_GB2312"/>
          <w:b/>
          <w:bCs/>
          <w:color w:val="auto"/>
          <w:sz w:val="30"/>
          <w:szCs w:val="30"/>
          <w:highlight w:val="none"/>
          <w:lang w:val="zh-CN"/>
        </w:rPr>
      </w:pPr>
      <w:bookmarkStart w:id="33" w:name="_Toc24474"/>
      <w:r>
        <w:rPr>
          <w:rFonts w:hint="eastAsia" w:eastAsia="仿宋_GB2312" w:cs="仿宋_GB2312"/>
          <w:b/>
          <w:color w:val="auto"/>
          <w:sz w:val="30"/>
          <w:szCs w:val="30"/>
          <w:highlight w:val="none"/>
        </w:rPr>
        <w:t>第三次中央新疆工作座谈会带来的战略机遇。</w:t>
      </w:r>
      <w:r>
        <w:rPr>
          <w:rFonts w:hint="eastAsia" w:eastAsia="仿宋_GB2312"/>
          <w:color w:val="auto"/>
          <w:sz w:val="30"/>
          <w:szCs w:val="30"/>
          <w:highlight w:val="none"/>
        </w:rPr>
        <w:t>第三次中央新疆工作座谈会、特别是习近平总书记的重要讲话，深入分析了当前新疆工作面临的形势，阐释了新时代党的治疆方略，立意高远、思想深邃、内涵丰富，明确了当前和今后一个时期新疆工作的指导思想、目标任务、方针政策、战略举措，</w:t>
      </w:r>
      <w:r>
        <w:rPr>
          <w:rFonts w:hint="eastAsia" w:eastAsia="仿宋_GB2312"/>
          <w:color w:val="auto"/>
          <w:sz w:val="30"/>
          <w:szCs w:val="30"/>
          <w:highlight w:val="none"/>
          <w:lang w:val="en-US" w:eastAsia="zh-CN"/>
        </w:rPr>
        <w:t>为新时代新阶段叶城县经济社会发展</w:t>
      </w:r>
      <w:r>
        <w:rPr>
          <w:rFonts w:hint="eastAsia" w:eastAsia="仿宋_GB2312"/>
          <w:color w:val="auto"/>
          <w:sz w:val="30"/>
          <w:szCs w:val="30"/>
          <w:highlight w:val="none"/>
        </w:rPr>
        <w:t>提供了根本遵循、指明了前进方向、赋予了强大动力。</w:t>
      </w:r>
      <w:bookmarkEnd w:id="33"/>
      <w:r>
        <w:rPr>
          <w:rFonts w:hint="eastAsia" w:eastAsia="仿宋_GB2312" w:cs="仿宋_GB2312"/>
          <w:b w:val="0"/>
          <w:bCs/>
          <w:color w:val="auto"/>
          <w:sz w:val="30"/>
          <w:szCs w:val="30"/>
          <w:highlight w:val="none"/>
        </w:rPr>
        <w:t>十九届五中全会</w:t>
      </w:r>
      <w:r>
        <w:rPr>
          <w:rFonts w:hint="eastAsia" w:eastAsia="仿宋_GB2312" w:cs="仿宋_GB2312"/>
          <w:b w:val="0"/>
          <w:bCs/>
          <w:color w:val="auto"/>
          <w:sz w:val="30"/>
          <w:szCs w:val="30"/>
          <w:highlight w:val="none"/>
          <w:lang w:val="en-US" w:eastAsia="zh-CN"/>
        </w:rPr>
        <w:t>提出的基本实现社会主义现代化远景</w:t>
      </w:r>
      <w:r>
        <w:rPr>
          <w:rFonts w:hint="eastAsia" w:eastAsia="仿宋_GB2312" w:cs="仿宋_GB2312"/>
          <w:b w:val="0"/>
          <w:bCs/>
          <w:color w:val="auto"/>
          <w:sz w:val="30"/>
          <w:szCs w:val="30"/>
          <w:highlight w:val="none"/>
        </w:rPr>
        <w:t>目标，</w:t>
      </w:r>
      <w:r>
        <w:rPr>
          <w:rFonts w:hint="eastAsia" w:eastAsia="仿宋_GB2312" w:cs="仿宋_GB2312"/>
          <w:b w:val="0"/>
          <w:bCs/>
          <w:color w:val="auto"/>
          <w:sz w:val="30"/>
          <w:szCs w:val="30"/>
          <w:highlight w:val="none"/>
          <w:lang w:val="en-US" w:eastAsia="zh-CN"/>
        </w:rPr>
        <w:t>就是全县</w:t>
      </w:r>
      <w:r>
        <w:rPr>
          <w:rFonts w:hint="eastAsia" w:eastAsia="仿宋_GB2312" w:cs="仿宋_GB2312"/>
          <w:b w:val="0"/>
          <w:bCs/>
          <w:color w:val="auto"/>
          <w:sz w:val="30"/>
          <w:szCs w:val="30"/>
          <w:highlight w:val="none"/>
        </w:rPr>
        <w:t>各族干部群众为之不懈</w:t>
      </w:r>
      <w:r>
        <w:rPr>
          <w:rFonts w:hint="eastAsia" w:eastAsia="仿宋_GB2312" w:cs="仿宋_GB2312"/>
          <w:b w:val="0"/>
          <w:bCs/>
          <w:color w:val="auto"/>
          <w:sz w:val="30"/>
          <w:szCs w:val="30"/>
          <w:highlight w:val="none"/>
          <w:lang w:val="en-US" w:eastAsia="zh-CN"/>
        </w:rPr>
        <w:t>努力的</w:t>
      </w:r>
      <w:r>
        <w:rPr>
          <w:rFonts w:hint="eastAsia" w:eastAsia="仿宋_GB2312" w:cs="仿宋_GB2312"/>
          <w:b w:val="0"/>
          <w:bCs/>
          <w:color w:val="auto"/>
          <w:sz w:val="30"/>
          <w:szCs w:val="30"/>
          <w:highlight w:val="none"/>
        </w:rPr>
        <w:t>奋斗</w:t>
      </w:r>
      <w:r>
        <w:rPr>
          <w:rFonts w:hint="eastAsia" w:eastAsia="仿宋_GB2312" w:cs="仿宋_GB2312"/>
          <w:b w:val="0"/>
          <w:bCs/>
          <w:color w:val="auto"/>
          <w:sz w:val="30"/>
          <w:szCs w:val="30"/>
          <w:highlight w:val="none"/>
          <w:lang w:val="en-US" w:eastAsia="zh-CN"/>
        </w:rPr>
        <w:t>方向</w:t>
      </w:r>
      <w:r>
        <w:rPr>
          <w:rFonts w:hint="eastAsia" w:eastAsia="仿宋_GB2312" w:cs="仿宋_GB2312"/>
          <w:b w:val="0"/>
          <w:bCs/>
          <w:color w:val="auto"/>
          <w:sz w:val="30"/>
          <w:szCs w:val="30"/>
          <w:highlight w:val="none"/>
        </w:rPr>
        <w:t>。</w:t>
      </w:r>
    </w:p>
    <w:p>
      <w:pPr>
        <w:pStyle w:val="19"/>
        <w:keepNext w:val="0"/>
        <w:keepLines w:val="0"/>
        <w:pageBreakBefore w:val="0"/>
        <w:shd w:val="clear"/>
        <w:kinsoku/>
        <w:wordWrap/>
        <w:autoSpaceDE/>
        <w:autoSpaceDN/>
        <w:bidi w:val="0"/>
        <w:spacing w:line="56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新一轮西部大开发带来的政策机遇。</w:t>
      </w:r>
      <w:r>
        <w:rPr>
          <w:rFonts w:hint="eastAsia" w:eastAsia="仿宋_GB2312"/>
          <w:color w:val="auto"/>
          <w:sz w:val="30"/>
          <w:szCs w:val="30"/>
          <w:highlight w:val="none"/>
          <w:lang w:val="zh-CN"/>
        </w:rPr>
        <w:t>党中央、国务院顺应中国特色社会主义进入新时代、区域协调发展进入新阶段的新要求，统筹国际国内两个大局，做出强化举措推进西部大开发形成新格局的重大决策部署，提出要加强对西部省区财税、金融、产业、用地、人才等方面的政策支持力度。这将有效改善包括叶城县在内的广大西部地区“十四五”时期的生态环境、营商环境、开放环境和创新环境，为推进叶城县经济转型和高质量发展提供有力的政策支持。</w:t>
      </w:r>
    </w:p>
    <w:p>
      <w:pPr>
        <w:pStyle w:val="19"/>
        <w:keepNext w:val="0"/>
        <w:keepLines w:val="0"/>
        <w:pageBreakBefore w:val="0"/>
        <w:shd w:val="clear"/>
        <w:kinsoku/>
        <w:wordWrap/>
        <w:autoSpaceDE/>
        <w:autoSpaceDN/>
        <w:bidi w:val="0"/>
        <w:spacing w:line="56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核心区加快建设带来的发展机遇。</w:t>
      </w:r>
      <w:r>
        <w:rPr>
          <w:rFonts w:hint="eastAsia" w:eastAsia="仿宋_GB2312"/>
          <w:color w:val="auto"/>
          <w:sz w:val="30"/>
          <w:szCs w:val="30"/>
          <w:highlight w:val="none"/>
          <w:lang w:val="zh-CN"/>
        </w:rPr>
        <w:t>“十四五”时期，</w:t>
      </w:r>
      <w:r>
        <w:rPr>
          <w:rFonts w:hint="eastAsia" w:eastAsia="仿宋_GB2312"/>
          <w:color w:val="auto"/>
          <w:sz w:val="30"/>
          <w:szCs w:val="30"/>
          <w:highlight w:val="none"/>
          <w:lang w:val="en-US" w:eastAsia="zh-CN"/>
        </w:rPr>
        <w:t>新疆</w:t>
      </w:r>
      <w:r>
        <w:rPr>
          <w:rFonts w:hint="eastAsia" w:eastAsia="仿宋_GB2312"/>
          <w:color w:val="auto"/>
          <w:sz w:val="30"/>
          <w:szCs w:val="30"/>
          <w:highlight w:val="none"/>
          <w:lang w:val="zh-CN"/>
        </w:rPr>
        <w:t>“丝绸之路经济带核心区”建设将加快推进，随着重点工作、重大项目的全面展开，全方位对外开放格局进一步完善。</w:t>
      </w:r>
      <w:r>
        <w:rPr>
          <w:rFonts w:hint="eastAsia" w:eastAsia="仿宋_GB2312"/>
          <w:color w:val="auto"/>
          <w:sz w:val="30"/>
          <w:szCs w:val="30"/>
          <w:highlight w:val="none"/>
        </w:rPr>
        <w:t>叶城</w:t>
      </w:r>
      <w:r>
        <w:rPr>
          <w:rFonts w:hint="eastAsia" w:eastAsia="仿宋_GB2312"/>
          <w:color w:val="auto"/>
          <w:sz w:val="30"/>
          <w:szCs w:val="30"/>
          <w:highlight w:val="none"/>
          <w:lang w:val="en-US" w:eastAsia="zh-CN"/>
        </w:rPr>
        <w:t>县</w:t>
      </w:r>
      <w:r>
        <w:rPr>
          <w:rFonts w:hint="eastAsia" w:eastAsia="仿宋_GB2312"/>
          <w:color w:val="auto"/>
          <w:sz w:val="30"/>
          <w:szCs w:val="30"/>
          <w:highlight w:val="none"/>
          <w:lang w:val="zh-CN"/>
        </w:rPr>
        <w:t>作为“丝绸之路经济带”</w:t>
      </w:r>
      <w:r>
        <w:rPr>
          <w:rFonts w:hint="eastAsia" w:eastAsia="仿宋_GB2312"/>
          <w:color w:val="auto"/>
          <w:sz w:val="30"/>
          <w:szCs w:val="30"/>
          <w:highlight w:val="none"/>
        </w:rPr>
        <w:t>南通道上的</w:t>
      </w:r>
      <w:r>
        <w:rPr>
          <w:rFonts w:hint="eastAsia" w:eastAsia="仿宋_GB2312"/>
          <w:color w:val="auto"/>
          <w:sz w:val="30"/>
          <w:szCs w:val="30"/>
          <w:highlight w:val="none"/>
          <w:lang w:val="zh-CN"/>
        </w:rPr>
        <w:t>重要节点城市，</w:t>
      </w:r>
      <w:r>
        <w:rPr>
          <w:rFonts w:hint="eastAsia" w:eastAsia="仿宋_GB2312"/>
          <w:color w:val="auto"/>
          <w:sz w:val="30"/>
          <w:szCs w:val="30"/>
          <w:highlight w:val="none"/>
        </w:rPr>
        <w:t>以</w:t>
      </w:r>
      <w:r>
        <w:rPr>
          <w:rFonts w:hint="eastAsia" w:eastAsia="仿宋_GB2312"/>
          <w:color w:val="auto"/>
          <w:sz w:val="30"/>
          <w:szCs w:val="30"/>
          <w:highlight w:val="none"/>
          <w:lang w:val="zh-CN"/>
        </w:rPr>
        <w:t>核心区建设</w:t>
      </w:r>
      <w:r>
        <w:rPr>
          <w:rFonts w:hint="eastAsia" w:eastAsia="仿宋_GB2312"/>
          <w:color w:val="auto"/>
          <w:sz w:val="30"/>
          <w:szCs w:val="30"/>
          <w:highlight w:val="none"/>
        </w:rPr>
        <w:t>为契机</w:t>
      </w:r>
      <w:r>
        <w:rPr>
          <w:rFonts w:hint="eastAsia" w:eastAsia="仿宋_GB2312"/>
          <w:color w:val="auto"/>
          <w:sz w:val="30"/>
          <w:szCs w:val="30"/>
          <w:highlight w:val="none"/>
          <w:lang w:val="zh-CN"/>
        </w:rPr>
        <w:t>，以全面深化改革和创新驱动为支撑，加速聚集新产业、新业态，</w:t>
      </w:r>
      <w:r>
        <w:rPr>
          <w:rFonts w:hint="eastAsia" w:eastAsia="仿宋_GB2312"/>
          <w:color w:val="auto"/>
          <w:sz w:val="30"/>
          <w:szCs w:val="30"/>
          <w:highlight w:val="none"/>
        </w:rPr>
        <w:t>有助于进一步扩展叶城</w:t>
      </w:r>
      <w:r>
        <w:rPr>
          <w:rFonts w:hint="eastAsia" w:eastAsia="仿宋_GB2312"/>
          <w:color w:val="auto"/>
          <w:sz w:val="30"/>
          <w:szCs w:val="30"/>
          <w:highlight w:val="none"/>
          <w:lang w:val="en-US" w:eastAsia="zh-CN"/>
        </w:rPr>
        <w:t>县</w:t>
      </w:r>
      <w:r>
        <w:rPr>
          <w:rFonts w:hint="eastAsia" w:eastAsia="仿宋_GB2312"/>
          <w:color w:val="auto"/>
          <w:sz w:val="30"/>
          <w:szCs w:val="30"/>
          <w:highlight w:val="none"/>
          <w:lang w:val="zh-CN"/>
        </w:rPr>
        <w:t>发展空间。</w:t>
      </w:r>
    </w:p>
    <w:p>
      <w:pPr>
        <w:pStyle w:val="19"/>
        <w:keepNext w:val="0"/>
        <w:keepLines w:val="0"/>
        <w:pageBreakBefore w:val="0"/>
        <w:shd w:val="clear"/>
        <w:kinsoku/>
        <w:wordWrap/>
        <w:autoSpaceDE/>
        <w:autoSpaceDN/>
        <w:bidi w:val="0"/>
        <w:spacing w:line="56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深化改革开放带来的改革机遇。</w:t>
      </w:r>
      <w:r>
        <w:rPr>
          <w:rFonts w:hint="eastAsia" w:eastAsia="仿宋_GB2312"/>
          <w:color w:val="auto"/>
          <w:sz w:val="30"/>
          <w:szCs w:val="30"/>
          <w:highlight w:val="none"/>
          <w:lang w:val="zh-CN"/>
        </w:rPr>
        <w:t>我国持续加大改革开放力度，全社会发展活力和创新活力明显增强，中国特色社会主义制度更加完善，国家治理体系和治理能力现代化水平明显提高，必将有助于叶城县推进以供给侧结构性改革为主线，加快土地、资金、技术等要素和产权制度市场化改革进程，构建有利于激发市场经济主体活力的发展环境，</w:t>
      </w:r>
      <w:r>
        <w:rPr>
          <w:rFonts w:hint="eastAsia" w:eastAsia="仿宋_GB2312"/>
          <w:color w:val="auto"/>
          <w:sz w:val="30"/>
          <w:szCs w:val="30"/>
          <w:highlight w:val="none"/>
          <w:lang w:val="en-US" w:eastAsia="zh-CN"/>
        </w:rPr>
        <w:t>是</w:t>
      </w:r>
      <w:r>
        <w:rPr>
          <w:rFonts w:hint="eastAsia" w:eastAsia="仿宋_GB2312"/>
          <w:color w:val="auto"/>
          <w:sz w:val="30"/>
          <w:szCs w:val="30"/>
          <w:highlight w:val="none"/>
          <w:lang w:val="zh-CN"/>
        </w:rPr>
        <w:t>新时代叶城县经济</w:t>
      </w:r>
      <w:r>
        <w:rPr>
          <w:rFonts w:hint="eastAsia" w:eastAsia="仿宋_GB2312"/>
          <w:color w:val="auto"/>
          <w:sz w:val="30"/>
          <w:szCs w:val="30"/>
          <w:highlight w:val="none"/>
          <w:lang w:val="en-US" w:eastAsia="zh-CN"/>
        </w:rPr>
        <w:t>社会</w:t>
      </w:r>
      <w:r>
        <w:rPr>
          <w:rFonts w:hint="eastAsia" w:eastAsia="仿宋_GB2312"/>
          <w:color w:val="auto"/>
          <w:sz w:val="30"/>
          <w:szCs w:val="30"/>
          <w:highlight w:val="none"/>
          <w:lang w:val="zh-CN"/>
        </w:rPr>
        <w:t>高质量发展的重要保障。</w:t>
      </w:r>
    </w:p>
    <w:p>
      <w:pPr>
        <w:pStyle w:val="19"/>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对口援疆战略带来的援助机遇。</w:t>
      </w:r>
      <w:r>
        <w:rPr>
          <w:rFonts w:hint="eastAsia" w:eastAsia="仿宋_GB2312"/>
          <w:color w:val="auto"/>
          <w:sz w:val="30"/>
          <w:szCs w:val="30"/>
          <w:highlight w:val="none"/>
          <w:lang w:val="zh-CN"/>
        </w:rPr>
        <w:t>第七次全国对口支援新疆工作会议明确指出，要继续深化对口援疆战略，进一步推动援疆工作不断走深走实，在一些事关新疆改革发展稳定的根本性、基础性、长远性问题上精准发力，拓展援疆的广度、深度，提升援疆综合效益。围绕中央全面援疆、精准援疆、长期援疆战略精神，进一步密切与上海市的全方位援助合作，在干部人才、产业援疆、改善民生、科技创新等方面重点突破，将有效提升“十四五”时期叶城县自身“造血”功能，为高质量发展提供强有力的支撑。</w:t>
      </w:r>
    </w:p>
    <w:p>
      <w:pPr>
        <w:pStyle w:val="19"/>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稳定红利持续释放带来的环境机遇。</w:t>
      </w:r>
      <w:r>
        <w:rPr>
          <w:rFonts w:hint="eastAsia" w:eastAsia="仿宋_GB2312"/>
          <w:color w:val="auto"/>
          <w:sz w:val="30"/>
          <w:szCs w:val="30"/>
          <w:highlight w:val="none"/>
          <w:lang w:val="zh-CN"/>
        </w:rPr>
        <w:t>自治区党委以高度的政治自觉、思想自觉、行动自觉，坚决贯彻党中央决策部署，社会稳定和长治久安取得重大阶段性成果，“十四五”时期将形成全面稳定常态，稳定成效持续显现、稳定红利持续释放。随着叶城县安全稳定形势持续向好发展，必将会吸引更多的投资创业者聚集，为经济高质量发展提供更有力的要素支撑。</w:t>
      </w:r>
    </w:p>
    <w:p>
      <w:pPr>
        <w:pStyle w:val="18"/>
        <w:keepNext w:val="0"/>
        <w:keepLines w:val="0"/>
        <w:shd w:val="clear"/>
        <w:spacing w:beforeLines="50" w:afterLines="50"/>
        <w:rPr>
          <w:rFonts w:hint="eastAsia" w:ascii="Times New Roman" w:hAnsi="Times New Roman"/>
          <w:lang w:eastAsia="zh-CN"/>
        </w:rPr>
      </w:pPr>
      <w:bookmarkStart w:id="34" w:name="_Toc618_WPSOffice_Level3"/>
      <w:bookmarkStart w:id="35" w:name="_Toc26428"/>
      <w:bookmarkStart w:id="36" w:name="_Toc2770"/>
      <w:bookmarkStart w:id="37" w:name="_Toc44239999"/>
      <w:r>
        <w:rPr>
          <w:rFonts w:hint="eastAsia" w:ascii="Times New Roman" w:hAnsi="Times New Roman"/>
          <w:lang w:val="en-US" w:eastAsia="zh-CN"/>
        </w:rPr>
        <w:t>第三节 阶段特征和主要挑战</w:t>
      </w:r>
      <w:bookmarkEnd w:id="34"/>
      <w:bookmarkEnd w:id="35"/>
      <w:bookmarkEnd w:id="36"/>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color w:val="auto"/>
          <w:sz w:val="30"/>
          <w:szCs w:val="30"/>
          <w:u w:val="none" w:color="auto"/>
          <w:lang w:val="en-US" w:eastAsia="zh-CN"/>
        </w:rPr>
      </w:pPr>
      <w:r>
        <w:rPr>
          <w:rFonts w:hint="eastAsia" w:ascii="仿宋_GB2312" w:hAnsi="仿宋_GB2312" w:eastAsia="仿宋_GB2312" w:cs="仿宋_GB2312"/>
          <w:b/>
          <w:bCs/>
          <w:color w:val="auto"/>
          <w:sz w:val="30"/>
          <w:szCs w:val="30"/>
          <w:u w:val="none" w:color="auto"/>
          <w:lang w:eastAsia="zh-CN"/>
        </w:rPr>
        <w:t>区域发展格局重构的</w:t>
      </w:r>
      <w:r>
        <w:rPr>
          <w:rFonts w:hint="eastAsia" w:ascii="仿宋_GB2312" w:hAnsi="仿宋_GB2312" w:eastAsia="仿宋_GB2312" w:cs="仿宋_GB2312"/>
          <w:b/>
          <w:bCs/>
          <w:color w:val="auto"/>
          <w:sz w:val="30"/>
          <w:szCs w:val="30"/>
          <w:u w:val="none" w:color="auto"/>
          <w:lang w:val="en-US" w:eastAsia="zh-CN"/>
        </w:rPr>
        <w:t>关键</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color w:val="auto"/>
          <w:sz w:val="30"/>
          <w:szCs w:val="30"/>
          <w:u w:val="none" w:color="auto"/>
          <w:lang w:eastAsia="zh-CN"/>
        </w:rPr>
        <w:t>。随着</w:t>
      </w:r>
      <w:r>
        <w:rPr>
          <w:rFonts w:hint="eastAsia" w:ascii="仿宋_GB2312" w:hAnsi="仿宋_GB2312" w:eastAsia="仿宋_GB2312" w:cs="仿宋_GB2312"/>
          <w:color w:val="auto"/>
          <w:spacing w:val="8"/>
          <w:sz w:val="30"/>
          <w:szCs w:val="30"/>
          <w:u w:val="none" w:color="auto"/>
        </w:rPr>
        <w:t>国内大循环为主体、国内国际双循环相互促进的新发展格局</w:t>
      </w:r>
      <w:r>
        <w:rPr>
          <w:rFonts w:hint="eastAsia" w:ascii="仿宋_GB2312" w:hAnsi="仿宋_GB2312" w:eastAsia="仿宋_GB2312" w:cs="仿宋_GB2312"/>
          <w:color w:val="auto"/>
          <w:spacing w:val="8"/>
          <w:sz w:val="30"/>
          <w:szCs w:val="30"/>
          <w:u w:val="none" w:color="auto"/>
          <w:lang w:eastAsia="zh-CN"/>
        </w:rPr>
        <w:t>加快形成，以畅通国民经济循环为主、国内国际双循环开放发展成为必然趋势，</w:t>
      </w:r>
      <w:r>
        <w:rPr>
          <w:rFonts w:hint="eastAsia" w:ascii="仿宋_GB2312" w:hAnsi="仿宋_GB2312" w:eastAsia="仿宋_GB2312" w:cs="仿宋_GB2312"/>
          <w:color w:val="auto"/>
          <w:sz w:val="30"/>
          <w:szCs w:val="30"/>
          <w:u w:val="none" w:color="auto"/>
          <w:lang w:eastAsia="zh-CN"/>
        </w:rPr>
        <w:t>区域发展格局将加速重构。叶城</w:t>
      </w:r>
      <w:r>
        <w:rPr>
          <w:rFonts w:hint="eastAsia" w:ascii="仿宋_GB2312" w:hAnsi="仿宋_GB2312" w:eastAsia="仿宋_GB2312" w:cs="仿宋_GB2312"/>
          <w:color w:val="auto"/>
          <w:sz w:val="30"/>
          <w:szCs w:val="30"/>
          <w:u w:val="none" w:color="auto"/>
          <w:lang w:val="en-US" w:eastAsia="zh-CN"/>
        </w:rPr>
        <w:t>当前面临的困难及制约因素仍十分突出，区域经济发展不平衡、产业特色不明显、商贸金融联系不紧密，基础设施相对落后，脱贫攻坚成果需进一步巩固提升，</w:t>
      </w:r>
      <w:r>
        <w:rPr>
          <w:rFonts w:hint="eastAsia" w:ascii="仿宋_GB2312" w:hAnsi="仿宋_GB2312" w:eastAsia="仿宋_GB2312" w:cs="仿宋_GB2312"/>
          <w:color w:val="auto"/>
          <w:sz w:val="30"/>
          <w:szCs w:val="30"/>
          <w:highlight w:val="none"/>
          <w:u w:val="none" w:color="auto"/>
        </w:rPr>
        <w:t>综合交通运输能力和水平不足，</w:t>
      </w:r>
      <w:r>
        <w:rPr>
          <w:rFonts w:hint="eastAsia" w:ascii="仿宋_GB2312" w:hAnsi="仿宋_GB2312" w:eastAsia="仿宋_GB2312" w:cs="仿宋_GB2312"/>
          <w:color w:val="auto"/>
          <w:sz w:val="30"/>
          <w:szCs w:val="30"/>
          <w:u w:val="none" w:color="auto"/>
          <w:lang w:val="en-US" w:eastAsia="zh-CN"/>
        </w:rPr>
        <w:t>制度创新、更多优势政策和措施的出台无法跟上日新月异的发展趋势，在产业集聚、旅游消费、对外开放、资金汇集等方面缺乏科学、系统的顶层设计和可靠的实施路径，制约区域协同的高质量发展。</w:t>
      </w:r>
    </w:p>
    <w:p>
      <w:pPr>
        <w:keepNext w:val="0"/>
        <w:keepLines w:val="0"/>
        <w:pageBreakBefore w:val="0"/>
        <w:widowControl w:val="0"/>
        <w:shd w:val="clear"/>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bCs/>
          <w:color w:val="auto"/>
          <w:sz w:val="30"/>
          <w:szCs w:val="30"/>
          <w:highlight w:val="none"/>
          <w:u w:val="none" w:color="auto"/>
        </w:rPr>
      </w:pPr>
      <w:r>
        <w:rPr>
          <w:rFonts w:hint="eastAsia" w:ascii="仿宋_GB2312" w:hAnsi="仿宋_GB2312" w:eastAsia="仿宋_GB2312" w:cs="仿宋_GB2312"/>
          <w:b/>
          <w:bCs/>
          <w:color w:val="auto"/>
          <w:sz w:val="30"/>
          <w:szCs w:val="30"/>
          <w:u w:val="none" w:color="auto"/>
          <w:lang w:eastAsia="zh-CN"/>
        </w:rPr>
        <w:t>产业结构转型升级的发力期</w:t>
      </w:r>
      <w:r>
        <w:rPr>
          <w:rFonts w:hint="eastAsia" w:ascii="仿宋_GB2312" w:hAnsi="仿宋_GB2312" w:eastAsia="仿宋_GB2312" w:cs="仿宋_GB2312"/>
          <w:color w:val="auto"/>
          <w:sz w:val="30"/>
          <w:szCs w:val="30"/>
          <w:u w:val="none" w:color="auto"/>
          <w:lang w:eastAsia="zh-CN"/>
        </w:rPr>
        <w:t>。随着新一轮西部大开发的深入推进，以不同类型地区互补发展、东西双向开放协同并进的产业格局即将形成，产业结构转型将加快进度。</w:t>
      </w:r>
      <w:r>
        <w:rPr>
          <w:rFonts w:hint="eastAsia" w:ascii="仿宋_GB2312" w:hAnsi="仿宋_GB2312" w:eastAsia="仿宋_GB2312" w:cs="仿宋_GB2312"/>
          <w:bCs/>
          <w:color w:val="auto"/>
          <w:sz w:val="30"/>
          <w:szCs w:val="30"/>
          <w:highlight w:val="none"/>
          <w:u w:val="none" w:color="auto"/>
          <w:lang w:eastAsia="zh-CN"/>
        </w:rPr>
        <w:t>叶城当前</w:t>
      </w:r>
      <w:r>
        <w:rPr>
          <w:rFonts w:hint="eastAsia" w:ascii="仿宋_GB2312" w:hAnsi="仿宋_GB2312" w:eastAsia="仿宋_GB2312" w:cs="仿宋_GB2312"/>
          <w:bCs/>
          <w:color w:val="auto"/>
          <w:sz w:val="30"/>
          <w:szCs w:val="30"/>
          <w:highlight w:val="none"/>
          <w:u w:val="none" w:color="auto"/>
        </w:rPr>
        <w:t>工业</w:t>
      </w:r>
      <w:r>
        <w:rPr>
          <w:rFonts w:hint="eastAsia" w:ascii="仿宋_GB2312" w:hAnsi="仿宋_GB2312" w:eastAsia="仿宋_GB2312" w:cs="仿宋_GB2312"/>
          <w:bCs/>
          <w:color w:val="auto"/>
          <w:sz w:val="30"/>
          <w:szCs w:val="30"/>
          <w:highlight w:val="none"/>
          <w:u w:val="none" w:color="auto"/>
          <w:lang w:eastAsia="zh-CN"/>
        </w:rPr>
        <w:t>基础</w:t>
      </w:r>
      <w:r>
        <w:rPr>
          <w:rFonts w:hint="eastAsia" w:ascii="仿宋_GB2312" w:hAnsi="仿宋_GB2312" w:eastAsia="仿宋_GB2312" w:cs="仿宋_GB2312"/>
          <w:bCs/>
          <w:color w:val="auto"/>
          <w:sz w:val="30"/>
          <w:szCs w:val="30"/>
          <w:highlight w:val="none"/>
          <w:u w:val="none" w:color="auto"/>
        </w:rPr>
        <w:t>薄弱</w:t>
      </w:r>
      <w:r>
        <w:rPr>
          <w:rFonts w:hint="eastAsia" w:ascii="仿宋_GB2312" w:hAnsi="仿宋_GB2312" w:eastAsia="仿宋_GB2312" w:cs="仿宋_GB2312"/>
          <w:bCs/>
          <w:color w:val="auto"/>
          <w:sz w:val="30"/>
          <w:szCs w:val="30"/>
          <w:highlight w:val="none"/>
          <w:u w:val="none" w:color="auto"/>
          <w:lang w:eastAsia="zh-CN"/>
        </w:rPr>
        <w:t>、</w:t>
      </w:r>
      <w:r>
        <w:rPr>
          <w:rFonts w:hint="eastAsia" w:ascii="仿宋_GB2312" w:hAnsi="仿宋_GB2312" w:eastAsia="仿宋_GB2312" w:cs="仿宋_GB2312"/>
          <w:bCs/>
          <w:color w:val="auto"/>
          <w:sz w:val="30"/>
          <w:szCs w:val="30"/>
          <w:highlight w:val="none"/>
          <w:u w:val="none" w:color="auto"/>
        </w:rPr>
        <w:t>产业结构单一</w:t>
      </w:r>
      <w:r>
        <w:rPr>
          <w:rFonts w:hint="eastAsia" w:ascii="仿宋_GB2312" w:hAnsi="仿宋_GB2312" w:eastAsia="仿宋_GB2312" w:cs="仿宋_GB2312"/>
          <w:bCs/>
          <w:color w:val="auto"/>
          <w:sz w:val="30"/>
          <w:szCs w:val="30"/>
          <w:highlight w:val="none"/>
          <w:u w:val="none" w:color="auto"/>
          <w:lang w:eastAsia="zh-CN"/>
        </w:rPr>
        <w:t>、</w:t>
      </w:r>
      <w:r>
        <w:rPr>
          <w:rFonts w:hint="eastAsia" w:ascii="仿宋_GB2312" w:hAnsi="仿宋_GB2312" w:eastAsia="仿宋_GB2312" w:cs="仿宋_GB2312"/>
          <w:bCs/>
          <w:color w:val="auto"/>
          <w:sz w:val="30"/>
          <w:szCs w:val="30"/>
          <w:highlight w:val="none"/>
          <w:u w:val="none" w:color="auto"/>
        </w:rPr>
        <w:t>产业链条短，</w:t>
      </w:r>
      <w:r>
        <w:rPr>
          <w:rFonts w:hint="eastAsia" w:ascii="仿宋_GB2312" w:hAnsi="仿宋_GB2312" w:eastAsia="仿宋_GB2312" w:cs="仿宋_GB2312"/>
          <w:color w:val="auto"/>
          <w:sz w:val="30"/>
          <w:szCs w:val="30"/>
          <w:highlight w:val="none"/>
          <w:u w:val="none" w:color="auto"/>
        </w:rPr>
        <w:t>从工业内部结构看，大多</w:t>
      </w:r>
      <w:r>
        <w:rPr>
          <w:rFonts w:hint="eastAsia" w:ascii="仿宋_GB2312" w:hAnsi="仿宋_GB2312" w:eastAsia="仿宋_GB2312" w:cs="仿宋_GB2312"/>
          <w:color w:val="auto"/>
          <w:sz w:val="30"/>
          <w:szCs w:val="30"/>
          <w:highlight w:val="none"/>
          <w:u w:val="none" w:color="auto"/>
          <w:lang w:val="en-US" w:eastAsia="zh-CN"/>
        </w:rPr>
        <w:t>数</w:t>
      </w:r>
      <w:r>
        <w:rPr>
          <w:rFonts w:hint="eastAsia" w:ascii="仿宋_GB2312" w:hAnsi="仿宋_GB2312" w:eastAsia="仿宋_GB2312" w:cs="仿宋_GB2312"/>
          <w:color w:val="auto"/>
          <w:sz w:val="30"/>
          <w:szCs w:val="30"/>
          <w:highlight w:val="none"/>
          <w:u w:val="none" w:color="auto"/>
          <w:shd w:val="clear" w:color="auto" w:fill="FFFFFF"/>
        </w:rPr>
        <w:t>企业处于产业</w:t>
      </w:r>
      <w:r>
        <w:rPr>
          <w:rFonts w:hint="eastAsia" w:ascii="仿宋_GB2312" w:hAnsi="仿宋_GB2312" w:eastAsia="仿宋_GB2312" w:cs="仿宋_GB2312"/>
          <w:color w:val="auto"/>
          <w:sz w:val="30"/>
          <w:szCs w:val="30"/>
          <w:highlight w:val="none"/>
          <w:u w:val="none" w:color="auto"/>
          <w:shd w:val="clear" w:color="auto" w:fill="FFFFFF"/>
          <w:lang w:eastAsia="zh-CN"/>
        </w:rPr>
        <w:t>链</w:t>
      </w:r>
      <w:r>
        <w:rPr>
          <w:rFonts w:hint="eastAsia" w:ascii="仿宋_GB2312" w:hAnsi="仿宋_GB2312" w:eastAsia="仿宋_GB2312" w:cs="仿宋_GB2312"/>
          <w:color w:val="auto"/>
          <w:sz w:val="30"/>
          <w:szCs w:val="30"/>
          <w:highlight w:val="none"/>
          <w:u w:val="none" w:color="auto"/>
          <w:shd w:val="clear" w:color="auto" w:fill="FFFFFF"/>
        </w:rPr>
        <w:t>价值链中低端，</w:t>
      </w:r>
      <w:r>
        <w:rPr>
          <w:rFonts w:hint="eastAsia" w:ascii="仿宋_GB2312" w:hAnsi="仿宋_GB2312" w:eastAsia="仿宋_GB2312" w:cs="仿宋_GB2312"/>
          <w:color w:val="auto"/>
          <w:sz w:val="30"/>
          <w:szCs w:val="30"/>
          <w:highlight w:val="none"/>
          <w:u w:val="none" w:color="auto"/>
          <w:shd w:val="clear" w:color="auto" w:fill="FFFFFF"/>
          <w:lang w:eastAsia="zh-CN"/>
        </w:rPr>
        <w:t>生产</w:t>
      </w:r>
      <w:r>
        <w:rPr>
          <w:rFonts w:hint="eastAsia" w:ascii="仿宋_GB2312" w:hAnsi="仿宋_GB2312" w:eastAsia="仿宋_GB2312" w:cs="仿宋_GB2312"/>
          <w:color w:val="auto"/>
          <w:sz w:val="30"/>
          <w:szCs w:val="30"/>
          <w:highlight w:val="none"/>
          <w:u w:val="none" w:color="auto"/>
          <w:shd w:val="clear" w:color="auto" w:fill="FFFFFF"/>
        </w:rPr>
        <w:t>加工环节居多，研发和品牌营销环节少，</w:t>
      </w:r>
      <w:r>
        <w:rPr>
          <w:rFonts w:hint="eastAsia" w:ascii="仿宋_GB2312" w:hAnsi="仿宋_GB2312" w:eastAsia="仿宋_GB2312" w:cs="仿宋_GB2312"/>
          <w:color w:val="auto"/>
          <w:sz w:val="30"/>
          <w:szCs w:val="30"/>
          <w:highlight w:val="none"/>
          <w:u w:val="none" w:color="auto"/>
        </w:rPr>
        <w:t>缺乏核心技术和知名产品，附加值不</w:t>
      </w:r>
      <w:r>
        <w:rPr>
          <w:rFonts w:hint="eastAsia" w:ascii="仿宋_GB2312" w:hAnsi="仿宋_GB2312" w:eastAsia="仿宋_GB2312" w:cs="仿宋_GB2312"/>
          <w:color w:val="auto"/>
          <w:sz w:val="30"/>
          <w:szCs w:val="30"/>
          <w:highlight w:val="none"/>
          <w:u w:val="none" w:color="auto"/>
          <w:shd w:val="clear" w:color="auto" w:fill="FFFFFF"/>
        </w:rPr>
        <w:t>高</w:t>
      </w:r>
      <w:r>
        <w:rPr>
          <w:rFonts w:hint="eastAsia" w:ascii="仿宋_GB2312" w:hAnsi="仿宋_GB2312" w:eastAsia="仿宋_GB2312" w:cs="仿宋_GB2312"/>
          <w:color w:val="auto"/>
          <w:sz w:val="30"/>
          <w:szCs w:val="30"/>
          <w:highlight w:val="none"/>
          <w:u w:val="none" w:color="auto"/>
          <w:shd w:val="clear" w:color="auto" w:fill="FFFFFF"/>
          <w:lang w:eastAsia="zh-CN"/>
        </w:rPr>
        <w:t>、</w:t>
      </w:r>
      <w:r>
        <w:rPr>
          <w:rFonts w:hint="eastAsia" w:ascii="仿宋_GB2312" w:hAnsi="仿宋_GB2312" w:eastAsia="仿宋_GB2312" w:cs="仿宋_GB2312"/>
          <w:color w:val="auto"/>
          <w:sz w:val="30"/>
          <w:szCs w:val="30"/>
          <w:highlight w:val="none"/>
          <w:u w:val="none" w:color="auto"/>
          <w:shd w:val="clear" w:color="auto" w:fill="FFFFFF"/>
        </w:rPr>
        <w:t>竞争力不强</w:t>
      </w:r>
      <w:r>
        <w:rPr>
          <w:rFonts w:hint="eastAsia" w:ascii="仿宋_GB2312" w:hAnsi="仿宋_GB2312" w:eastAsia="仿宋_GB2312" w:cs="仿宋_GB2312"/>
          <w:color w:val="auto"/>
          <w:sz w:val="30"/>
          <w:szCs w:val="30"/>
          <w:highlight w:val="none"/>
          <w:u w:val="none" w:color="auto"/>
          <w:shd w:val="clear" w:color="auto" w:fill="FFFFFF"/>
          <w:lang w:eastAsia="zh-CN"/>
        </w:rPr>
        <w:t>，</w:t>
      </w:r>
      <w:r>
        <w:rPr>
          <w:rFonts w:hint="eastAsia" w:ascii="仿宋_GB2312" w:hAnsi="仿宋_GB2312" w:eastAsia="仿宋_GB2312" w:cs="仿宋_GB2312"/>
          <w:color w:val="auto"/>
          <w:sz w:val="30"/>
          <w:szCs w:val="30"/>
          <w:highlight w:val="none"/>
          <w:u w:val="none" w:color="auto"/>
          <w:shd w:val="clear" w:color="auto" w:fill="FFFFFF"/>
        </w:rPr>
        <w:t>抗风险能力较弱，</w:t>
      </w:r>
      <w:r>
        <w:rPr>
          <w:rFonts w:hint="eastAsia" w:ascii="仿宋_GB2312" w:hAnsi="仿宋_GB2312" w:eastAsia="仿宋_GB2312" w:cs="仿宋_GB2312"/>
          <w:color w:val="auto"/>
          <w:sz w:val="30"/>
          <w:szCs w:val="30"/>
          <w:highlight w:val="none"/>
          <w:u w:val="none" w:color="auto"/>
        </w:rPr>
        <w:t>新兴产业在工业中比重偏</w:t>
      </w:r>
      <w:r>
        <w:rPr>
          <w:rFonts w:hint="eastAsia" w:ascii="仿宋_GB2312" w:hAnsi="仿宋_GB2312" w:eastAsia="仿宋_GB2312" w:cs="仿宋_GB2312"/>
          <w:color w:val="auto"/>
          <w:sz w:val="30"/>
          <w:szCs w:val="30"/>
          <w:highlight w:val="none"/>
          <w:u w:val="none" w:color="auto"/>
          <w:lang w:val="en-US" w:eastAsia="zh-CN"/>
        </w:rPr>
        <w:t>低</w:t>
      </w:r>
      <w:r>
        <w:rPr>
          <w:rFonts w:hint="eastAsia" w:ascii="仿宋_GB2312" w:hAnsi="仿宋_GB2312" w:eastAsia="仿宋_GB2312" w:cs="仿宋_GB2312"/>
          <w:color w:val="auto"/>
          <w:sz w:val="30"/>
          <w:szCs w:val="30"/>
          <w:highlight w:val="none"/>
          <w:u w:val="none" w:color="auto"/>
        </w:rPr>
        <w:t>。</w:t>
      </w:r>
      <w:r>
        <w:rPr>
          <w:rFonts w:hint="eastAsia" w:ascii="仿宋_GB2312" w:hAnsi="仿宋_GB2312" w:eastAsia="仿宋_GB2312" w:cs="仿宋_GB2312"/>
          <w:bCs/>
          <w:color w:val="auto"/>
          <w:sz w:val="30"/>
          <w:szCs w:val="30"/>
          <w:highlight w:val="none"/>
          <w:u w:val="none" w:color="auto"/>
          <w:lang w:eastAsia="zh-CN"/>
        </w:rPr>
        <w:t>县级</w:t>
      </w:r>
      <w:r>
        <w:rPr>
          <w:rFonts w:hint="eastAsia" w:ascii="仿宋_GB2312" w:hAnsi="仿宋_GB2312" w:eastAsia="仿宋_GB2312" w:cs="仿宋_GB2312"/>
          <w:bCs/>
          <w:color w:val="auto"/>
          <w:sz w:val="30"/>
          <w:szCs w:val="30"/>
          <w:highlight w:val="none"/>
          <w:u w:val="none" w:color="auto"/>
        </w:rPr>
        <w:t>财力较弱，投资对外部支持依赖性强，自我发展后劲不足；在高品质、个性化消费品开发方面创新不够，扩大消费难度较大，新消费业态发展尚未起步。同时，由于自然因素影响，还面临较大的资源环境压力，经济转型升级加快高质量发展的压力较大。</w:t>
      </w:r>
    </w:p>
    <w:p>
      <w:pPr>
        <w:keepNext w:val="0"/>
        <w:keepLines w:val="0"/>
        <w:pageBreakBefore w:val="0"/>
        <w:widowControl w:val="0"/>
        <w:shd w:val="clear"/>
        <w:kinsoku/>
        <w:wordWrap/>
        <w:overflowPunct/>
        <w:topLinePunct w:val="0"/>
        <w:autoSpaceDE/>
        <w:autoSpaceDN/>
        <w:bidi w:val="0"/>
        <w:spacing w:line="560" w:lineRule="exact"/>
        <w:ind w:firstLine="602" w:firstLineChars="200"/>
        <w:textAlignment w:val="auto"/>
        <w:rPr>
          <w:rFonts w:hint="eastAsia" w:ascii="仿宋_GB2312" w:hAnsi="仿宋_GB2312" w:eastAsia="仿宋_GB2312" w:cs="仿宋_GB2312"/>
          <w:color w:val="auto"/>
          <w:sz w:val="28"/>
          <w:szCs w:val="28"/>
          <w:u w:val="none" w:color="auto"/>
          <w:lang w:val="en-US" w:eastAsia="zh-CN"/>
        </w:rPr>
      </w:pPr>
      <w:r>
        <w:rPr>
          <w:rFonts w:hint="eastAsia" w:ascii="仿宋_GB2312" w:hAnsi="仿宋_GB2312" w:eastAsia="仿宋_GB2312" w:cs="仿宋_GB2312"/>
          <w:b/>
          <w:bCs/>
          <w:color w:val="auto"/>
          <w:sz w:val="30"/>
          <w:szCs w:val="30"/>
          <w:u w:val="none" w:color="auto"/>
          <w:lang w:eastAsia="zh-CN"/>
        </w:rPr>
        <w:t>社会多元需求释放的集中期。</w:t>
      </w:r>
      <w:r>
        <w:rPr>
          <w:rFonts w:hint="eastAsia" w:ascii="仿宋_GB2312" w:hAnsi="仿宋_GB2312" w:eastAsia="仿宋_GB2312" w:cs="仿宋_GB2312"/>
          <w:bCs/>
          <w:color w:val="auto"/>
          <w:sz w:val="30"/>
          <w:szCs w:val="30"/>
          <w:highlight w:val="none"/>
          <w:u w:val="none" w:color="auto"/>
          <w:lang w:eastAsia="zh-CN"/>
        </w:rPr>
        <w:t>我国社会主要矛盾已经转化为人民日益增长的美好生活需要和不平衡不充分的发展之间的矛盾，人民对美好生活的要求不断提高，社会多元需求将集中释放。</w:t>
      </w:r>
      <w:r>
        <w:rPr>
          <w:rFonts w:hint="eastAsia" w:ascii="仿宋_GB2312" w:hAnsi="仿宋_GB2312" w:eastAsia="仿宋_GB2312" w:cs="仿宋_GB2312"/>
          <w:color w:val="auto"/>
          <w:sz w:val="30"/>
          <w:szCs w:val="30"/>
          <w:u w:val="none" w:color="auto"/>
          <w:lang w:eastAsia="zh-CN"/>
        </w:rPr>
        <w:t>疫情防控常态化下，潜在的社会矛盾和社会风险加剧；社会面防控仍有漏洞，群众的安全感亟待继续提升。当前正处于脱贫攻坚巩固</w:t>
      </w:r>
      <w:r>
        <w:rPr>
          <w:rFonts w:hint="eastAsia" w:ascii="仿宋_GB2312" w:hAnsi="仿宋_GB2312" w:eastAsia="仿宋_GB2312" w:cs="仿宋_GB2312"/>
          <w:color w:val="auto"/>
          <w:sz w:val="30"/>
          <w:szCs w:val="30"/>
          <w:u w:val="none" w:color="auto"/>
          <w:lang w:val="en-US" w:eastAsia="zh-CN"/>
        </w:rPr>
        <w:t>提升</w:t>
      </w:r>
      <w:r>
        <w:rPr>
          <w:rFonts w:hint="eastAsia" w:ascii="仿宋_GB2312" w:hAnsi="仿宋_GB2312" w:eastAsia="仿宋_GB2312" w:cs="仿宋_GB2312"/>
          <w:color w:val="auto"/>
          <w:sz w:val="28"/>
          <w:szCs w:val="28"/>
          <w:u w:val="none" w:color="auto"/>
          <w:lang w:eastAsia="zh-CN"/>
        </w:rPr>
        <w:t>向乡村振兴转移的阶段，城乡区域发展和收入分配差距较大，基础设施投入不足，民生保障存在短板，人居环境改善程度不高，群众的获得感未得到充分满足。城乡人均可支配收入有待提高，在休闲、教育、保健、住房、社会保障等项目上的需求和消费未得到充分激发，让老百姓享受到经济发展带来的成果，</w:t>
      </w:r>
      <w:r>
        <w:rPr>
          <w:rFonts w:hint="eastAsia" w:ascii="仿宋_GB2312" w:hAnsi="仿宋_GB2312" w:eastAsia="仿宋_GB2312" w:cs="仿宋_GB2312"/>
          <w:color w:val="auto"/>
          <w:sz w:val="28"/>
          <w:szCs w:val="28"/>
          <w:u w:val="none" w:color="auto"/>
          <w:lang w:val="en-US" w:eastAsia="zh-CN"/>
        </w:rPr>
        <w:t>切实提升群众的幸福感将是未来工作的重点。</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02" w:firstLineChars="200"/>
        <w:textAlignment w:val="auto"/>
        <w:rPr>
          <w:rFonts w:hint="eastAsia" w:ascii="仿宋_GB2312" w:hAnsi="仿宋_GB2312" w:eastAsia="仿宋_GB2312" w:cs="仿宋_GB2312"/>
          <w:bCs/>
          <w:color w:val="auto"/>
          <w:sz w:val="30"/>
          <w:szCs w:val="30"/>
          <w:highlight w:val="none"/>
          <w:u w:val="none" w:color="auto"/>
          <w:lang w:eastAsia="zh-CN"/>
        </w:rPr>
      </w:pPr>
      <w:r>
        <w:rPr>
          <w:rFonts w:hint="eastAsia" w:ascii="仿宋_GB2312" w:hAnsi="仿宋_GB2312" w:eastAsia="仿宋_GB2312" w:cs="仿宋_GB2312"/>
          <w:b/>
          <w:bCs/>
          <w:color w:val="auto"/>
          <w:sz w:val="30"/>
          <w:szCs w:val="30"/>
          <w:u w:val="none" w:color="auto"/>
          <w:lang w:eastAsia="zh-CN"/>
        </w:rPr>
        <w:t>人口人才结构优化的加速期。</w:t>
      </w:r>
      <w:r>
        <w:rPr>
          <w:rFonts w:hint="eastAsia" w:ascii="仿宋_GB2312" w:hAnsi="仿宋_GB2312" w:eastAsia="仿宋_GB2312" w:cs="仿宋_GB2312"/>
          <w:bCs/>
          <w:color w:val="auto"/>
          <w:sz w:val="30"/>
          <w:szCs w:val="30"/>
          <w:highlight w:val="none"/>
          <w:u w:val="none" w:color="auto"/>
          <w:lang w:eastAsia="zh-CN"/>
        </w:rPr>
        <w:t>高质量发展对人力资本的数量、质量、结构和分布提出了新的要求，</w:t>
      </w:r>
      <w:r>
        <w:rPr>
          <w:rFonts w:hint="eastAsia" w:ascii="仿宋_GB2312" w:hAnsi="仿宋_GB2312" w:eastAsia="仿宋_GB2312" w:cs="仿宋_GB2312"/>
          <w:bCs/>
          <w:color w:val="auto"/>
          <w:sz w:val="30"/>
          <w:szCs w:val="30"/>
          <w:highlight w:val="none"/>
          <w:u w:val="none" w:color="auto"/>
        </w:rPr>
        <w:t>竞争力最终体现于对人才的</w:t>
      </w:r>
      <w:r>
        <w:rPr>
          <w:rFonts w:hint="eastAsia" w:ascii="仿宋_GB2312" w:hAnsi="仿宋_GB2312" w:eastAsia="仿宋_GB2312" w:cs="仿宋_GB2312"/>
          <w:bCs/>
          <w:color w:val="auto"/>
          <w:sz w:val="30"/>
          <w:szCs w:val="30"/>
          <w:highlight w:val="none"/>
          <w:u w:val="none" w:color="auto"/>
          <w:lang w:eastAsia="zh-CN"/>
        </w:rPr>
        <w:t>迫切需要，人口人才结构将加速优化。叶城当前人口人才结构与经济发展需求不尽匹配，高层次人才有效供给不足，</w:t>
      </w:r>
      <w:r>
        <w:rPr>
          <w:rFonts w:hint="eastAsia" w:ascii="仿宋_GB2312" w:hAnsi="仿宋_GB2312" w:eastAsia="仿宋_GB2312" w:cs="仿宋_GB2312"/>
          <w:bCs/>
          <w:color w:val="auto"/>
          <w:sz w:val="30"/>
          <w:szCs w:val="30"/>
          <w:highlight w:val="none"/>
          <w:u w:val="none" w:color="auto"/>
        </w:rPr>
        <w:t>中高等教育人才严重匮乏，</w:t>
      </w:r>
      <w:r>
        <w:rPr>
          <w:rFonts w:hint="eastAsia" w:ascii="仿宋_GB2312" w:hAnsi="仿宋_GB2312" w:eastAsia="仿宋_GB2312" w:cs="仿宋_GB2312"/>
          <w:bCs/>
          <w:color w:val="auto"/>
          <w:sz w:val="30"/>
          <w:szCs w:val="30"/>
          <w:highlight w:val="none"/>
          <w:u w:val="none" w:color="auto"/>
          <w:lang w:eastAsia="zh-CN"/>
        </w:rPr>
        <w:t>专业化人才队伍缺口较大，本地</w:t>
      </w:r>
      <w:r>
        <w:rPr>
          <w:rFonts w:hint="eastAsia" w:ascii="仿宋_GB2312" w:hAnsi="仿宋_GB2312" w:eastAsia="仿宋_GB2312" w:cs="仿宋_GB2312"/>
          <w:bCs/>
          <w:color w:val="auto"/>
          <w:sz w:val="30"/>
          <w:szCs w:val="30"/>
          <w:highlight w:val="none"/>
          <w:u w:val="none" w:color="auto"/>
        </w:rPr>
        <w:t>年轻人口基数大</w:t>
      </w:r>
      <w:r>
        <w:rPr>
          <w:rFonts w:hint="eastAsia" w:ascii="仿宋_GB2312" w:hAnsi="仿宋_GB2312" w:eastAsia="仿宋_GB2312" w:cs="仿宋_GB2312"/>
          <w:bCs/>
          <w:color w:val="auto"/>
          <w:sz w:val="30"/>
          <w:szCs w:val="30"/>
          <w:highlight w:val="none"/>
          <w:u w:val="none" w:color="auto"/>
          <w:lang w:eastAsia="zh-CN"/>
        </w:rPr>
        <w:t>，</w:t>
      </w:r>
      <w:r>
        <w:rPr>
          <w:rFonts w:hint="eastAsia" w:ascii="仿宋_GB2312" w:hAnsi="仿宋_GB2312" w:eastAsia="仿宋_GB2312" w:cs="仿宋_GB2312"/>
          <w:bCs/>
          <w:color w:val="auto"/>
          <w:sz w:val="30"/>
          <w:szCs w:val="30"/>
          <w:highlight w:val="none"/>
          <w:u w:val="none" w:color="auto"/>
        </w:rPr>
        <w:t>但受教育程度</w:t>
      </w:r>
      <w:r>
        <w:rPr>
          <w:rFonts w:hint="eastAsia" w:ascii="仿宋_GB2312" w:hAnsi="仿宋_GB2312" w:eastAsia="仿宋_GB2312" w:cs="仿宋_GB2312"/>
          <w:bCs/>
          <w:color w:val="auto"/>
          <w:sz w:val="30"/>
          <w:szCs w:val="30"/>
          <w:highlight w:val="none"/>
          <w:u w:val="none" w:color="auto"/>
          <w:lang w:eastAsia="zh-CN"/>
        </w:rPr>
        <w:t>普遍较</w:t>
      </w:r>
      <w:r>
        <w:rPr>
          <w:rFonts w:hint="eastAsia" w:ascii="仿宋_GB2312" w:hAnsi="仿宋_GB2312" w:eastAsia="仿宋_GB2312" w:cs="仿宋_GB2312"/>
          <w:bCs/>
          <w:color w:val="auto"/>
          <w:sz w:val="30"/>
          <w:szCs w:val="30"/>
          <w:highlight w:val="none"/>
          <w:u w:val="none" w:color="auto"/>
        </w:rPr>
        <w:t>低</w:t>
      </w:r>
      <w:r>
        <w:rPr>
          <w:rFonts w:hint="eastAsia" w:ascii="仿宋_GB2312" w:hAnsi="仿宋_GB2312" w:eastAsia="仿宋_GB2312" w:cs="仿宋_GB2312"/>
          <w:bCs/>
          <w:color w:val="auto"/>
          <w:sz w:val="30"/>
          <w:szCs w:val="30"/>
          <w:highlight w:val="none"/>
          <w:u w:val="none" w:color="auto"/>
          <w:lang w:eastAsia="zh-CN"/>
        </w:rPr>
        <w:t>，普通话水</w:t>
      </w:r>
      <w:r>
        <w:rPr>
          <w:rFonts w:hint="eastAsia" w:ascii="仿宋_GB2312" w:hAnsi="仿宋_GB2312" w:eastAsia="仿宋_GB2312" w:cs="仿宋_GB2312"/>
          <w:bCs/>
          <w:color w:val="auto"/>
          <w:sz w:val="30"/>
          <w:szCs w:val="30"/>
          <w:highlight w:val="none"/>
          <w:u w:val="none" w:color="auto"/>
          <w:lang w:val="en-US" w:eastAsia="zh-CN"/>
        </w:rPr>
        <w:t>平</w:t>
      </w:r>
      <w:r>
        <w:rPr>
          <w:rFonts w:hint="eastAsia" w:ascii="仿宋_GB2312" w:hAnsi="仿宋_GB2312" w:eastAsia="仿宋_GB2312" w:cs="仿宋_GB2312"/>
          <w:bCs/>
          <w:color w:val="auto"/>
          <w:sz w:val="30"/>
          <w:szCs w:val="30"/>
          <w:highlight w:val="none"/>
          <w:u w:val="none" w:color="auto"/>
          <w:lang w:eastAsia="zh-CN"/>
        </w:rPr>
        <w:t>有待提高</w:t>
      </w:r>
      <w:r>
        <w:rPr>
          <w:rFonts w:hint="eastAsia" w:ascii="仿宋_GB2312" w:hAnsi="仿宋_GB2312" w:eastAsia="仿宋_GB2312" w:cs="仿宋_GB2312"/>
          <w:bCs/>
          <w:color w:val="auto"/>
          <w:sz w:val="30"/>
          <w:szCs w:val="30"/>
          <w:highlight w:val="none"/>
          <w:u w:val="none" w:color="auto"/>
        </w:rPr>
        <w:t>。由于自然环境差，</w:t>
      </w:r>
      <w:r>
        <w:rPr>
          <w:rFonts w:hint="eastAsia" w:ascii="仿宋_GB2312" w:hAnsi="仿宋_GB2312" w:eastAsia="仿宋_GB2312" w:cs="仿宋_GB2312"/>
          <w:bCs/>
          <w:color w:val="auto"/>
          <w:sz w:val="30"/>
          <w:szCs w:val="30"/>
          <w:highlight w:val="none"/>
          <w:u w:val="none" w:color="auto"/>
          <w:lang w:eastAsia="zh-CN"/>
        </w:rPr>
        <w:t>人才制度建设不完善，</w:t>
      </w:r>
      <w:r>
        <w:rPr>
          <w:rFonts w:hint="eastAsia" w:ascii="仿宋_GB2312" w:hAnsi="仿宋_GB2312" w:eastAsia="仿宋_GB2312" w:cs="仿宋_GB2312"/>
          <w:bCs/>
          <w:color w:val="auto"/>
          <w:sz w:val="30"/>
          <w:szCs w:val="30"/>
          <w:highlight w:val="none"/>
          <w:u w:val="none" w:color="auto"/>
        </w:rPr>
        <w:t>实际待遇低，工作任务重，引进人才难、留住人才更难，“人心思走”和人才流失问题比较突出。</w:t>
      </w:r>
    </w:p>
    <w:p>
      <w:pPr>
        <w:keepNext w:val="0"/>
        <w:keepLines w:val="0"/>
        <w:pageBreakBefore w:val="0"/>
        <w:widowControl w:val="0"/>
        <w:shd w:val="clear"/>
        <w:kinsoku/>
        <w:wordWrap/>
        <w:overflowPunct/>
        <w:topLinePunct w:val="0"/>
        <w:autoSpaceDE/>
        <w:autoSpaceDN/>
        <w:bidi w:val="0"/>
        <w:adjustRightInd/>
        <w:snapToGrid/>
        <w:spacing w:line="560" w:lineRule="exact"/>
        <w:ind w:firstLine="690"/>
        <w:textAlignment w:val="auto"/>
        <w:rPr>
          <w:rFonts w:hint="eastAsia" w:ascii="仿宋_GB2312" w:hAnsi="仿宋_GB2312" w:eastAsia="仿宋_GB2312" w:cs="仿宋_GB2312"/>
          <w:b w:val="0"/>
          <w:bCs/>
          <w:color w:val="auto"/>
          <w:sz w:val="30"/>
          <w:szCs w:val="30"/>
          <w:u w:val="none" w:color="auto"/>
          <w:lang w:eastAsia="zh-CN"/>
        </w:rPr>
      </w:pPr>
      <w:r>
        <w:rPr>
          <w:rFonts w:hint="eastAsia" w:ascii="仿宋_GB2312" w:hAnsi="仿宋_GB2312" w:eastAsia="仿宋_GB2312" w:cs="仿宋_GB2312"/>
          <w:b/>
          <w:bCs/>
          <w:color w:val="auto"/>
          <w:sz w:val="30"/>
          <w:szCs w:val="30"/>
          <w:u w:val="none" w:color="auto"/>
          <w:lang w:eastAsia="zh-CN"/>
        </w:rPr>
        <w:t>营商环境亟待改善的攻坚期。</w:t>
      </w:r>
      <w:r>
        <w:rPr>
          <w:rFonts w:hint="eastAsia" w:ascii="仿宋_GB2312" w:hAnsi="仿宋_GB2312" w:eastAsia="仿宋_GB2312" w:cs="仿宋_GB2312"/>
          <w:bCs/>
          <w:color w:val="auto"/>
          <w:sz w:val="30"/>
          <w:szCs w:val="30"/>
          <w:highlight w:val="none"/>
          <w:u w:val="none" w:color="auto"/>
          <w:lang w:eastAsia="zh-CN"/>
        </w:rPr>
        <w:t>随着持续深化“放管服”改革，加快服务型政府建设，营商环境改善将更为迫切。</w:t>
      </w:r>
      <w:r>
        <w:rPr>
          <w:rFonts w:hint="eastAsia" w:ascii="仿宋_GB2312" w:hAnsi="仿宋_GB2312" w:eastAsia="仿宋_GB2312" w:cs="仿宋_GB2312"/>
          <w:b w:val="0"/>
          <w:bCs/>
          <w:color w:val="auto"/>
          <w:sz w:val="30"/>
          <w:szCs w:val="30"/>
          <w:u w:val="none" w:color="auto"/>
          <w:lang w:eastAsia="zh-CN"/>
        </w:rPr>
        <w:t>营商环境已难以适应新时代经济发展需要，干部专业化程度偏低，对经济发展的规律认识不足，对企业发展管理的认识低下，对优化营商环境的认识理解还不准确、不到位，“放管服”改革落实执行表面化，审批效率低，企业和群众重复跑路的现象依然存在；部分单位还存在着只能咨询不能办事的问题，服务态度和服务质量还有待提高；</w:t>
      </w:r>
      <w:r>
        <w:rPr>
          <w:rFonts w:hint="eastAsia" w:ascii="仿宋_GB2312" w:hAnsi="仿宋_GB2312" w:eastAsia="仿宋_GB2312" w:cs="仿宋_GB2312"/>
          <w:bCs/>
          <w:color w:val="auto"/>
          <w:sz w:val="30"/>
          <w:szCs w:val="30"/>
          <w:u w:val="none" w:color="auto"/>
        </w:rPr>
        <w:t>违规收费现象不同程度上依然存在，收费政策宣传、执法检查、行政监管等工作力度有待加强。</w:t>
      </w:r>
      <w:r>
        <w:rPr>
          <w:rFonts w:hint="eastAsia" w:ascii="仿宋_GB2312" w:hAnsi="仿宋_GB2312" w:eastAsia="仿宋_GB2312" w:cs="仿宋_GB2312"/>
          <w:b w:val="0"/>
          <w:bCs/>
          <w:color w:val="auto"/>
          <w:sz w:val="30"/>
          <w:szCs w:val="30"/>
          <w:u w:val="none" w:color="auto"/>
          <w:lang w:eastAsia="zh-CN"/>
        </w:rPr>
        <w:t>此外，坚持法治思维，保障市场主体的合法地位意识不够，政策制定的不稳定性、朝令夕改现象还不同程度存在，招商理念和服务水平亟待提高。</w:t>
      </w:r>
    </w:p>
    <w:p>
      <w:pPr>
        <w:pStyle w:val="18"/>
        <w:keepNext w:val="0"/>
        <w:keepLines w:val="0"/>
        <w:spacing w:beforeLines="50" w:afterLines="50"/>
        <w:rPr>
          <w:rFonts w:hint="default" w:ascii="Times New Roman" w:hAnsi="Times New Roman" w:eastAsia="楷体"/>
          <w:lang w:val="en-US" w:eastAsia="zh-CN"/>
        </w:rPr>
      </w:pPr>
      <w:bookmarkStart w:id="38" w:name="_Toc12387"/>
      <w:bookmarkStart w:id="39" w:name="_Toc28389"/>
      <w:r>
        <w:rPr>
          <w:rFonts w:hint="eastAsia" w:ascii="Times New Roman" w:hAnsi="Times New Roman"/>
        </w:rPr>
        <w:t>第</w:t>
      </w:r>
      <w:r>
        <w:rPr>
          <w:rFonts w:hint="eastAsia" w:ascii="Times New Roman" w:hAnsi="Times New Roman"/>
          <w:lang w:val="en-US" w:eastAsia="zh-CN"/>
        </w:rPr>
        <w:t>四</w:t>
      </w:r>
      <w:r>
        <w:rPr>
          <w:rFonts w:hint="eastAsia" w:ascii="Times New Roman" w:hAnsi="Times New Roman"/>
        </w:rPr>
        <w:t xml:space="preserve">节 </w:t>
      </w:r>
      <w:r>
        <w:rPr>
          <w:rFonts w:hint="eastAsia" w:ascii="Times New Roman" w:hAnsi="Times New Roman"/>
          <w:lang w:val="en-US" w:eastAsia="zh-CN"/>
        </w:rPr>
        <w:t>远景目标</w:t>
      </w:r>
      <w:bookmarkEnd w:id="38"/>
      <w:bookmarkEnd w:id="39"/>
    </w:p>
    <w:p>
      <w:pPr>
        <w:spacing w:line="560" w:lineRule="exact"/>
        <w:ind w:firstLine="567" w:firstLineChars="189"/>
        <w:jc w:val="left"/>
        <w:rPr>
          <w:rFonts w:eastAsia="仿宋_GB2312" w:cs="仿宋_GB2312"/>
          <w:sz w:val="30"/>
          <w:szCs w:val="30"/>
        </w:rPr>
      </w:pPr>
      <w:r>
        <w:rPr>
          <w:rFonts w:hint="eastAsia" w:eastAsia="仿宋_GB2312" w:cs="仿宋_GB2312"/>
          <w:sz w:val="30"/>
          <w:szCs w:val="30"/>
          <w:lang w:val="en-US" w:eastAsia="zh-CN"/>
        </w:rPr>
        <w:t>按照党中央、自治区和喀什地区2035年远景的战略安排，结合叶城县实际，提出与全疆全国同步基本实现现代化远景目标：法治叶城建设全面推进，社会大局持续稳定长期稳定，基本实现社会治理体系和治理能力现代化，长治久安基础更加坚实；综合实力大幅提升，经济总量和城乡居民人均收入迈上新台阶，创新能力显著提高；基本实现农业现代化、新型工业化、城镇化和信息化，构建具有鲜明叶城特色的现代化经济体系；文化润疆取得重大成效，中华民族共同体意识深入人心，伊斯兰教中国化水平明显提升，各族群众素质和社会文明程度达到新高度；生态环境持续改善，广泛形成绿色生产生活方式；外向型经济体系更加完善，对内对外开放水平显著提升，</w:t>
      </w:r>
      <w:r>
        <w:rPr>
          <w:rFonts w:hint="eastAsia" w:eastAsia="仿宋_GB2312"/>
          <w:sz w:val="30"/>
          <w:szCs w:val="30"/>
        </w:rPr>
        <w:t>丝绸之路经济带核心区结合点、增长极、区域中心重要支点</w:t>
      </w:r>
      <w:r>
        <w:rPr>
          <w:rFonts w:hint="eastAsia" w:eastAsia="仿宋_GB2312"/>
          <w:sz w:val="30"/>
          <w:szCs w:val="30"/>
          <w:lang w:val="en-US" w:eastAsia="zh-CN"/>
        </w:rPr>
        <w:t>作用全面发挥</w:t>
      </w:r>
      <w:r>
        <w:rPr>
          <w:rFonts w:hint="eastAsia" w:eastAsia="仿宋_GB2312"/>
          <w:sz w:val="30"/>
          <w:szCs w:val="30"/>
        </w:rPr>
        <w:t>，新藏线上重要的物资供应保障基地</w:t>
      </w:r>
      <w:r>
        <w:rPr>
          <w:rFonts w:hint="eastAsia" w:eastAsia="仿宋_GB2312"/>
          <w:sz w:val="30"/>
          <w:szCs w:val="30"/>
          <w:lang w:val="en-US" w:eastAsia="zh-CN"/>
        </w:rPr>
        <w:t>和新疆</w:t>
      </w:r>
      <w:r>
        <w:rPr>
          <w:rFonts w:hint="eastAsia" w:eastAsia="仿宋_GB2312"/>
          <w:sz w:val="30"/>
          <w:szCs w:val="30"/>
        </w:rPr>
        <w:t>重要的战略物资储备基地</w:t>
      </w:r>
      <w:r>
        <w:rPr>
          <w:rFonts w:hint="eastAsia" w:eastAsia="仿宋_GB2312"/>
          <w:sz w:val="30"/>
          <w:szCs w:val="30"/>
          <w:lang w:val="en-US" w:eastAsia="zh-CN"/>
        </w:rPr>
        <w:t>功能进一步增强</w:t>
      </w:r>
      <w:r>
        <w:rPr>
          <w:rFonts w:hint="eastAsia" w:eastAsia="仿宋_GB2312"/>
          <w:sz w:val="30"/>
          <w:szCs w:val="30"/>
        </w:rPr>
        <w:t>，全国知名的核桃批发交易中心和世界级旅游目的地城市</w:t>
      </w:r>
      <w:r>
        <w:rPr>
          <w:rFonts w:hint="eastAsia" w:eastAsia="仿宋_GB2312"/>
          <w:sz w:val="30"/>
          <w:szCs w:val="30"/>
          <w:lang w:val="en-US" w:eastAsia="zh-CN"/>
        </w:rPr>
        <w:t>全面建成；城乡区域发展差距和居民生活水平差距显著缩小，城镇化水平达到全国平均水平，基本公共服务实现均等化，高品质城市全面建成；人民生活更加美好，人的全面发展和全体人民共同富裕取得更加明显的实质性进展。平安叶城、健康叶城、文明叶城、富裕叶城、幸福叶城、美丽叶城建设达到更高水平</w:t>
      </w:r>
      <w:r>
        <w:rPr>
          <w:rFonts w:hint="eastAsia" w:eastAsia="仿宋_GB2312" w:cs="仿宋_GB2312"/>
          <w:sz w:val="30"/>
          <w:szCs w:val="30"/>
        </w:rPr>
        <w:t>。</w:t>
      </w:r>
      <w:bookmarkEnd w:id="37"/>
    </w:p>
    <w:p>
      <w:pPr>
        <w:pStyle w:val="3"/>
        <w:keepNext w:val="0"/>
        <w:keepLines w:val="0"/>
        <w:pageBreakBefore w:val="0"/>
        <w:widowControl w:val="0"/>
        <w:shd w:val="clear"/>
        <w:kinsoku/>
        <w:wordWrap/>
        <w:overflowPunct/>
        <w:topLinePunct w:val="0"/>
        <w:autoSpaceDE/>
        <w:autoSpaceDN/>
        <w:bidi w:val="0"/>
        <w:adjustRightInd/>
        <w:snapToGrid/>
        <w:spacing w:beforeLines="100" w:after="206" w:afterLines="50" w:line="560" w:lineRule="exact"/>
        <w:jc w:val="center"/>
        <w:textAlignment w:val="auto"/>
        <w:rPr>
          <w:rFonts w:hint="default" w:ascii="Times New Roman" w:hAnsi="Times New Roman" w:eastAsia="黑体" w:cs="Times New Roman"/>
          <w:b w:val="0"/>
          <w:bCs w:val="0"/>
          <w:sz w:val="30"/>
          <w:szCs w:val="30"/>
          <w:lang w:val="en-US" w:eastAsia="zh-CN"/>
        </w:rPr>
      </w:pPr>
      <w:bookmarkStart w:id="40" w:name="_Toc10742"/>
      <w:bookmarkStart w:id="41" w:name="_Toc2891_WPSOffice_Level1"/>
      <w:bookmarkStart w:id="42" w:name="_Toc29758"/>
      <w:r>
        <w:rPr>
          <w:rFonts w:hint="eastAsia" w:ascii="Times New Roman" w:hAnsi="Times New Roman" w:eastAsia="黑体" w:cs="Times New Roman"/>
          <w:b w:val="0"/>
          <w:bCs w:val="0"/>
          <w:sz w:val="30"/>
          <w:szCs w:val="30"/>
          <w:lang w:val="en-US" w:eastAsia="zh-CN"/>
        </w:rPr>
        <w:t>第三章 总体要求及目标定位</w:t>
      </w:r>
      <w:bookmarkEnd w:id="40"/>
      <w:bookmarkEnd w:id="41"/>
      <w:bookmarkEnd w:id="42"/>
    </w:p>
    <w:p>
      <w:pPr>
        <w:pStyle w:val="18"/>
        <w:keepNext w:val="0"/>
        <w:keepLines w:val="0"/>
        <w:shd w:val="clear"/>
        <w:spacing w:beforeLines="50" w:afterLines="50"/>
        <w:rPr>
          <w:rFonts w:hint="eastAsia" w:ascii="Times New Roman" w:hAnsi="Times New Roman"/>
          <w:lang w:val="en-US" w:eastAsia="zh-CN"/>
        </w:rPr>
      </w:pPr>
      <w:bookmarkStart w:id="43" w:name="_Toc11797"/>
      <w:bookmarkStart w:id="44" w:name="_Toc23830"/>
      <w:bookmarkStart w:id="45" w:name="_Toc13884_WPSOffice_Level2"/>
      <w:r>
        <w:rPr>
          <w:rFonts w:hint="eastAsia" w:ascii="Times New Roman" w:hAnsi="Times New Roman"/>
          <w:lang w:val="en-US" w:eastAsia="zh-CN"/>
        </w:rPr>
        <w:t>第一节 指导思想</w:t>
      </w:r>
      <w:bookmarkEnd w:id="43"/>
      <w:bookmarkEnd w:id="44"/>
      <w:bookmarkEnd w:id="45"/>
    </w:p>
    <w:p>
      <w:pPr>
        <w:pStyle w:val="19"/>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eastAsia="仿宋_GB2312"/>
          <w:color w:val="auto"/>
          <w:sz w:val="30"/>
          <w:szCs w:val="30"/>
          <w:highlight w:val="none"/>
        </w:rPr>
      </w:pPr>
      <w:r>
        <w:rPr>
          <w:rFonts w:hint="eastAsia" w:eastAsia="仿宋_GB2312"/>
          <w:color w:val="auto"/>
          <w:sz w:val="30"/>
          <w:szCs w:val="30"/>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增强“四个意识”，坚定“四个自信”，坐到“两个维护”，全面贯彻党的基本理论、基本路线、基本方略，贯彻落实第三次中央新疆工作座谈会精神</w:t>
      </w:r>
      <w:r>
        <w:rPr>
          <w:rFonts w:hint="eastAsia" w:eastAsia="仿宋_GB2312"/>
          <w:color w:val="auto"/>
          <w:sz w:val="30"/>
          <w:szCs w:val="30"/>
          <w:highlight w:val="none"/>
          <w:lang w:eastAsia="zh-CN"/>
        </w:rPr>
        <w:t>，</w:t>
      </w:r>
      <w:r>
        <w:rPr>
          <w:rFonts w:hint="eastAsia" w:eastAsia="仿宋_GB2312"/>
          <w:color w:val="auto"/>
          <w:sz w:val="30"/>
          <w:szCs w:val="30"/>
          <w:highlight w:val="none"/>
        </w:rPr>
        <w:t>完整准确贯彻新时代党的治疆方略，牢牢扭住新疆工作总目标，统筹推进经济建设、政治建设、文化建设、社会建设、生态文明建设的总体布局，协调推进全面建设社会主义现代化国家、全面深化改革、全面依法治国、全面从严治党的战略布局，坚持依法治疆、团结稳疆、文化润疆、富民兴疆、长期建疆，坚定不移贯彻创新、协调、绿色、开放、共享的新发展理念，坚持稳中求进工作总基调，以推动高质量发展为主题，以深化供给侧结构性改革为主线，以改革创新为根本动力，以满足人民日益增长的美好生活需要为根本目的，按照自治区党委整体工作部署和喀什地区任务安排，紧紧围绕脱贫成果巩固、乡村全面振兴、产业提质增效、城镇和谐宜居、绿色文明</w:t>
      </w:r>
      <w:r>
        <w:rPr>
          <w:rFonts w:hint="eastAsia" w:eastAsia="仿宋_GB2312"/>
          <w:color w:val="auto"/>
          <w:sz w:val="30"/>
          <w:szCs w:val="30"/>
          <w:highlight w:val="none"/>
          <w:lang w:val="en-US" w:eastAsia="zh-CN"/>
        </w:rPr>
        <w:t>发展</w:t>
      </w:r>
      <w:r>
        <w:rPr>
          <w:rFonts w:hint="eastAsia" w:eastAsia="仿宋_GB2312"/>
          <w:color w:val="auto"/>
          <w:sz w:val="30"/>
          <w:szCs w:val="30"/>
          <w:highlight w:val="none"/>
        </w:rPr>
        <w:t>和社会治理</w:t>
      </w:r>
      <w:r>
        <w:rPr>
          <w:rFonts w:hint="eastAsia" w:eastAsia="仿宋_GB2312"/>
          <w:color w:val="auto"/>
          <w:sz w:val="30"/>
          <w:szCs w:val="30"/>
          <w:highlight w:val="none"/>
          <w:lang w:val="en-US" w:eastAsia="zh-CN"/>
        </w:rPr>
        <w:t>能效提升</w:t>
      </w:r>
      <w:r>
        <w:rPr>
          <w:rFonts w:hint="eastAsia" w:eastAsia="仿宋_GB2312"/>
          <w:color w:val="auto"/>
          <w:sz w:val="30"/>
          <w:szCs w:val="30"/>
          <w:highlight w:val="none"/>
        </w:rPr>
        <w:t>，不断增强发展新优势，培育发展新动能，努力建设团结和谐、繁荣富裕、文明进步、安居乐业、生态良好的新时代中国特色社会主义新</w:t>
      </w:r>
      <w:r>
        <w:rPr>
          <w:rFonts w:hint="eastAsia" w:eastAsia="仿宋_GB2312"/>
          <w:color w:val="auto"/>
          <w:sz w:val="30"/>
          <w:szCs w:val="30"/>
          <w:highlight w:val="none"/>
          <w:lang w:val="en-US" w:eastAsia="zh-CN"/>
        </w:rPr>
        <w:t>叶城</w:t>
      </w:r>
      <w:r>
        <w:rPr>
          <w:rFonts w:hint="eastAsia" w:eastAsia="仿宋_GB2312"/>
          <w:color w:val="auto"/>
          <w:sz w:val="30"/>
          <w:szCs w:val="30"/>
          <w:highlight w:val="none"/>
        </w:rPr>
        <w:t>，不断增强人民群众的获得感、幸福感和安全感，为与全国全疆同步基本实现社会主义现代化奠定坚实基础。</w:t>
      </w:r>
    </w:p>
    <w:p>
      <w:pPr>
        <w:pStyle w:val="18"/>
        <w:keepNext w:val="0"/>
        <w:keepLines w:val="0"/>
        <w:shd w:val="clear"/>
        <w:spacing w:beforeLines="50" w:afterLines="50"/>
        <w:rPr>
          <w:rFonts w:hint="eastAsia" w:ascii="Times New Roman" w:hAnsi="Times New Roman"/>
        </w:rPr>
      </w:pPr>
      <w:bookmarkStart w:id="46" w:name="_Toc17065"/>
      <w:bookmarkStart w:id="47" w:name="_Toc35"/>
      <w:bookmarkStart w:id="48" w:name="_Toc31396"/>
      <w:bookmarkStart w:id="49" w:name="_Toc19487_WPSOffice_Level2"/>
      <w:bookmarkStart w:id="50" w:name="_Toc44240002"/>
      <w:r>
        <w:rPr>
          <w:rFonts w:hint="eastAsia" w:ascii="Times New Roman" w:hAnsi="Times New Roman"/>
          <w:lang w:val="en-US" w:eastAsia="zh-CN"/>
        </w:rPr>
        <w:t>第二节 基本原则</w:t>
      </w:r>
      <w:bookmarkEnd w:id="46"/>
      <w:bookmarkEnd w:id="47"/>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2"/>
        <w:textAlignment w:val="auto"/>
        <w:rPr>
          <w:rFonts w:eastAsia="仿宋_GB2312"/>
          <w:color w:val="auto"/>
          <w:sz w:val="30"/>
          <w:szCs w:val="30"/>
          <w:highlight w:val="none"/>
        </w:rPr>
      </w:pPr>
      <w:r>
        <w:rPr>
          <w:rFonts w:hint="eastAsia" w:eastAsia="仿宋_GB2312" w:cs="仿宋_GB2312"/>
          <w:b/>
          <w:bCs/>
          <w:color w:val="auto"/>
          <w:sz w:val="30"/>
          <w:szCs w:val="30"/>
          <w:highlight w:val="none"/>
        </w:rPr>
        <w:t>坚持党</w:t>
      </w:r>
      <w:r>
        <w:rPr>
          <w:rFonts w:hint="eastAsia" w:eastAsia="仿宋_GB2312" w:cs="仿宋_GB2312"/>
          <w:b/>
          <w:bCs/>
          <w:color w:val="auto"/>
          <w:sz w:val="30"/>
          <w:szCs w:val="30"/>
          <w:highlight w:val="none"/>
          <w:lang w:val="en-US" w:eastAsia="zh-CN"/>
        </w:rPr>
        <w:t>的全面领导</w:t>
      </w:r>
      <w:r>
        <w:rPr>
          <w:rFonts w:hint="eastAsia" w:eastAsia="仿宋_GB2312" w:cs="仿宋_GB2312"/>
          <w:b/>
          <w:bCs/>
          <w:color w:val="auto"/>
          <w:sz w:val="30"/>
          <w:szCs w:val="30"/>
          <w:highlight w:val="none"/>
        </w:rPr>
        <w:t>。</w:t>
      </w:r>
      <w:r>
        <w:rPr>
          <w:rFonts w:hint="eastAsia" w:ascii="Times New Roman" w:hAnsi="Times New Roman" w:eastAsia="仿宋_GB2312" w:cs="Times New Roman"/>
          <w:color w:val="auto"/>
          <w:kern w:val="2"/>
          <w:sz w:val="30"/>
          <w:szCs w:val="30"/>
          <w:highlight w:val="none"/>
          <w:lang w:val="en-US" w:eastAsia="zh-CN" w:bidi="ar-SA"/>
        </w:rPr>
        <w:t>坚持和完善党领导经济社会发展的</w:t>
      </w:r>
      <w:r>
        <w:rPr>
          <w:rFonts w:hint="eastAsia" w:eastAsia="仿宋_GB2312" w:cs="Times New Roman"/>
          <w:color w:val="auto"/>
          <w:kern w:val="2"/>
          <w:sz w:val="30"/>
          <w:szCs w:val="30"/>
          <w:highlight w:val="none"/>
          <w:lang w:val="en-US" w:eastAsia="zh-CN" w:bidi="ar-SA"/>
        </w:rPr>
        <w:t>体制</w:t>
      </w:r>
      <w:r>
        <w:rPr>
          <w:rFonts w:hint="eastAsia" w:ascii="Times New Roman" w:hAnsi="Times New Roman" w:eastAsia="仿宋_GB2312" w:cs="Times New Roman"/>
          <w:color w:val="auto"/>
          <w:kern w:val="2"/>
          <w:sz w:val="30"/>
          <w:szCs w:val="30"/>
          <w:highlight w:val="none"/>
          <w:lang w:val="en-US" w:eastAsia="zh-CN" w:bidi="ar-SA"/>
        </w:rPr>
        <w:t>机制，坚持和完善中国特色社会主义制度，不断提高贯彻新发展理念</w:t>
      </w:r>
      <w:r>
        <w:rPr>
          <w:rFonts w:hint="eastAsia" w:eastAsia="仿宋_GB2312" w:cs="Times New Roman"/>
          <w:color w:val="auto"/>
          <w:kern w:val="2"/>
          <w:sz w:val="30"/>
          <w:szCs w:val="30"/>
          <w:highlight w:val="none"/>
          <w:lang w:val="en-US" w:eastAsia="zh-CN" w:bidi="ar-SA"/>
        </w:rPr>
        <w:t>、</w:t>
      </w:r>
      <w:r>
        <w:rPr>
          <w:rFonts w:hint="eastAsia" w:ascii="Times New Roman" w:hAnsi="Times New Roman" w:eastAsia="仿宋_GB2312" w:cs="Times New Roman"/>
          <w:color w:val="auto"/>
          <w:kern w:val="2"/>
          <w:sz w:val="30"/>
          <w:szCs w:val="30"/>
          <w:highlight w:val="none"/>
          <w:lang w:val="en-US" w:eastAsia="zh-CN" w:bidi="ar-SA"/>
        </w:rPr>
        <w:t>构建新发展格局能力和水平，为</w:t>
      </w:r>
      <w:r>
        <w:rPr>
          <w:rFonts w:hint="eastAsia" w:eastAsia="仿宋_GB2312"/>
          <w:color w:val="auto"/>
          <w:sz w:val="30"/>
          <w:szCs w:val="30"/>
          <w:highlight w:val="none"/>
        </w:rPr>
        <w:t>叶城县</w:t>
      </w:r>
      <w:r>
        <w:rPr>
          <w:rFonts w:hint="eastAsia" w:ascii="Times New Roman" w:hAnsi="Times New Roman" w:eastAsia="仿宋_GB2312" w:cs="Times New Roman"/>
          <w:color w:val="auto"/>
          <w:kern w:val="2"/>
          <w:sz w:val="30"/>
          <w:szCs w:val="30"/>
          <w:highlight w:val="none"/>
          <w:lang w:val="en-US" w:eastAsia="zh-CN" w:bidi="ar-SA"/>
        </w:rPr>
        <w:t>实现高质量发展</w:t>
      </w:r>
      <w:r>
        <w:rPr>
          <w:rFonts w:hint="eastAsia" w:eastAsia="仿宋_GB2312" w:cs="Times New Roman"/>
          <w:color w:val="auto"/>
          <w:kern w:val="2"/>
          <w:sz w:val="30"/>
          <w:szCs w:val="30"/>
          <w:highlight w:val="none"/>
          <w:lang w:val="en-US" w:eastAsia="zh-CN" w:bidi="ar-SA"/>
        </w:rPr>
        <w:t>，</w:t>
      </w:r>
      <w:r>
        <w:rPr>
          <w:rFonts w:hint="eastAsia" w:eastAsia="仿宋_GB2312"/>
          <w:color w:val="auto"/>
          <w:sz w:val="30"/>
          <w:szCs w:val="30"/>
          <w:highlight w:val="none"/>
        </w:rPr>
        <w:t>推进新时代社会主义现代化建设提供</w:t>
      </w:r>
      <w:r>
        <w:rPr>
          <w:rFonts w:hint="eastAsia" w:eastAsia="仿宋_GB2312"/>
          <w:color w:val="auto"/>
          <w:sz w:val="30"/>
          <w:szCs w:val="30"/>
          <w:highlight w:val="none"/>
          <w:lang w:val="en-US" w:eastAsia="zh-CN"/>
        </w:rPr>
        <w:t>根本保证</w:t>
      </w:r>
      <w:r>
        <w:rPr>
          <w:rFonts w:hint="eastAsia" w:eastAsia="仿宋_GB2312"/>
          <w:color w:val="auto"/>
          <w:sz w:val="30"/>
          <w:szCs w:val="30"/>
          <w:highlight w:val="none"/>
        </w:rPr>
        <w:t>。</w:t>
      </w:r>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0"/>
        <w:textAlignment w:val="auto"/>
        <w:rPr>
          <w:rFonts w:hint="eastAsia" w:eastAsia="仿宋_GB2312" w:cs="仿宋_GB2312"/>
          <w:color w:val="auto"/>
          <w:sz w:val="30"/>
          <w:szCs w:val="30"/>
          <w:highlight w:val="none"/>
        </w:rPr>
      </w:pPr>
      <w:r>
        <w:rPr>
          <w:rFonts w:hint="eastAsia" w:eastAsia="仿宋_GB2312" w:cs="仿宋_GB2312"/>
          <w:b/>
          <w:bCs/>
          <w:color w:val="auto"/>
          <w:sz w:val="30"/>
          <w:szCs w:val="30"/>
          <w:highlight w:val="none"/>
        </w:rPr>
        <w:t>坚持新时代党的治疆方略。</w:t>
      </w:r>
      <w:r>
        <w:rPr>
          <w:rFonts w:hint="eastAsia" w:eastAsia="仿宋_GB2312" w:cs="仿宋_GB2312"/>
          <w:color w:val="auto"/>
          <w:sz w:val="30"/>
          <w:szCs w:val="30"/>
          <w:highlight w:val="none"/>
        </w:rPr>
        <w:t>认真贯彻落实习近平总书记对新疆工作的重要指示，贯彻落实第三次中央新疆工作座谈会精神，聚焦社会稳定和长治久安总目标，坚定信心决心、保持战略定力，积势蓄势谋势、识变求变应变，始终与党中央保持高度一致。</w:t>
      </w:r>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0"/>
        <w:textAlignment w:val="auto"/>
        <w:rPr>
          <w:rFonts w:hint="eastAsia" w:eastAsia="仿宋_GB2312" w:cs="仿宋_GB2312"/>
          <w:color w:val="auto"/>
          <w:sz w:val="30"/>
          <w:szCs w:val="30"/>
          <w:highlight w:val="none"/>
        </w:rPr>
      </w:pPr>
      <w:r>
        <w:rPr>
          <w:rFonts w:hint="eastAsia" w:eastAsia="仿宋_GB2312" w:cs="仿宋_GB2312"/>
          <w:b/>
          <w:bCs/>
          <w:color w:val="auto"/>
          <w:sz w:val="30"/>
          <w:szCs w:val="30"/>
          <w:highlight w:val="none"/>
        </w:rPr>
        <w:t>坚持以人民为中心。</w:t>
      </w:r>
      <w:r>
        <w:rPr>
          <w:rFonts w:hint="eastAsia" w:eastAsia="仿宋_GB2312" w:cs="仿宋_GB2312"/>
          <w:color w:val="auto"/>
          <w:sz w:val="30"/>
          <w:szCs w:val="30"/>
          <w:highlight w:val="none"/>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2"/>
        <w:textAlignment w:val="auto"/>
        <w:rPr>
          <w:rFonts w:eastAsia="仿宋_GB2312"/>
          <w:color w:val="auto"/>
          <w:sz w:val="30"/>
          <w:szCs w:val="30"/>
          <w:highlight w:val="none"/>
        </w:rPr>
      </w:pPr>
      <w:r>
        <w:rPr>
          <w:rFonts w:hint="eastAsia" w:eastAsia="仿宋_GB2312"/>
          <w:b/>
          <w:color w:val="auto"/>
          <w:sz w:val="30"/>
          <w:szCs w:val="30"/>
          <w:highlight w:val="none"/>
        </w:rPr>
        <w:t>坚持新发展理念。</w:t>
      </w:r>
      <w:r>
        <w:rPr>
          <w:rFonts w:hint="eastAsia" w:eastAsia="仿宋_GB2312"/>
          <w:color w:val="auto"/>
          <w:sz w:val="30"/>
          <w:szCs w:val="30"/>
          <w:highlight w:val="none"/>
        </w:rPr>
        <w:t>用新发展理念引领发展全局，着力转变经济增长方式，切实优化经济结构，完善高质量民生保障，构建高质量市场经济体系，优化高质量发展空间格局，</w:t>
      </w:r>
      <w:r>
        <w:rPr>
          <w:rFonts w:hint="eastAsia" w:eastAsia="仿宋_GB2312"/>
          <w:color w:val="auto"/>
          <w:sz w:val="30"/>
          <w:szCs w:val="30"/>
          <w:highlight w:val="none"/>
          <w:lang w:val="en-US" w:eastAsia="zh-CN"/>
        </w:rPr>
        <w:t>努力</w:t>
      </w:r>
      <w:r>
        <w:rPr>
          <w:rFonts w:hint="eastAsia" w:eastAsia="仿宋_GB2312"/>
          <w:color w:val="auto"/>
          <w:sz w:val="30"/>
          <w:szCs w:val="30"/>
          <w:highlight w:val="none"/>
        </w:rPr>
        <w:t>实现更高质量、更有效率、更加公平、更可持续、更为安全的发展。</w:t>
      </w:r>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2"/>
        <w:textAlignment w:val="auto"/>
        <w:rPr>
          <w:rFonts w:eastAsia="仿宋_GB2312"/>
          <w:b w:val="0"/>
          <w:bCs/>
          <w:color w:val="auto"/>
          <w:sz w:val="30"/>
          <w:szCs w:val="30"/>
          <w:highlight w:val="none"/>
        </w:rPr>
      </w:pPr>
      <w:r>
        <w:rPr>
          <w:rFonts w:hint="eastAsia" w:eastAsia="仿宋_GB2312"/>
          <w:b/>
          <w:color w:val="auto"/>
          <w:sz w:val="30"/>
          <w:szCs w:val="30"/>
          <w:highlight w:val="none"/>
        </w:rPr>
        <w:t>坚持改革开放。</w:t>
      </w:r>
      <w:r>
        <w:rPr>
          <w:rFonts w:hint="eastAsia" w:eastAsia="仿宋_GB2312"/>
          <w:b w:val="0"/>
          <w:bCs/>
          <w:color w:val="auto"/>
          <w:sz w:val="30"/>
          <w:szCs w:val="30"/>
          <w:highlight w:val="none"/>
        </w:rPr>
        <w:t>坚定不移推进改革，坚定不移扩大开放，</w:t>
      </w:r>
      <w:r>
        <w:rPr>
          <w:rFonts w:hint="eastAsia" w:eastAsia="仿宋_GB2312"/>
          <w:b w:val="0"/>
          <w:bCs/>
          <w:color w:val="auto"/>
          <w:sz w:val="30"/>
          <w:szCs w:val="30"/>
          <w:highlight w:val="none"/>
          <w:lang w:val="en-US" w:eastAsia="zh-CN"/>
        </w:rPr>
        <w:t>全面推进</w:t>
      </w:r>
      <w:r>
        <w:rPr>
          <w:rFonts w:hint="eastAsia" w:eastAsia="仿宋_GB2312"/>
          <w:b w:val="0"/>
          <w:bCs/>
          <w:color w:val="auto"/>
          <w:sz w:val="30"/>
          <w:szCs w:val="30"/>
          <w:highlight w:val="none"/>
        </w:rPr>
        <w:t>治理体系和治理能力现代化建设，破除制约高质量发展、高品质生活的体制机制障碍，强化有利于提高资源配置效率、有利于调动全社会积极性的重大改革开放举措，持续增强发展动力和活力。</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02"/>
        <w:textAlignment w:val="auto"/>
        <w:rPr>
          <w:rFonts w:ascii="Times New Roman" w:hAnsi="Times New Roman" w:eastAsia="仿宋_GB2312"/>
          <w:bCs/>
          <w:color w:val="auto"/>
          <w:sz w:val="30"/>
          <w:szCs w:val="30"/>
          <w:highlight w:val="none"/>
        </w:rPr>
      </w:pPr>
      <w:r>
        <w:rPr>
          <w:rFonts w:hint="eastAsia" w:ascii="Times New Roman" w:hAnsi="Times New Roman" w:eastAsia="仿宋_GB2312"/>
          <w:b/>
          <w:color w:val="auto"/>
          <w:sz w:val="30"/>
          <w:szCs w:val="30"/>
          <w:highlight w:val="none"/>
        </w:rPr>
        <w:t>坚持依法治</w:t>
      </w:r>
      <w:r>
        <w:rPr>
          <w:rFonts w:hint="eastAsia" w:ascii="Times New Roman" w:hAnsi="Times New Roman" w:eastAsia="仿宋_GB2312"/>
          <w:b/>
          <w:color w:val="auto"/>
          <w:sz w:val="30"/>
          <w:szCs w:val="30"/>
          <w:highlight w:val="none"/>
          <w:lang w:val="en-US" w:eastAsia="zh-CN"/>
        </w:rPr>
        <w:t>县</w:t>
      </w:r>
      <w:r>
        <w:rPr>
          <w:rFonts w:hint="eastAsia" w:ascii="Times New Roman" w:hAnsi="Times New Roman" w:eastAsia="仿宋_GB2312"/>
          <w:b/>
          <w:color w:val="auto"/>
          <w:sz w:val="30"/>
          <w:szCs w:val="30"/>
          <w:highlight w:val="none"/>
        </w:rPr>
        <w:t>。</w:t>
      </w:r>
      <w:r>
        <w:rPr>
          <w:rFonts w:hint="eastAsia" w:ascii="Times New Roman" w:hAnsi="Times New Roman" w:eastAsia="仿宋_GB2312"/>
          <w:bCs/>
          <w:color w:val="auto"/>
          <w:sz w:val="30"/>
          <w:szCs w:val="30"/>
          <w:highlight w:val="none"/>
        </w:rPr>
        <w:t>始终把依法办事作为做好一切工作的基础，树立法治思维，完善法治保障，善用法治方式，维护法治尊严，依法决策、依法行政、依法管理，严格执法、公正司法，营造全社会尊法学法守法用法的环境，全面建成法治</w:t>
      </w:r>
      <w:r>
        <w:rPr>
          <w:rFonts w:hint="eastAsia" w:eastAsia="仿宋_GB2312"/>
          <w:bCs/>
          <w:color w:val="auto"/>
          <w:sz w:val="30"/>
          <w:szCs w:val="30"/>
          <w:highlight w:val="none"/>
          <w:lang w:val="en-US" w:eastAsia="zh-CN"/>
        </w:rPr>
        <w:t>叶城</w:t>
      </w:r>
      <w:r>
        <w:rPr>
          <w:rFonts w:hint="eastAsia" w:ascii="Times New Roman" w:hAnsi="Times New Roman" w:eastAsia="仿宋_GB2312"/>
          <w:bCs/>
          <w:color w:val="auto"/>
          <w:sz w:val="30"/>
          <w:szCs w:val="30"/>
          <w:highlight w:val="none"/>
        </w:rPr>
        <w:t>。</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02"/>
        <w:textAlignment w:val="auto"/>
        <w:rPr>
          <w:rFonts w:hint="eastAsia" w:ascii="Times New Roman" w:hAnsi="Times New Roman" w:eastAsia="仿宋_GB2312" w:cs="Times New Roman"/>
          <w:b w:val="0"/>
          <w:bCs w:val="0"/>
          <w:color w:val="auto"/>
          <w:sz w:val="30"/>
          <w:szCs w:val="30"/>
          <w:highlight w:val="none"/>
        </w:rPr>
      </w:pPr>
      <w:r>
        <w:rPr>
          <w:rFonts w:hint="eastAsia" w:ascii="Times New Roman" w:hAnsi="Times New Roman" w:eastAsia="仿宋_GB2312" w:cs="Times New Roman"/>
          <w:b/>
          <w:bCs/>
          <w:color w:val="auto"/>
          <w:sz w:val="30"/>
          <w:szCs w:val="30"/>
          <w:highlight w:val="none"/>
        </w:rPr>
        <w:t>坚持系统观念。</w:t>
      </w:r>
      <w:r>
        <w:rPr>
          <w:rFonts w:hint="eastAsia" w:ascii="Times New Roman" w:hAnsi="Times New Roman" w:eastAsia="仿宋_GB2312" w:cs="Times New Roman"/>
          <w:b w:val="0"/>
          <w:bCs w:val="0"/>
          <w:color w:val="auto"/>
          <w:sz w:val="30"/>
          <w:szCs w:val="30"/>
          <w:highlight w:val="none"/>
        </w:rPr>
        <w:t>加强前瞻性思考、全局性谋划、战略性布局、整体性推进，统筹</w:t>
      </w:r>
      <w:r>
        <w:rPr>
          <w:rFonts w:hint="eastAsia" w:ascii="Times New Roman" w:hAnsi="Times New Roman" w:eastAsia="仿宋_GB2312" w:cs="Times New Roman"/>
          <w:b w:val="0"/>
          <w:bCs w:val="0"/>
          <w:color w:val="auto"/>
          <w:sz w:val="30"/>
          <w:szCs w:val="30"/>
          <w:highlight w:val="none"/>
          <w:lang w:val="en-US" w:eastAsia="zh-CN"/>
        </w:rPr>
        <w:t>稳定与发展</w:t>
      </w:r>
      <w:r>
        <w:rPr>
          <w:rFonts w:hint="eastAsia" w:ascii="Times New Roman" w:hAnsi="Times New Roman" w:eastAsia="仿宋_GB2312" w:cs="Times New Roman"/>
          <w:b w:val="0"/>
          <w:bCs w:val="0"/>
          <w:color w:val="auto"/>
          <w:sz w:val="30"/>
          <w:szCs w:val="30"/>
          <w:highlight w:val="none"/>
        </w:rPr>
        <w:t>，</w:t>
      </w:r>
      <w:r>
        <w:rPr>
          <w:rFonts w:hint="eastAsia" w:ascii="Times New Roman" w:hAnsi="Times New Roman" w:eastAsia="仿宋_GB2312" w:cs="Times New Roman"/>
          <w:b w:val="0"/>
          <w:bCs w:val="0"/>
          <w:color w:val="auto"/>
          <w:sz w:val="30"/>
          <w:szCs w:val="30"/>
          <w:highlight w:val="none"/>
          <w:lang w:val="en-US" w:eastAsia="zh-CN"/>
        </w:rPr>
        <w:t>牢固树立</w:t>
      </w:r>
      <w:r>
        <w:rPr>
          <w:rFonts w:hint="eastAsia" w:ascii="Times New Roman" w:hAnsi="Times New Roman" w:eastAsia="仿宋_GB2312" w:cs="Times New Roman"/>
          <w:b w:val="0"/>
          <w:bCs w:val="0"/>
          <w:color w:val="auto"/>
          <w:sz w:val="30"/>
          <w:szCs w:val="30"/>
          <w:highlight w:val="none"/>
        </w:rPr>
        <w:t>一盘棋</w:t>
      </w:r>
      <w:r>
        <w:rPr>
          <w:rFonts w:hint="eastAsia" w:ascii="Times New Roman" w:hAnsi="Times New Roman" w:eastAsia="仿宋_GB2312" w:cs="Times New Roman"/>
          <w:b w:val="0"/>
          <w:bCs w:val="0"/>
          <w:color w:val="auto"/>
          <w:sz w:val="30"/>
          <w:szCs w:val="30"/>
          <w:highlight w:val="none"/>
          <w:lang w:val="en-US" w:eastAsia="zh-CN"/>
        </w:rPr>
        <w:t>思想</w:t>
      </w:r>
      <w:r>
        <w:rPr>
          <w:rFonts w:hint="eastAsia" w:ascii="Times New Roman" w:hAnsi="Times New Roman" w:eastAsia="仿宋_GB2312" w:cs="Times New Roman"/>
          <w:b w:val="0"/>
          <w:bCs w:val="0"/>
          <w:color w:val="auto"/>
          <w:sz w:val="30"/>
          <w:szCs w:val="30"/>
          <w:highlight w:val="none"/>
        </w:rPr>
        <w:t>，更好发挥</w:t>
      </w:r>
      <w:r>
        <w:rPr>
          <w:rFonts w:hint="eastAsia" w:ascii="Times New Roman" w:hAnsi="Times New Roman" w:eastAsia="仿宋_GB2312" w:cs="Times New Roman"/>
          <w:b w:val="0"/>
          <w:bCs w:val="0"/>
          <w:color w:val="auto"/>
          <w:sz w:val="30"/>
          <w:szCs w:val="30"/>
          <w:highlight w:val="none"/>
          <w:lang w:val="en-US" w:eastAsia="zh-CN"/>
        </w:rPr>
        <w:t>县域各方</w:t>
      </w:r>
      <w:r>
        <w:rPr>
          <w:rFonts w:hint="eastAsia" w:ascii="Times New Roman" w:hAnsi="Times New Roman" w:eastAsia="仿宋_GB2312" w:cs="Times New Roman"/>
          <w:b w:val="0"/>
          <w:bCs w:val="0"/>
          <w:color w:val="auto"/>
          <w:sz w:val="30"/>
          <w:szCs w:val="30"/>
          <w:highlight w:val="none"/>
        </w:rPr>
        <w:t>积极性，着力固根基、扬优势、补短板、强弱项，注重防范化解重大风险挑战，实现发展质量、结构、规模、速度、效益、安全相统一。</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02"/>
        <w:textAlignment w:val="auto"/>
        <w:rPr>
          <w:rFonts w:hint="eastAsia" w:ascii="Times New Roman" w:hAnsi="Times New Roman" w:eastAsia="仿宋_GB2312" w:cs="Times New Roman"/>
          <w:b w:val="0"/>
          <w:bCs w:val="0"/>
          <w:color w:val="auto"/>
          <w:sz w:val="30"/>
          <w:szCs w:val="30"/>
          <w:highlight w:val="none"/>
        </w:rPr>
      </w:pPr>
      <w:r>
        <w:rPr>
          <w:rFonts w:hint="eastAsia" w:ascii="Times New Roman" w:hAnsi="Times New Roman" w:eastAsia="仿宋_GB2312" w:cs="Times New Roman"/>
          <w:b/>
          <w:bCs/>
          <w:color w:val="auto"/>
          <w:sz w:val="30"/>
          <w:szCs w:val="30"/>
          <w:highlight w:val="none"/>
        </w:rPr>
        <w:t>坚持从实际出发。</w:t>
      </w:r>
      <w:r>
        <w:rPr>
          <w:rFonts w:hint="eastAsia" w:ascii="Times New Roman" w:hAnsi="Times New Roman" w:eastAsia="仿宋_GB2312" w:cs="Times New Roman"/>
          <w:b w:val="0"/>
          <w:bCs w:val="0"/>
          <w:color w:val="auto"/>
          <w:sz w:val="30"/>
          <w:szCs w:val="30"/>
          <w:highlight w:val="none"/>
        </w:rPr>
        <w:t>立足自治区党委和喀什地委对</w:t>
      </w:r>
      <w:r>
        <w:rPr>
          <w:rFonts w:hint="eastAsia" w:eastAsia="仿宋_GB2312" w:cs="Times New Roman"/>
          <w:b w:val="0"/>
          <w:bCs w:val="0"/>
          <w:color w:val="auto"/>
          <w:sz w:val="30"/>
          <w:szCs w:val="30"/>
          <w:highlight w:val="none"/>
          <w:lang w:val="en-US" w:eastAsia="zh-CN"/>
        </w:rPr>
        <w:t>叶城</w:t>
      </w:r>
      <w:r>
        <w:rPr>
          <w:rFonts w:hint="eastAsia" w:ascii="Times New Roman" w:hAnsi="Times New Roman" w:eastAsia="仿宋_GB2312" w:cs="Times New Roman"/>
          <w:b w:val="0"/>
          <w:bCs w:val="0"/>
          <w:color w:val="auto"/>
          <w:sz w:val="30"/>
          <w:szCs w:val="30"/>
          <w:highlight w:val="none"/>
        </w:rPr>
        <w:t>县的定位要求，立足县域经济社会发展的基础条件、机遇挑战和阶段特征，紧扣社会稳定和长治久安总目标，坚持因地制宜、实事求是，不片面追求经济增长速度、不提脱离实际的指标要求，不搞层层加码、不盲目攀比，坚持求真务实、重点突出、特色鲜明、注重实效，稳中有进、扎实推进。</w:t>
      </w:r>
    </w:p>
    <w:p>
      <w:pPr>
        <w:pStyle w:val="18"/>
        <w:keepNext w:val="0"/>
        <w:keepLines w:val="0"/>
        <w:shd w:val="clear"/>
        <w:spacing w:beforeLines="50" w:afterLines="50"/>
        <w:rPr>
          <w:rFonts w:hint="eastAsia" w:ascii="Times New Roman" w:hAnsi="Times New Roman"/>
          <w:lang w:val="en-US" w:eastAsia="zh-CN"/>
        </w:rPr>
      </w:pPr>
      <w:bookmarkStart w:id="51" w:name="_Toc7149"/>
      <w:r>
        <w:rPr>
          <w:rFonts w:hint="eastAsia" w:ascii="Times New Roman" w:hAnsi="Times New Roman"/>
          <w:lang w:val="en-US" w:eastAsia="zh-CN"/>
        </w:rPr>
        <w:t>第三节 发展定位</w:t>
      </w:r>
      <w:bookmarkEnd w:id="48"/>
      <w:bookmarkEnd w:id="49"/>
      <w:bookmarkEnd w:id="51"/>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s="仿宋_GB2312"/>
          <w:color w:val="auto"/>
          <w:sz w:val="30"/>
          <w:szCs w:val="30"/>
          <w:highlight w:val="none"/>
        </w:rPr>
      </w:pPr>
      <w:r>
        <w:rPr>
          <w:rFonts w:hint="eastAsia" w:ascii="Times New Roman" w:hAnsi="Times New Roman" w:eastAsia="仿宋_GB2312" w:cs="仿宋_GB2312"/>
          <w:b w:val="0"/>
          <w:bCs w:val="0"/>
          <w:color w:val="auto"/>
          <w:kern w:val="2"/>
          <w:sz w:val="30"/>
          <w:szCs w:val="30"/>
          <w:highlight w:val="none"/>
          <w:lang w:val="en-US" w:eastAsia="zh-CN" w:bidi="ar-SA"/>
        </w:rPr>
        <w:t>主动融入国家“一带一路”</w:t>
      </w:r>
      <w:r>
        <w:rPr>
          <w:rFonts w:hint="eastAsia" w:eastAsia="仿宋_GB2312" w:cs="仿宋_GB2312"/>
          <w:b w:val="0"/>
          <w:bCs w:val="0"/>
          <w:color w:val="auto"/>
          <w:kern w:val="2"/>
          <w:sz w:val="30"/>
          <w:szCs w:val="30"/>
          <w:highlight w:val="none"/>
          <w:lang w:val="en-US" w:eastAsia="zh-CN" w:bidi="ar-SA"/>
        </w:rPr>
        <w:t>倡议</w:t>
      </w:r>
      <w:r>
        <w:rPr>
          <w:rFonts w:hint="eastAsia" w:ascii="Times New Roman" w:hAnsi="Times New Roman" w:eastAsia="仿宋_GB2312" w:cs="仿宋_GB2312"/>
          <w:b w:val="0"/>
          <w:bCs w:val="0"/>
          <w:color w:val="auto"/>
          <w:kern w:val="2"/>
          <w:sz w:val="30"/>
          <w:szCs w:val="30"/>
          <w:highlight w:val="none"/>
          <w:lang w:val="en-US" w:eastAsia="zh-CN" w:bidi="ar-SA"/>
        </w:rPr>
        <w:t>和自治区丝绸之路经济带核心区建设</w:t>
      </w:r>
      <w:r>
        <w:rPr>
          <w:rFonts w:hint="eastAsia" w:eastAsia="仿宋_GB2312" w:cs="仿宋_GB2312"/>
          <w:b w:val="0"/>
          <w:bCs w:val="0"/>
          <w:color w:val="auto"/>
          <w:kern w:val="2"/>
          <w:sz w:val="30"/>
          <w:szCs w:val="30"/>
          <w:highlight w:val="none"/>
          <w:lang w:val="en-US" w:eastAsia="zh-CN" w:bidi="ar-SA"/>
        </w:rPr>
        <w:t>大局</w:t>
      </w:r>
      <w:r>
        <w:rPr>
          <w:rFonts w:hint="eastAsia" w:ascii="Times New Roman" w:hAnsi="Times New Roman" w:eastAsia="仿宋_GB2312" w:cs="仿宋_GB2312"/>
          <w:b w:val="0"/>
          <w:bCs w:val="0"/>
          <w:color w:val="auto"/>
          <w:kern w:val="2"/>
          <w:sz w:val="30"/>
          <w:szCs w:val="30"/>
          <w:highlight w:val="none"/>
          <w:lang w:val="en-US" w:eastAsia="zh-CN" w:bidi="ar-SA"/>
        </w:rPr>
        <w:t>，充分发</w:t>
      </w:r>
      <w:r>
        <w:rPr>
          <w:rFonts w:hint="eastAsia" w:eastAsia="仿宋_GB2312" w:cs="仿宋_GB2312"/>
          <w:color w:val="auto"/>
          <w:sz w:val="30"/>
          <w:szCs w:val="30"/>
          <w:highlight w:val="none"/>
        </w:rPr>
        <w:t>挥叶城县“两区三地”区位优势</w:t>
      </w:r>
      <w:r>
        <w:rPr>
          <w:rFonts w:hint="eastAsia" w:eastAsia="仿宋_GB2312" w:cs="仿宋_GB2312"/>
          <w:color w:val="auto"/>
          <w:sz w:val="30"/>
          <w:szCs w:val="30"/>
          <w:highlight w:val="none"/>
          <w:lang w:val="en-US" w:eastAsia="zh-CN"/>
        </w:rPr>
        <w:t>和</w:t>
      </w:r>
      <w:r>
        <w:rPr>
          <w:rFonts w:hint="eastAsia" w:ascii="Times New Roman" w:hAnsi="Times New Roman" w:eastAsia="仿宋_GB2312" w:cs="仿宋_GB2312"/>
          <w:b w:val="0"/>
          <w:bCs w:val="0"/>
          <w:color w:val="auto"/>
          <w:kern w:val="2"/>
          <w:sz w:val="30"/>
          <w:szCs w:val="30"/>
          <w:highlight w:val="none"/>
          <w:lang w:val="en-US" w:eastAsia="zh-CN" w:bidi="ar-SA"/>
        </w:rPr>
        <w:t>上海对口援建</w:t>
      </w:r>
      <w:r>
        <w:rPr>
          <w:rFonts w:hint="eastAsia" w:eastAsia="仿宋_GB2312" w:cs="仿宋_GB2312"/>
          <w:b w:val="0"/>
          <w:bCs w:val="0"/>
          <w:color w:val="auto"/>
          <w:kern w:val="2"/>
          <w:sz w:val="30"/>
          <w:szCs w:val="30"/>
          <w:highlight w:val="none"/>
          <w:lang w:val="en-US" w:eastAsia="zh-CN" w:bidi="ar-SA"/>
        </w:rPr>
        <w:t>援助</w:t>
      </w:r>
      <w:r>
        <w:rPr>
          <w:rFonts w:hint="eastAsia" w:ascii="Times New Roman" w:hAnsi="Times New Roman" w:eastAsia="仿宋_GB2312" w:cs="仿宋_GB2312"/>
          <w:b w:val="0"/>
          <w:bCs w:val="0"/>
          <w:color w:val="auto"/>
          <w:kern w:val="2"/>
          <w:sz w:val="30"/>
          <w:szCs w:val="30"/>
          <w:highlight w:val="none"/>
          <w:lang w:val="en-US" w:eastAsia="zh-CN" w:bidi="ar-SA"/>
        </w:rPr>
        <w:t>优势</w:t>
      </w:r>
      <w:r>
        <w:rPr>
          <w:rFonts w:hint="eastAsia" w:eastAsia="仿宋_GB2312" w:cs="仿宋_GB2312"/>
          <w:b w:val="0"/>
          <w:bCs w:val="0"/>
          <w:color w:val="auto"/>
          <w:kern w:val="2"/>
          <w:sz w:val="30"/>
          <w:szCs w:val="30"/>
          <w:highlight w:val="none"/>
          <w:lang w:val="en-US" w:eastAsia="zh-CN" w:bidi="ar-SA"/>
        </w:rPr>
        <w:t>，</w:t>
      </w:r>
      <w:r>
        <w:rPr>
          <w:rFonts w:hint="eastAsia" w:eastAsia="仿宋_GB2312" w:cs="仿宋_GB2312"/>
          <w:color w:val="auto"/>
          <w:sz w:val="30"/>
          <w:szCs w:val="30"/>
          <w:highlight w:val="none"/>
        </w:rPr>
        <w:t>围绕实现社会主义现代化</w:t>
      </w:r>
      <w:r>
        <w:rPr>
          <w:rFonts w:hint="eastAsia" w:eastAsia="仿宋_GB2312" w:cs="仿宋_GB2312"/>
          <w:color w:val="auto"/>
          <w:sz w:val="30"/>
          <w:szCs w:val="30"/>
          <w:highlight w:val="none"/>
          <w:lang w:val="en-US" w:eastAsia="zh-CN"/>
        </w:rPr>
        <w:t>远景</w:t>
      </w:r>
      <w:r>
        <w:rPr>
          <w:rFonts w:hint="eastAsia" w:eastAsia="仿宋_GB2312" w:cs="仿宋_GB2312"/>
          <w:color w:val="auto"/>
          <w:sz w:val="30"/>
          <w:szCs w:val="30"/>
          <w:highlight w:val="none"/>
        </w:rPr>
        <w:t>目标，以经济社会高质量发展为中心，</w:t>
      </w:r>
      <w:r>
        <w:rPr>
          <w:rFonts w:hint="eastAsia" w:eastAsia="仿宋_GB2312" w:cs="仿宋_GB2312"/>
          <w:b w:val="0"/>
          <w:bCs w:val="0"/>
          <w:color w:val="auto"/>
          <w:kern w:val="2"/>
          <w:sz w:val="30"/>
          <w:szCs w:val="30"/>
          <w:highlight w:val="none"/>
          <w:lang w:val="en-US" w:eastAsia="zh-CN" w:bidi="ar-SA"/>
        </w:rPr>
        <w:t>以</w:t>
      </w:r>
      <w:r>
        <w:rPr>
          <w:rFonts w:hint="eastAsia" w:eastAsia="仿宋_GB2312" w:cs="仿宋_GB2312"/>
          <w:color w:val="auto"/>
          <w:sz w:val="30"/>
          <w:szCs w:val="30"/>
          <w:highlight w:val="none"/>
          <w:lang w:eastAsia="zh-CN"/>
        </w:rPr>
        <w:t>园区</w:t>
      </w:r>
      <w:r>
        <w:rPr>
          <w:rFonts w:hint="eastAsia" w:eastAsia="仿宋_GB2312" w:cs="仿宋_GB2312"/>
          <w:color w:val="auto"/>
          <w:sz w:val="30"/>
          <w:szCs w:val="30"/>
          <w:highlight w:val="none"/>
          <w:lang w:val="en-US" w:eastAsia="zh-CN"/>
        </w:rPr>
        <w:t>发展</w:t>
      </w:r>
      <w:r>
        <w:rPr>
          <w:rFonts w:hint="eastAsia" w:eastAsia="仿宋_GB2312" w:cs="仿宋_GB2312"/>
          <w:color w:val="auto"/>
          <w:sz w:val="30"/>
          <w:szCs w:val="30"/>
          <w:highlight w:val="none"/>
        </w:rPr>
        <w:t>为龙头引擎</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积极拓展产业发展空间、推动城市建设更新、完善公共服务配套，创新兵地融合发展，</w:t>
      </w:r>
      <w:r>
        <w:rPr>
          <w:rFonts w:hint="eastAsia" w:eastAsia="仿宋_GB2312" w:cs="仿宋_GB2312"/>
          <w:color w:val="auto"/>
          <w:sz w:val="30"/>
          <w:szCs w:val="30"/>
          <w:highlight w:val="none"/>
          <w:lang w:eastAsia="zh-CN"/>
        </w:rPr>
        <w:t>按照地区定位，</w:t>
      </w:r>
      <w:r>
        <w:rPr>
          <w:rFonts w:hint="eastAsia" w:eastAsia="仿宋_GB2312" w:cs="仿宋_GB2312"/>
          <w:color w:val="auto"/>
          <w:sz w:val="30"/>
          <w:szCs w:val="30"/>
          <w:highlight w:val="none"/>
          <w:lang w:val="en-US" w:eastAsia="zh-CN"/>
        </w:rPr>
        <w:t>加快融入并推动</w:t>
      </w:r>
      <w:r>
        <w:rPr>
          <w:rFonts w:hint="eastAsia" w:eastAsia="仿宋_GB2312" w:cs="仿宋_GB2312"/>
          <w:color w:val="auto"/>
          <w:sz w:val="30"/>
          <w:szCs w:val="30"/>
          <w:highlight w:val="none"/>
        </w:rPr>
        <w:t>叶尔羌河流域经济带</w:t>
      </w:r>
      <w:r>
        <w:rPr>
          <w:rFonts w:hint="eastAsia" w:eastAsia="仿宋_GB2312" w:cs="仿宋_GB2312"/>
          <w:color w:val="auto"/>
          <w:sz w:val="30"/>
          <w:szCs w:val="30"/>
          <w:highlight w:val="none"/>
          <w:lang w:val="en-US" w:eastAsia="zh-CN"/>
        </w:rPr>
        <w:t>建设</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lang w:val="en-US" w:eastAsia="zh-CN"/>
        </w:rPr>
        <w:t>积极构建</w:t>
      </w:r>
      <w:r>
        <w:rPr>
          <w:rFonts w:hint="eastAsia" w:eastAsia="仿宋_GB2312" w:cs="仿宋_GB2312"/>
          <w:color w:val="auto"/>
          <w:sz w:val="30"/>
          <w:szCs w:val="30"/>
          <w:highlight w:val="none"/>
          <w:lang w:eastAsia="zh-CN"/>
        </w:rPr>
        <w:t>现代农业全产业链体系、纺织服装、电子产品组装、建筑安装等劳动密集型产业体系</w:t>
      </w:r>
      <w:r>
        <w:rPr>
          <w:rFonts w:hint="eastAsia" w:eastAsia="仿宋_GB2312" w:cs="仿宋_GB2312"/>
          <w:color w:val="auto"/>
          <w:sz w:val="30"/>
          <w:szCs w:val="30"/>
          <w:highlight w:val="none"/>
          <w:lang w:val="en-US" w:eastAsia="zh-CN"/>
        </w:rPr>
        <w:t>和</w:t>
      </w:r>
      <w:r>
        <w:rPr>
          <w:rFonts w:hint="eastAsia" w:eastAsia="仿宋_GB2312" w:cs="仿宋_GB2312"/>
          <w:color w:val="auto"/>
          <w:sz w:val="30"/>
          <w:szCs w:val="30"/>
          <w:highlight w:val="none"/>
          <w:lang w:eastAsia="zh-CN"/>
        </w:rPr>
        <w:t>高新技术产业体系，</w:t>
      </w:r>
      <w:r>
        <w:rPr>
          <w:rFonts w:hint="eastAsia" w:eastAsia="仿宋_GB2312" w:cs="仿宋_GB2312"/>
          <w:color w:val="auto"/>
          <w:sz w:val="30"/>
          <w:szCs w:val="30"/>
          <w:highlight w:val="none"/>
        </w:rPr>
        <w:t>形成产业、产城、城乡、兵地、军地融合发展的良好态势</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加快丝绸之路经济带核心区结合点、增长极、区域中心重要支点建设，全力打造新藏线上重要的物资供应保障基地、新疆重要的战略物资储备基地，全国知名的核桃批发交易中心和世界级旅游目的地城市。</w:t>
      </w:r>
    </w:p>
    <w:bookmarkEnd w:id="50"/>
    <w:p>
      <w:pPr>
        <w:pStyle w:val="18"/>
        <w:keepNext w:val="0"/>
        <w:keepLines w:val="0"/>
        <w:shd w:val="clear"/>
        <w:spacing w:beforeLines="50" w:afterLines="50"/>
        <w:rPr>
          <w:rFonts w:hint="eastAsia" w:ascii="Times New Roman" w:hAnsi="Times New Roman"/>
          <w:lang w:val="en-US" w:eastAsia="zh-CN"/>
        </w:rPr>
      </w:pPr>
      <w:bookmarkStart w:id="52" w:name="_Toc19237"/>
      <w:bookmarkStart w:id="53" w:name="_Toc44240003"/>
      <w:bookmarkStart w:id="54" w:name="_Toc19901"/>
      <w:r>
        <w:rPr>
          <w:rFonts w:hint="eastAsia" w:ascii="Times New Roman" w:hAnsi="Times New Roman"/>
          <w:lang w:val="en-US" w:eastAsia="zh-CN"/>
        </w:rPr>
        <w:t>第四节 发展目标</w:t>
      </w:r>
      <w:bookmarkEnd w:id="52"/>
      <w:bookmarkEnd w:id="53"/>
      <w:bookmarkEnd w:id="54"/>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仿宋_GB2312"/>
          <w:color w:val="auto"/>
          <w:kern w:val="2"/>
          <w:sz w:val="30"/>
          <w:szCs w:val="30"/>
          <w:highlight w:val="none"/>
          <w:lang w:val="en-US" w:eastAsia="zh-CN" w:bidi="ar-SA"/>
        </w:rPr>
      </w:pPr>
      <w:r>
        <w:rPr>
          <w:rFonts w:hint="default" w:ascii="Times New Roman" w:hAnsi="Times New Roman" w:eastAsia="仿宋_GB2312" w:cs="仿宋_GB2312"/>
          <w:color w:val="auto"/>
          <w:kern w:val="2"/>
          <w:sz w:val="30"/>
          <w:szCs w:val="30"/>
          <w:highlight w:val="none"/>
          <w:lang w:val="en-US" w:eastAsia="zh-CN" w:bidi="ar-SA"/>
        </w:rPr>
        <w:t>在2020年与全国人民一道迈入全面小康社会的基础上，到2025年，</w:t>
      </w:r>
      <w:r>
        <w:rPr>
          <w:rFonts w:hint="eastAsia" w:ascii="Times New Roman" w:hAnsi="Times New Roman" w:eastAsia="仿宋_GB2312" w:cs="仿宋_GB2312"/>
          <w:color w:val="auto"/>
          <w:kern w:val="2"/>
          <w:sz w:val="30"/>
          <w:szCs w:val="30"/>
          <w:highlight w:val="none"/>
          <w:lang w:val="en-US" w:eastAsia="zh-CN" w:bidi="ar-SA"/>
        </w:rPr>
        <w:t>民族团结、宗教和睦，</w:t>
      </w:r>
      <w:r>
        <w:rPr>
          <w:rFonts w:hint="default" w:ascii="Times New Roman" w:hAnsi="Times New Roman" w:eastAsia="仿宋_GB2312" w:cs="仿宋_GB2312"/>
          <w:color w:val="auto"/>
          <w:kern w:val="2"/>
          <w:sz w:val="30"/>
          <w:szCs w:val="30"/>
          <w:highlight w:val="none"/>
          <w:lang w:val="en-US" w:eastAsia="zh-CN" w:bidi="ar-SA"/>
        </w:rPr>
        <w:t>社</w:t>
      </w:r>
      <w:r>
        <w:rPr>
          <w:rFonts w:hint="eastAsia" w:ascii="Times New Roman" w:hAnsi="Times New Roman" w:eastAsia="仿宋_GB2312" w:cs="仿宋_GB2312"/>
          <w:color w:val="auto"/>
          <w:kern w:val="2"/>
          <w:sz w:val="30"/>
          <w:szCs w:val="30"/>
          <w:highlight w:val="none"/>
          <w:lang w:val="en-US" w:eastAsia="zh-CN" w:bidi="ar-SA"/>
        </w:rPr>
        <w:t>会大局和谐稳定。一二三产</w:t>
      </w:r>
      <w:r>
        <w:rPr>
          <w:rFonts w:hint="eastAsia" w:eastAsia="仿宋_GB2312" w:cs="仿宋_GB2312"/>
          <w:color w:val="auto"/>
          <w:kern w:val="2"/>
          <w:sz w:val="30"/>
          <w:szCs w:val="30"/>
          <w:highlight w:val="none"/>
          <w:lang w:val="en-US" w:eastAsia="zh-CN" w:bidi="ar-SA"/>
        </w:rPr>
        <w:t>业</w:t>
      </w:r>
      <w:r>
        <w:rPr>
          <w:rFonts w:hint="eastAsia" w:ascii="Times New Roman" w:hAnsi="Times New Roman" w:eastAsia="仿宋_GB2312" w:cs="仿宋_GB2312"/>
          <w:color w:val="auto"/>
          <w:kern w:val="2"/>
          <w:sz w:val="30"/>
          <w:szCs w:val="30"/>
          <w:highlight w:val="none"/>
          <w:lang w:val="en-US" w:eastAsia="zh-CN" w:bidi="ar-SA"/>
        </w:rPr>
        <w:t>融合发展，产业集聚效应明显，产业体系和产业格局基本形成。脱贫攻坚和乡村振兴</w:t>
      </w:r>
      <w:r>
        <w:rPr>
          <w:rFonts w:hint="eastAsia" w:eastAsia="仿宋_GB2312" w:cs="仿宋_GB2312"/>
          <w:color w:val="auto"/>
          <w:kern w:val="2"/>
          <w:sz w:val="30"/>
          <w:szCs w:val="30"/>
          <w:highlight w:val="none"/>
          <w:lang w:val="en-US" w:eastAsia="zh-CN" w:bidi="ar-SA"/>
        </w:rPr>
        <w:t>有效</w:t>
      </w:r>
      <w:r>
        <w:rPr>
          <w:rFonts w:hint="eastAsia" w:ascii="Times New Roman" w:hAnsi="Times New Roman" w:eastAsia="仿宋_GB2312" w:cs="仿宋_GB2312"/>
          <w:color w:val="auto"/>
          <w:kern w:val="2"/>
          <w:sz w:val="30"/>
          <w:szCs w:val="30"/>
          <w:highlight w:val="none"/>
          <w:lang w:val="en-US" w:eastAsia="zh-CN" w:bidi="ar-SA"/>
        </w:rPr>
        <w:t>衔接，城乡人均收入与经济发展同步增长，人民生活水平和质量显著提升。城镇化水平不断提高，城乡基础设施共建共享，城乡人居环境大幅改善，城乡一体</w:t>
      </w:r>
      <w:r>
        <w:rPr>
          <w:rFonts w:hint="eastAsia" w:eastAsia="仿宋_GB2312" w:cs="仿宋_GB2312"/>
          <w:color w:val="auto"/>
          <w:kern w:val="2"/>
          <w:sz w:val="30"/>
          <w:szCs w:val="30"/>
          <w:highlight w:val="none"/>
          <w:lang w:val="en-US" w:eastAsia="zh-CN" w:bidi="ar-SA"/>
        </w:rPr>
        <w:t>化</w:t>
      </w:r>
      <w:r>
        <w:rPr>
          <w:rFonts w:hint="eastAsia" w:ascii="Times New Roman" w:hAnsi="Times New Roman" w:eastAsia="仿宋_GB2312" w:cs="仿宋_GB2312"/>
          <w:color w:val="auto"/>
          <w:kern w:val="2"/>
          <w:sz w:val="30"/>
          <w:szCs w:val="30"/>
          <w:highlight w:val="none"/>
          <w:lang w:val="en-US" w:eastAsia="zh-CN" w:bidi="ar-SA"/>
        </w:rPr>
        <w:t>发展形成良好局面。深化改革持续推进，对外开放不断扩大，科技创新水平</w:t>
      </w:r>
      <w:r>
        <w:rPr>
          <w:rFonts w:hint="eastAsia" w:eastAsia="仿宋_GB2312" w:cs="仿宋_GB2312"/>
          <w:color w:val="auto"/>
          <w:kern w:val="2"/>
          <w:sz w:val="30"/>
          <w:szCs w:val="30"/>
          <w:highlight w:val="none"/>
          <w:lang w:val="en-US" w:eastAsia="zh-CN" w:bidi="ar-SA"/>
        </w:rPr>
        <w:t>明显</w:t>
      </w:r>
      <w:r>
        <w:rPr>
          <w:rFonts w:hint="eastAsia" w:ascii="Times New Roman" w:hAnsi="Times New Roman" w:eastAsia="仿宋_GB2312" w:cs="仿宋_GB2312"/>
          <w:color w:val="auto"/>
          <w:kern w:val="2"/>
          <w:sz w:val="30"/>
          <w:szCs w:val="30"/>
          <w:highlight w:val="none"/>
          <w:lang w:val="en-US" w:eastAsia="zh-CN" w:bidi="ar-SA"/>
        </w:rPr>
        <w:t>提高，区域经济协同发展形成合力。生态环境明显改善，民生福祉大幅提升，社会综合治理</w:t>
      </w:r>
      <w:r>
        <w:rPr>
          <w:rFonts w:hint="eastAsia" w:eastAsia="仿宋_GB2312" w:cs="仿宋_GB2312"/>
          <w:color w:val="auto"/>
          <w:kern w:val="2"/>
          <w:sz w:val="30"/>
          <w:szCs w:val="30"/>
          <w:highlight w:val="none"/>
          <w:lang w:val="en-US" w:eastAsia="zh-CN" w:bidi="ar-SA"/>
        </w:rPr>
        <w:t>能效持续</w:t>
      </w:r>
      <w:r>
        <w:rPr>
          <w:rFonts w:hint="eastAsia" w:ascii="Times New Roman" w:hAnsi="Times New Roman" w:eastAsia="仿宋_GB2312" w:cs="仿宋_GB2312"/>
          <w:color w:val="auto"/>
          <w:kern w:val="2"/>
          <w:sz w:val="30"/>
          <w:szCs w:val="30"/>
          <w:highlight w:val="none"/>
          <w:lang w:val="en-US" w:eastAsia="zh-CN" w:bidi="ar-SA"/>
        </w:rPr>
        <w:t>提高。</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hint="eastAsia" w:eastAsia="仿宋_GB2312" w:cs="仿宋_GB2312"/>
          <w:color w:val="auto"/>
          <w:sz w:val="30"/>
          <w:szCs w:val="30"/>
          <w:highlight w:val="none"/>
        </w:rPr>
      </w:pPr>
      <w:r>
        <w:rPr>
          <w:rFonts w:hint="eastAsia" w:eastAsia="仿宋_GB2312" w:cs="仿宋_GB2312"/>
          <w:b/>
          <w:bCs/>
          <w:color w:val="auto"/>
          <w:sz w:val="30"/>
          <w:szCs w:val="30"/>
          <w:highlight w:val="none"/>
          <w:lang w:val="en-US" w:eastAsia="zh-CN"/>
        </w:rPr>
        <w:t>综合</w:t>
      </w:r>
      <w:r>
        <w:rPr>
          <w:rFonts w:hint="eastAsia" w:eastAsia="仿宋_GB2312" w:cs="仿宋_GB2312"/>
          <w:b/>
          <w:bCs/>
          <w:color w:val="auto"/>
          <w:sz w:val="30"/>
          <w:szCs w:val="30"/>
          <w:highlight w:val="none"/>
          <w:lang w:eastAsia="zh-CN"/>
        </w:rPr>
        <w:t>经济</w:t>
      </w:r>
      <w:r>
        <w:rPr>
          <w:rFonts w:hint="eastAsia" w:eastAsia="仿宋_GB2312" w:cs="仿宋_GB2312"/>
          <w:b/>
          <w:bCs/>
          <w:color w:val="auto"/>
          <w:sz w:val="30"/>
          <w:szCs w:val="30"/>
          <w:highlight w:val="none"/>
          <w:lang w:val="en-US" w:eastAsia="zh-CN"/>
        </w:rPr>
        <w:t>实力</w:t>
      </w:r>
      <w:r>
        <w:rPr>
          <w:rFonts w:hint="eastAsia" w:eastAsia="仿宋_GB2312" w:cs="仿宋_GB2312"/>
          <w:b/>
          <w:bCs/>
          <w:color w:val="auto"/>
          <w:sz w:val="30"/>
          <w:szCs w:val="30"/>
          <w:highlight w:val="none"/>
          <w:lang w:eastAsia="zh-CN"/>
        </w:rPr>
        <w:t>实现较快增长</w:t>
      </w:r>
      <w:r>
        <w:rPr>
          <w:rFonts w:hint="eastAsia" w:eastAsia="仿宋_GB2312" w:cs="仿宋_GB2312"/>
          <w:b/>
          <w:bCs/>
          <w:color w:val="auto"/>
          <w:sz w:val="30"/>
          <w:szCs w:val="30"/>
          <w:highlight w:val="none"/>
        </w:rPr>
        <w:t>。</w:t>
      </w:r>
      <w:r>
        <w:rPr>
          <w:rFonts w:hint="eastAsia" w:ascii="Times New Roman" w:hAnsi="Times New Roman" w:eastAsia="仿宋_GB2312" w:cs="仿宋_GB2312"/>
          <w:color w:val="auto"/>
          <w:kern w:val="2"/>
          <w:sz w:val="30"/>
          <w:szCs w:val="30"/>
          <w:highlight w:val="none"/>
          <w:lang w:val="en-US" w:eastAsia="zh-CN" w:bidi="ar-SA"/>
        </w:rPr>
        <w:t>经济发展质量和发展效益不断提高</w:t>
      </w:r>
      <w:r>
        <w:rPr>
          <w:rFonts w:hint="eastAsia" w:eastAsia="仿宋_GB2312" w:cs="仿宋_GB2312"/>
          <w:color w:val="auto"/>
          <w:kern w:val="2"/>
          <w:sz w:val="30"/>
          <w:szCs w:val="30"/>
          <w:highlight w:val="none"/>
          <w:lang w:val="en-US" w:eastAsia="zh-CN" w:bidi="ar-SA"/>
        </w:rPr>
        <w:t>，</w:t>
      </w:r>
      <w:r>
        <w:rPr>
          <w:rFonts w:hint="eastAsia" w:eastAsia="仿宋_GB2312" w:cs="仿宋_GB2312"/>
          <w:color w:val="auto"/>
          <w:sz w:val="30"/>
          <w:szCs w:val="30"/>
          <w:highlight w:val="none"/>
        </w:rPr>
        <w:t>经济总量明显增加，地方财政收入继续提高，经济发展能力显著增强。到2025年，地方生产总值基本实现</w:t>
      </w:r>
      <w:r>
        <w:rPr>
          <w:rFonts w:hint="eastAsia" w:eastAsia="仿宋_GB2312" w:cs="仿宋_GB2312"/>
          <w:color w:val="auto"/>
          <w:sz w:val="30"/>
          <w:szCs w:val="30"/>
          <w:highlight w:val="none"/>
          <w:lang w:val="en-US" w:eastAsia="zh-CN"/>
        </w:rPr>
        <w:t>160.8</w:t>
      </w:r>
      <w:r>
        <w:rPr>
          <w:rFonts w:hint="eastAsia" w:eastAsia="仿宋_GB2312" w:cs="仿宋_GB2312"/>
          <w:color w:val="auto"/>
          <w:sz w:val="30"/>
          <w:szCs w:val="30"/>
          <w:highlight w:val="none"/>
        </w:rPr>
        <w:t>亿元，年均增长</w:t>
      </w:r>
      <w:r>
        <w:rPr>
          <w:rFonts w:hint="eastAsia" w:eastAsia="仿宋_GB2312" w:cs="仿宋_GB2312"/>
          <w:color w:val="auto"/>
          <w:sz w:val="30"/>
          <w:szCs w:val="30"/>
          <w:highlight w:val="none"/>
          <w:lang w:val="en-US" w:eastAsia="zh-CN"/>
        </w:rPr>
        <w:t>8</w:t>
      </w:r>
      <w:r>
        <w:rPr>
          <w:rFonts w:hint="eastAsia" w:eastAsia="仿宋_GB2312" w:cs="仿宋_GB2312"/>
          <w:color w:val="auto"/>
          <w:sz w:val="30"/>
          <w:szCs w:val="30"/>
          <w:highlight w:val="none"/>
        </w:rPr>
        <w:t>%</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地方财政一般性预算收入达到</w:t>
      </w:r>
      <w:r>
        <w:rPr>
          <w:rFonts w:hint="eastAsia" w:eastAsia="仿宋_GB2312" w:cs="仿宋_GB2312"/>
          <w:color w:val="auto"/>
          <w:sz w:val="30"/>
          <w:szCs w:val="30"/>
          <w:highlight w:val="none"/>
          <w:lang w:val="en-US" w:eastAsia="zh-CN"/>
        </w:rPr>
        <w:t>7.4</w:t>
      </w:r>
      <w:r>
        <w:rPr>
          <w:rFonts w:hint="eastAsia" w:eastAsia="仿宋_GB2312" w:cs="仿宋_GB2312"/>
          <w:color w:val="auto"/>
          <w:sz w:val="30"/>
          <w:szCs w:val="30"/>
          <w:highlight w:val="none"/>
        </w:rPr>
        <w:t>亿元以上，年均增速</w:t>
      </w:r>
      <w:r>
        <w:rPr>
          <w:rFonts w:hint="eastAsia" w:eastAsia="仿宋_GB2312" w:cs="仿宋_GB2312"/>
          <w:color w:val="auto"/>
          <w:sz w:val="30"/>
          <w:szCs w:val="30"/>
          <w:highlight w:val="none"/>
          <w:lang w:val="en-US" w:eastAsia="zh-CN"/>
        </w:rPr>
        <w:t>6</w:t>
      </w:r>
      <w:r>
        <w:rPr>
          <w:rFonts w:hint="eastAsia" w:eastAsia="仿宋_GB2312" w:cs="仿宋_GB2312"/>
          <w:color w:val="auto"/>
          <w:sz w:val="30"/>
          <w:szCs w:val="30"/>
          <w:highlight w:val="none"/>
        </w:rPr>
        <w:t>%</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全社会固定资产投资规模</w:t>
      </w:r>
      <w:r>
        <w:rPr>
          <w:rFonts w:hint="eastAsia" w:eastAsia="仿宋_GB2312" w:cs="仿宋_GB2312"/>
          <w:color w:val="auto"/>
          <w:sz w:val="30"/>
          <w:szCs w:val="30"/>
          <w:highlight w:val="none"/>
          <w:lang w:val="en-US" w:eastAsia="zh-CN"/>
        </w:rPr>
        <w:t>127.3</w:t>
      </w:r>
      <w:r>
        <w:rPr>
          <w:rFonts w:hint="eastAsia" w:eastAsia="仿宋_GB2312" w:cs="仿宋_GB2312"/>
          <w:color w:val="auto"/>
          <w:sz w:val="30"/>
          <w:szCs w:val="30"/>
          <w:highlight w:val="none"/>
        </w:rPr>
        <w:t>亿元，年均增速</w:t>
      </w:r>
      <w:r>
        <w:rPr>
          <w:rFonts w:hint="eastAsia" w:eastAsia="仿宋_GB2312" w:cs="仿宋_GB2312"/>
          <w:color w:val="auto"/>
          <w:sz w:val="30"/>
          <w:szCs w:val="30"/>
          <w:highlight w:val="none"/>
          <w:lang w:val="en-US" w:eastAsia="zh-CN"/>
        </w:rPr>
        <w:t>20</w:t>
      </w:r>
      <w:r>
        <w:rPr>
          <w:rFonts w:hint="eastAsia" w:eastAsia="仿宋_GB2312" w:cs="仿宋_GB2312"/>
          <w:color w:val="auto"/>
          <w:sz w:val="30"/>
          <w:szCs w:val="30"/>
          <w:highlight w:val="none"/>
        </w:rPr>
        <w:t>%</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全社会消费品零售总额达</w:t>
      </w:r>
      <w:r>
        <w:rPr>
          <w:rFonts w:hint="eastAsia" w:eastAsia="仿宋_GB2312" w:cs="仿宋_GB2312"/>
          <w:color w:val="auto"/>
          <w:sz w:val="30"/>
          <w:szCs w:val="30"/>
          <w:highlight w:val="none"/>
          <w:lang w:val="en-US" w:eastAsia="zh-CN"/>
        </w:rPr>
        <w:t>30</w:t>
      </w:r>
      <w:r>
        <w:rPr>
          <w:rFonts w:hint="eastAsia" w:eastAsia="仿宋_GB2312" w:cs="仿宋_GB2312"/>
          <w:color w:val="auto"/>
          <w:sz w:val="30"/>
          <w:szCs w:val="30"/>
          <w:highlight w:val="none"/>
        </w:rPr>
        <w:t>亿元，年均增速</w:t>
      </w:r>
      <w:r>
        <w:rPr>
          <w:rFonts w:hint="eastAsia" w:eastAsia="仿宋_GB2312" w:cs="仿宋_GB2312"/>
          <w:color w:val="auto"/>
          <w:sz w:val="30"/>
          <w:szCs w:val="30"/>
          <w:highlight w:val="none"/>
          <w:lang w:val="en-US" w:eastAsia="zh-CN"/>
        </w:rPr>
        <w:t>8</w:t>
      </w:r>
      <w:r>
        <w:rPr>
          <w:rFonts w:hint="eastAsia" w:eastAsia="仿宋_GB2312" w:cs="仿宋_GB2312"/>
          <w:color w:val="auto"/>
          <w:sz w:val="30"/>
          <w:szCs w:val="30"/>
          <w:highlight w:val="none"/>
        </w:rPr>
        <w:t>%。</w:t>
      </w:r>
    </w:p>
    <w:p>
      <w:pPr>
        <w:keepNext w:val="0"/>
        <w:keepLines w:val="0"/>
        <w:pageBreakBefore w:val="0"/>
        <w:shd w:val="clear"/>
        <w:kinsoku/>
        <w:wordWrap/>
        <w:autoSpaceDE/>
        <w:autoSpaceDN/>
        <w:bidi w:val="0"/>
        <w:spacing w:line="560" w:lineRule="exact"/>
        <w:ind w:firstLine="602"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zh-CN"/>
        </w:rPr>
      </w:pPr>
      <w:r>
        <w:rPr>
          <w:rFonts w:hint="eastAsia" w:eastAsia="仿宋_GB2312" w:cs="仿宋_GB2312"/>
          <w:b/>
          <w:bCs/>
          <w:color w:val="auto"/>
          <w:sz w:val="30"/>
          <w:szCs w:val="30"/>
          <w:highlight w:val="none"/>
        </w:rPr>
        <w:t>经济结构</w:t>
      </w:r>
      <w:r>
        <w:rPr>
          <w:rFonts w:hint="eastAsia" w:eastAsia="仿宋_GB2312" w:cs="仿宋_GB2312"/>
          <w:b/>
          <w:bCs/>
          <w:color w:val="auto"/>
          <w:sz w:val="30"/>
          <w:szCs w:val="30"/>
          <w:highlight w:val="none"/>
          <w:lang w:val="en-US" w:eastAsia="zh-CN"/>
        </w:rPr>
        <w:t>调整得到新优化</w:t>
      </w:r>
      <w:r>
        <w:rPr>
          <w:rFonts w:hint="eastAsia" w:eastAsia="仿宋_GB2312" w:cs="仿宋_GB2312"/>
          <w:b/>
          <w:bCs/>
          <w:color w:val="auto"/>
          <w:sz w:val="30"/>
          <w:szCs w:val="30"/>
          <w:highlight w:val="none"/>
        </w:rPr>
        <w:t>。</w:t>
      </w:r>
      <w:r>
        <w:rPr>
          <w:rFonts w:hint="eastAsia" w:eastAsia="仿宋_GB2312" w:cs="仿宋_GB2312"/>
          <w:color w:val="auto"/>
          <w:sz w:val="30"/>
          <w:szCs w:val="30"/>
          <w:highlight w:val="none"/>
        </w:rPr>
        <w:t>农业产业化经营水平大幅提升，现代农业体系初步形成，第一产业</w:t>
      </w:r>
      <w:r>
        <w:rPr>
          <w:rFonts w:hint="eastAsia" w:ascii="Times New Roman" w:hAnsi="Times New Roman" w:eastAsia="仿宋_GB2312" w:cs="仿宋_GB2312"/>
          <w:b w:val="0"/>
          <w:bCs w:val="0"/>
          <w:color w:val="auto"/>
          <w:kern w:val="2"/>
          <w:sz w:val="30"/>
          <w:szCs w:val="30"/>
          <w:highlight w:val="none"/>
          <w:lang w:val="en-US" w:eastAsia="zh-CN" w:bidi="zh-CN"/>
        </w:rPr>
        <w:t>年均增长6.1%；</w:t>
      </w:r>
      <w:r>
        <w:rPr>
          <w:rFonts w:hint="eastAsia" w:eastAsia="仿宋_GB2312" w:cs="仿宋_GB2312"/>
          <w:color w:val="auto"/>
          <w:sz w:val="30"/>
          <w:szCs w:val="30"/>
          <w:highlight w:val="none"/>
        </w:rPr>
        <w:t>新能源、新材料、农副产品加工、制药等地方工业不断发展壮大，第二产业</w:t>
      </w:r>
      <w:r>
        <w:rPr>
          <w:rFonts w:hint="eastAsia" w:ascii="Times New Roman" w:hAnsi="Times New Roman" w:eastAsia="仿宋_GB2312" w:cs="仿宋_GB2312"/>
          <w:b w:val="0"/>
          <w:bCs w:val="0"/>
          <w:color w:val="auto"/>
          <w:kern w:val="2"/>
          <w:sz w:val="30"/>
          <w:szCs w:val="30"/>
          <w:highlight w:val="none"/>
          <w:lang w:val="en-US" w:eastAsia="zh-CN" w:bidi="zh-CN"/>
        </w:rPr>
        <w:t>年均增长19.4%；</w:t>
      </w:r>
      <w:r>
        <w:rPr>
          <w:rFonts w:hint="eastAsia" w:eastAsia="仿宋_GB2312" w:cs="仿宋_GB2312"/>
          <w:color w:val="auto"/>
          <w:sz w:val="30"/>
          <w:szCs w:val="30"/>
          <w:highlight w:val="none"/>
        </w:rPr>
        <w:t>以现代服务业为重点的第三产业发展层次全面提升，第三产业</w:t>
      </w:r>
      <w:r>
        <w:rPr>
          <w:rFonts w:hint="eastAsia" w:ascii="Times New Roman" w:hAnsi="Times New Roman" w:eastAsia="仿宋_GB2312" w:cs="仿宋_GB2312"/>
          <w:b w:val="0"/>
          <w:bCs w:val="0"/>
          <w:color w:val="auto"/>
          <w:kern w:val="2"/>
          <w:sz w:val="30"/>
          <w:szCs w:val="30"/>
          <w:highlight w:val="none"/>
          <w:lang w:val="en-US" w:eastAsia="zh-CN" w:bidi="zh-CN"/>
        </w:rPr>
        <w:t>年均增长8.2%。</w:t>
      </w:r>
      <w:r>
        <w:rPr>
          <w:rFonts w:hint="eastAsia" w:eastAsia="仿宋_GB2312" w:cs="仿宋_GB2312"/>
          <w:color w:val="auto"/>
          <w:sz w:val="30"/>
          <w:szCs w:val="30"/>
          <w:highlight w:val="none"/>
        </w:rPr>
        <w:t>产业结构进一步优化，第</w:t>
      </w:r>
      <w:r>
        <w:rPr>
          <w:rFonts w:hint="eastAsia" w:eastAsia="仿宋_GB2312" w:cs="仿宋_GB2312"/>
          <w:color w:val="auto"/>
          <w:sz w:val="30"/>
          <w:szCs w:val="30"/>
          <w:highlight w:val="none"/>
          <w:lang w:val="en-US" w:eastAsia="zh-CN"/>
        </w:rPr>
        <w:t>一、二、</w:t>
      </w:r>
      <w:r>
        <w:rPr>
          <w:rFonts w:hint="eastAsia" w:eastAsia="仿宋_GB2312" w:cs="仿宋_GB2312"/>
          <w:color w:val="auto"/>
          <w:sz w:val="30"/>
          <w:szCs w:val="30"/>
          <w:highlight w:val="none"/>
        </w:rPr>
        <w:t>三产比重结构调整为32:17:51。城乡一体化水平稳步</w:t>
      </w:r>
      <w:r>
        <w:rPr>
          <w:rFonts w:hint="eastAsia" w:eastAsia="仿宋_GB2312" w:cs="仿宋_GB2312"/>
          <w:color w:val="auto"/>
          <w:sz w:val="30"/>
          <w:szCs w:val="30"/>
          <w:highlight w:val="none"/>
          <w:lang w:val="en-US" w:eastAsia="zh-CN"/>
        </w:rPr>
        <w:t>提升</w:t>
      </w:r>
      <w:r>
        <w:rPr>
          <w:rFonts w:hint="eastAsia" w:eastAsia="仿宋_GB2312" w:cs="仿宋_GB2312"/>
          <w:color w:val="auto"/>
          <w:sz w:val="30"/>
          <w:szCs w:val="30"/>
          <w:highlight w:val="none"/>
        </w:rPr>
        <w:t>，</w:t>
      </w:r>
      <w:r>
        <w:rPr>
          <w:rFonts w:hint="eastAsia" w:ascii="Times New Roman" w:hAnsi="Times New Roman" w:eastAsia="仿宋_GB2312" w:cs="仿宋_GB2312"/>
          <w:b w:val="0"/>
          <w:bCs w:val="0"/>
          <w:color w:val="auto"/>
          <w:kern w:val="2"/>
          <w:sz w:val="30"/>
          <w:szCs w:val="30"/>
          <w:highlight w:val="none"/>
          <w:lang w:val="en-US" w:eastAsia="zh-CN" w:bidi="zh-CN"/>
        </w:rPr>
        <w:t>2025年</w:t>
      </w:r>
      <w:r>
        <w:rPr>
          <w:rFonts w:hint="eastAsia" w:eastAsia="仿宋_GB2312" w:cs="仿宋_GB2312"/>
          <w:b w:val="0"/>
          <w:bCs w:val="0"/>
          <w:color w:val="auto"/>
          <w:kern w:val="2"/>
          <w:sz w:val="30"/>
          <w:szCs w:val="30"/>
          <w:highlight w:val="none"/>
          <w:lang w:val="en-US" w:eastAsia="zh-CN" w:bidi="zh-CN"/>
        </w:rPr>
        <w:t>，</w:t>
      </w:r>
      <w:r>
        <w:rPr>
          <w:rFonts w:hint="eastAsia" w:ascii="Times New Roman" w:hAnsi="Times New Roman" w:eastAsia="仿宋_GB2312" w:cs="仿宋_GB2312"/>
          <w:b w:val="0"/>
          <w:bCs w:val="0"/>
          <w:color w:val="auto"/>
          <w:kern w:val="2"/>
          <w:sz w:val="30"/>
          <w:szCs w:val="30"/>
          <w:highlight w:val="none"/>
          <w:lang w:val="en-US" w:eastAsia="zh-CN" w:bidi="zh-CN"/>
        </w:rPr>
        <w:t>常住人口城镇化率达45%以上。</w:t>
      </w:r>
    </w:p>
    <w:p>
      <w:pPr>
        <w:keepNext w:val="0"/>
        <w:keepLines w:val="0"/>
        <w:pageBreakBefore w:val="0"/>
        <w:shd w:val="clear"/>
        <w:kinsoku/>
        <w:wordWrap/>
        <w:autoSpaceDE/>
        <w:autoSpaceDN/>
        <w:bidi w:val="0"/>
        <w:spacing w:line="560" w:lineRule="exact"/>
        <w:ind w:firstLine="602" w:firstLineChars="200"/>
        <w:textAlignment w:val="auto"/>
        <w:rPr>
          <w:rFonts w:eastAsia="仿宋_GB2312" w:cs="仿宋_GB2312"/>
          <w:color w:val="auto"/>
          <w:sz w:val="30"/>
          <w:szCs w:val="30"/>
          <w:highlight w:val="none"/>
        </w:rPr>
      </w:pPr>
      <w:r>
        <w:rPr>
          <w:rFonts w:hint="eastAsia" w:eastAsia="仿宋_GB2312" w:cs="仿宋_GB2312"/>
          <w:b/>
          <w:bCs/>
          <w:color w:val="auto"/>
          <w:sz w:val="30"/>
          <w:szCs w:val="30"/>
          <w:highlight w:val="none"/>
        </w:rPr>
        <w:t>人民生活水平再上新台阶。</w:t>
      </w:r>
      <w:r>
        <w:rPr>
          <w:rFonts w:hint="eastAsia" w:eastAsia="仿宋_GB2312" w:cs="仿宋_GB2312"/>
          <w:color w:val="auto"/>
          <w:sz w:val="30"/>
          <w:szCs w:val="30"/>
          <w:highlight w:val="none"/>
        </w:rPr>
        <w:t>城乡居民收入实现较快增长，中等收入群体持续扩大，社会就业更加充分。全县城镇居民人均可支配收入达到</w:t>
      </w:r>
      <w:r>
        <w:rPr>
          <w:rFonts w:hint="eastAsia" w:eastAsia="仿宋_GB2312" w:cs="仿宋_GB2312"/>
          <w:color w:val="auto"/>
          <w:sz w:val="30"/>
          <w:szCs w:val="30"/>
          <w:highlight w:val="none"/>
          <w:lang w:val="en-US" w:eastAsia="zh-CN"/>
        </w:rPr>
        <w:t>3.17万</w:t>
      </w:r>
      <w:r>
        <w:rPr>
          <w:rFonts w:hint="eastAsia" w:eastAsia="仿宋_GB2312" w:cs="仿宋_GB2312"/>
          <w:color w:val="auto"/>
          <w:sz w:val="30"/>
          <w:szCs w:val="30"/>
          <w:highlight w:val="none"/>
        </w:rPr>
        <w:t>元，</w:t>
      </w:r>
      <w:r>
        <w:rPr>
          <w:rFonts w:hint="eastAsia" w:eastAsia="仿宋_GB2312" w:cs="仿宋_GB2312"/>
          <w:color w:val="auto"/>
          <w:sz w:val="30"/>
          <w:szCs w:val="30"/>
          <w:highlight w:val="none"/>
          <w:lang w:eastAsia="zh-CN"/>
        </w:rPr>
        <w:t>年均增长</w:t>
      </w:r>
      <w:r>
        <w:rPr>
          <w:rFonts w:hint="eastAsia" w:eastAsia="仿宋_GB2312" w:cs="仿宋_GB2312"/>
          <w:color w:val="auto"/>
          <w:sz w:val="30"/>
          <w:szCs w:val="30"/>
          <w:highlight w:val="none"/>
          <w:lang w:val="en-US" w:eastAsia="zh-CN"/>
        </w:rPr>
        <w:t>4%，</w:t>
      </w:r>
      <w:r>
        <w:rPr>
          <w:rFonts w:hint="eastAsia" w:eastAsia="仿宋_GB2312" w:cs="仿宋_GB2312"/>
          <w:color w:val="auto"/>
          <w:sz w:val="30"/>
          <w:szCs w:val="30"/>
          <w:highlight w:val="none"/>
        </w:rPr>
        <w:t>农牧民人均纯收入达到</w:t>
      </w:r>
      <w:r>
        <w:rPr>
          <w:rFonts w:hint="eastAsia" w:eastAsia="仿宋_GB2312" w:cs="仿宋_GB2312"/>
          <w:color w:val="auto"/>
          <w:sz w:val="30"/>
          <w:szCs w:val="30"/>
          <w:highlight w:val="none"/>
          <w:lang w:val="en-US" w:eastAsia="zh-CN"/>
        </w:rPr>
        <w:t>1.4万</w:t>
      </w:r>
      <w:r>
        <w:rPr>
          <w:rFonts w:hint="eastAsia" w:eastAsia="仿宋_GB2312" w:cs="仿宋_GB2312"/>
          <w:color w:val="auto"/>
          <w:sz w:val="30"/>
          <w:szCs w:val="30"/>
          <w:highlight w:val="none"/>
        </w:rPr>
        <w:t>元，年均增</w:t>
      </w:r>
      <w:r>
        <w:rPr>
          <w:rFonts w:hint="eastAsia" w:eastAsia="仿宋_GB2312" w:cs="仿宋_GB2312"/>
          <w:color w:val="auto"/>
          <w:sz w:val="30"/>
          <w:szCs w:val="30"/>
          <w:highlight w:val="none"/>
          <w:lang w:val="en-US" w:eastAsia="zh-CN"/>
        </w:rPr>
        <w:t>长7.5</w:t>
      </w:r>
      <w:r>
        <w:rPr>
          <w:rFonts w:hint="eastAsia" w:eastAsia="仿宋_GB2312" w:cs="仿宋_GB2312"/>
          <w:color w:val="auto"/>
          <w:sz w:val="30"/>
          <w:szCs w:val="30"/>
          <w:highlight w:val="none"/>
        </w:rPr>
        <w:t>%。</w:t>
      </w:r>
      <w:r>
        <w:rPr>
          <w:rFonts w:hint="eastAsia" w:ascii="Times New Roman" w:hAnsi="Times New Roman" w:eastAsia="仿宋_GB2312" w:cs="仿宋_GB2312"/>
          <w:b w:val="0"/>
          <w:bCs w:val="0"/>
          <w:color w:val="auto"/>
          <w:kern w:val="2"/>
          <w:sz w:val="30"/>
          <w:szCs w:val="30"/>
          <w:highlight w:val="none"/>
          <w:lang w:val="en-US" w:eastAsia="zh-CN" w:bidi="zh-CN"/>
        </w:rPr>
        <w:t>就业状况明显改善，</w:t>
      </w:r>
      <w:r>
        <w:rPr>
          <w:rFonts w:hint="eastAsia" w:eastAsia="仿宋_GB2312" w:cs="仿宋_GB2312"/>
          <w:b w:val="0"/>
          <w:bCs w:val="0"/>
          <w:color w:val="auto"/>
          <w:kern w:val="2"/>
          <w:sz w:val="30"/>
          <w:szCs w:val="30"/>
          <w:highlight w:val="none"/>
          <w:lang w:val="en-US" w:eastAsia="zh-CN" w:bidi="zh-CN"/>
        </w:rPr>
        <w:t>力争每年新增城镇就业1万人以上，</w:t>
      </w:r>
      <w:r>
        <w:rPr>
          <w:rFonts w:hint="eastAsia" w:ascii="Times New Roman" w:hAnsi="Times New Roman" w:eastAsia="仿宋_GB2312" w:cs="仿宋_GB2312"/>
          <w:b w:val="0"/>
          <w:bCs w:val="0"/>
          <w:color w:val="auto"/>
          <w:kern w:val="2"/>
          <w:sz w:val="30"/>
          <w:szCs w:val="30"/>
          <w:highlight w:val="none"/>
          <w:lang w:val="en-US" w:eastAsia="zh-CN" w:bidi="zh-CN"/>
        </w:rPr>
        <w:t>城镇登记失业率控制在4.0%以内</w:t>
      </w:r>
      <w:r>
        <w:rPr>
          <w:rFonts w:hint="eastAsia" w:eastAsia="仿宋_GB2312" w:cs="仿宋_GB2312"/>
          <w:b w:val="0"/>
          <w:bCs w:val="0"/>
          <w:color w:val="auto"/>
          <w:kern w:val="2"/>
          <w:sz w:val="30"/>
          <w:szCs w:val="30"/>
          <w:highlight w:val="none"/>
          <w:lang w:val="en-US" w:eastAsia="zh-CN" w:bidi="zh-CN"/>
        </w:rPr>
        <w:t>，年均转移农村富余劳动力10万人次以上</w:t>
      </w:r>
      <w:r>
        <w:rPr>
          <w:rFonts w:hint="eastAsia" w:ascii="Times New Roman" w:hAnsi="Times New Roman" w:eastAsia="仿宋_GB2312" w:cs="仿宋_GB2312"/>
          <w:b w:val="0"/>
          <w:bCs w:val="0"/>
          <w:color w:val="auto"/>
          <w:kern w:val="2"/>
          <w:sz w:val="30"/>
          <w:szCs w:val="30"/>
          <w:highlight w:val="none"/>
          <w:lang w:val="en-US" w:eastAsia="zh-CN" w:bidi="zh-CN"/>
        </w:rPr>
        <w:t>。</w:t>
      </w:r>
      <w:r>
        <w:rPr>
          <w:rFonts w:hint="eastAsia" w:eastAsia="仿宋_GB2312" w:cs="仿宋_GB2312"/>
          <w:color w:val="auto"/>
          <w:sz w:val="30"/>
          <w:szCs w:val="30"/>
          <w:highlight w:val="none"/>
        </w:rPr>
        <w:t>城乡居民居住条件明显改善，文化、教育、卫生等公共服务水平明显提高。</w:t>
      </w:r>
    </w:p>
    <w:p>
      <w:pPr>
        <w:keepNext w:val="0"/>
        <w:keepLines w:val="0"/>
        <w:pageBreakBefore w:val="0"/>
        <w:shd w:val="clear"/>
        <w:kinsoku/>
        <w:wordWrap/>
        <w:autoSpaceDE/>
        <w:autoSpaceDN/>
        <w:bidi w:val="0"/>
        <w:spacing w:line="560" w:lineRule="exact"/>
        <w:ind w:firstLine="602" w:firstLineChars="200"/>
        <w:textAlignment w:val="auto"/>
        <w:rPr>
          <w:rFonts w:eastAsia="仿宋_GB2312" w:cs="仿宋_GB2312"/>
          <w:color w:val="auto"/>
          <w:sz w:val="30"/>
          <w:szCs w:val="30"/>
          <w:highlight w:val="none"/>
        </w:rPr>
      </w:pPr>
      <w:r>
        <w:rPr>
          <w:rFonts w:hint="eastAsia" w:eastAsia="仿宋_GB2312" w:cs="仿宋_GB2312"/>
          <w:b/>
          <w:color w:val="auto"/>
          <w:sz w:val="30"/>
          <w:szCs w:val="30"/>
          <w:highlight w:val="none"/>
        </w:rPr>
        <w:t>可持续发展能力</w:t>
      </w:r>
      <w:r>
        <w:rPr>
          <w:rFonts w:hint="eastAsia" w:eastAsia="仿宋_GB2312" w:cs="仿宋_GB2312"/>
          <w:b/>
          <w:color w:val="auto"/>
          <w:sz w:val="30"/>
          <w:szCs w:val="30"/>
          <w:highlight w:val="none"/>
          <w:lang w:val="en-US" w:eastAsia="zh-CN"/>
        </w:rPr>
        <w:t>得到新提升</w:t>
      </w:r>
      <w:r>
        <w:rPr>
          <w:rFonts w:hint="eastAsia" w:eastAsia="仿宋_GB2312" w:cs="仿宋_GB2312"/>
          <w:b/>
          <w:color w:val="auto"/>
          <w:sz w:val="30"/>
          <w:szCs w:val="30"/>
          <w:highlight w:val="none"/>
        </w:rPr>
        <w:t>。</w:t>
      </w:r>
      <w:r>
        <w:rPr>
          <w:rFonts w:hint="eastAsia" w:eastAsia="仿宋_GB2312" w:cs="仿宋_GB2312"/>
          <w:color w:val="auto"/>
          <w:sz w:val="30"/>
          <w:szCs w:val="30"/>
          <w:highlight w:val="none"/>
        </w:rPr>
        <w:t>资源节约型、环境友好型社会建设取得明显成效，循环经济体系不断完善，对经济增长和环境保护的支撑作用</w:t>
      </w:r>
      <w:r>
        <w:rPr>
          <w:rFonts w:hint="eastAsia" w:eastAsia="仿宋_GB2312" w:cs="仿宋_GB2312"/>
          <w:color w:val="auto"/>
          <w:sz w:val="30"/>
          <w:szCs w:val="30"/>
          <w:highlight w:val="none"/>
          <w:lang w:val="en-US" w:eastAsia="zh-CN"/>
        </w:rPr>
        <w:t>持续</w:t>
      </w:r>
      <w:r>
        <w:rPr>
          <w:rFonts w:hint="eastAsia" w:eastAsia="仿宋_GB2312" w:cs="仿宋_GB2312"/>
          <w:color w:val="auto"/>
          <w:sz w:val="30"/>
          <w:szCs w:val="30"/>
          <w:highlight w:val="none"/>
        </w:rPr>
        <w:t>增强；生态建设稳步推进，到2025年，全县生态文明水平进一步提高，主要污染物总量控制在指标范围内，环境质量显著</w:t>
      </w:r>
      <w:r>
        <w:rPr>
          <w:rFonts w:hint="eastAsia" w:eastAsia="仿宋_GB2312" w:cs="仿宋_GB2312"/>
          <w:color w:val="auto"/>
          <w:sz w:val="30"/>
          <w:szCs w:val="30"/>
          <w:highlight w:val="none"/>
          <w:lang w:val="en-US" w:eastAsia="zh-CN"/>
        </w:rPr>
        <w:t>改善</w:t>
      </w:r>
      <w:r>
        <w:rPr>
          <w:rFonts w:hint="eastAsia" w:eastAsia="仿宋_GB2312" w:cs="仿宋_GB2312"/>
          <w:color w:val="auto"/>
          <w:sz w:val="30"/>
          <w:szCs w:val="30"/>
          <w:highlight w:val="none"/>
        </w:rPr>
        <w:t>，县城建成区绿化覆盖率达到35%，大气环境质量优良率保持在</w:t>
      </w:r>
      <w:r>
        <w:rPr>
          <w:rFonts w:hint="eastAsia" w:eastAsia="仿宋_GB2312" w:cs="仿宋_GB2312"/>
          <w:color w:val="auto"/>
          <w:sz w:val="30"/>
          <w:szCs w:val="30"/>
          <w:highlight w:val="none"/>
          <w:lang w:val="en-US" w:eastAsia="zh-CN"/>
        </w:rPr>
        <w:t>28.3</w:t>
      </w:r>
      <w:r>
        <w:rPr>
          <w:rFonts w:hint="eastAsia" w:eastAsia="仿宋_GB2312" w:cs="仿宋_GB2312"/>
          <w:color w:val="auto"/>
          <w:sz w:val="30"/>
          <w:szCs w:val="30"/>
          <w:highlight w:val="none"/>
        </w:rPr>
        <w:t>%；城乡饮用水水源地环境安全得到有效保障，饮用水源水质、主要河道水质达到Ⅲ类水质标准</w:t>
      </w:r>
      <w:r>
        <w:rPr>
          <w:rFonts w:hint="eastAsia" w:eastAsia="仿宋_GB2312" w:cs="仿宋_GB2312"/>
          <w:color w:val="auto"/>
          <w:sz w:val="30"/>
          <w:szCs w:val="30"/>
          <w:highlight w:val="none"/>
          <w:lang w:eastAsia="zh-CN"/>
        </w:rPr>
        <w:t>，</w:t>
      </w:r>
      <w:r>
        <w:rPr>
          <w:rFonts w:hint="eastAsia" w:eastAsia="仿宋_GB2312" w:cs="仿宋_GB2312"/>
          <w:color w:val="auto"/>
          <w:sz w:val="30"/>
          <w:szCs w:val="30"/>
          <w:highlight w:val="none"/>
        </w:rPr>
        <w:t>水质达标率100%；中心城镇环境基础设施建设和运行水平得到</w:t>
      </w:r>
      <w:r>
        <w:rPr>
          <w:rFonts w:hint="eastAsia" w:eastAsia="仿宋_GB2312" w:cs="仿宋_GB2312"/>
          <w:color w:val="auto"/>
          <w:sz w:val="30"/>
          <w:szCs w:val="30"/>
          <w:highlight w:val="none"/>
          <w:lang w:val="en-US" w:eastAsia="zh-CN"/>
        </w:rPr>
        <w:t>显著</w:t>
      </w:r>
      <w:r>
        <w:rPr>
          <w:rFonts w:hint="eastAsia" w:eastAsia="仿宋_GB2312" w:cs="仿宋_GB2312"/>
          <w:color w:val="auto"/>
          <w:sz w:val="30"/>
          <w:szCs w:val="30"/>
          <w:highlight w:val="none"/>
        </w:rPr>
        <w:t>提升，污水集中处理率达到95%以上、垃圾无害化处理率达到</w:t>
      </w:r>
      <w:r>
        <w:rPr>
          <w:rFonts w:hint="eastAsia" w:eastAsia="仿宋_GB2312" w:cs="仿宋_GB2312"/>
          <w:color w:val="auto"/>
          <w:sz w:val="30"/>
          <w:szCs w:val="30"/>
          <w:highlight w:val="none"/>
          <w:lang w:val="en-US" w:eastAsia="zh-CN"/>
        </w:rPr>
        <w:t>95</w:t>
      </w:r>
      <w:r>
        <w:rPr>
          <w:rFonts w:hint="eastAsia" w:eastAsia="仿宋_GB2312" w:cs="仿宋_GB2312"/>
          <w:color w:val="auto"/>
          <w:sz w:val="30"/>
          <w:szCs w:val="30"/>
          <w:highlight w:val="none"/>
        </w:rPr>
        <w:t>%以上。</w:t>
      </w:r>
      <w:r>
        <w:rPr>
          <w:rFonts w:hint="eastAsia" w:eastAsia="仿宋_GB2312" w:cs="仿宋_GB2312"/>
          <w:color w:val="auto"/>
          <w:sz w:val="30"/>
          <w:szCs w:val="30"/>
          <w:highlight w:val="none"/>
          <w:lang w:eastAsia="zh-CN"/>
        </w:rPr>
        <w:t>工业固体废物综合利用率</w:t>
      </w:r>
      <w:r>
        <w:rPr>
          <w:rFonts w:hint="eastAsia" w:eastAsia="仿宋_GB2312" w:cs="仿宋_GB2312"/>
          <w:color w:val="auto"/>
          <w:sz w:val="30"/>
          <w:szCs w:val="30"/>
          <w:highlight w:val="none"/>
          <w:lang w:val="en-US" w:eastAsia="zh-CN"/>
        </w:rPr>
        <w:t>达到70%</w:t>
      </w:r>
      <w:r>
        <w:rPr>
          <w:rFonts w:hint="eastAsia" w:eastAsia="仿宋_GB2312" w:cs="仿宋_GB2312"/>
          <w:color w:val="auto"/>
          <w:sz w:val="30"/>
          <w:szCs w:val="30"/>
          <w:highlight w:val="none"/>
        </w:rPr>
        <w:t>，白色污染治理率提高到90%</w:t>
      </w:r>
      <w:r>
        <w:rPr>
          <w:rFonts w:hint="eastAsia" w:eastAsia="仿宋_GB2312" w:cs="仿宋_GB2312"/>
          <w:color w:val="auto"/>
          <w:sz w:val="30"/>
          <w:szCs w:val="30"/>
          <w:highlight w:val="none"/>
          <w:lang w:eastAsia="zh-CN"/>
        </w:rPr>
        <w:t>以上</w:t>
      </w:r>
      <w:r>
        <w:rPr>
          <w:rFonts w:hint="eastAsia" w:eastAsia="仿宋_GB2312" w:cs="仿宋_GB2312"/>
          <w:color w:val="auto"/>
          <w:sz w:val="30"/>
          <w:szCs w:val="30"/>
          <w:highlight w:val="none"/>
        </w:rPr>
        <w:t>，粪污资源化利用率达到90%以上。</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hint="eastAsia" w:eastAsia="仿宋_GB2312" w:cs="仿宋_GB2312"/>
          <w:color w:val="auto"/>
          <w:sz w:val="28"/>
          <w:szCs w:val="28"/>
          <w:highlight w:val="none"/>
          <w:lang w:eastAsia="zh-CN"/>
        </w:rPr>
      </w:pPr>
      <w:r>
        <w:rPr>
          <w:rFonts w:hint="eastAsia" w:eastAsia="仿宋_GB2312" w:cs="仿宋_GB2312"/>
          <w:b/>
          <w:bCs/>
          <w:color w:val="auto"/>
          <w:sz w:val="30"/>
          <w:szCs w:val="30"/>
          <w:highlight w:val="none"/>
          <w:lang w:eastAsia="zh-CN"/>
        </w:rPr>
        <w:t>社会文明程度得到新提高</w:t>
      </w:r>
      <w:r>
        <w:rPr>
          <w:rFonts w:hint="eastAsia" w:eastAsia="仿宋_GB2312" w:cs="仿宋_GB2312"/>
          <w:b/>
          <w:bCs/>
          <w:color w:val="auto"/>
          <w:sz w:val="30"/>
          <w:szCs w:val="30"/>
          <w:highlight w:val="none"/>
        </w:rPr>
        <w:t>。</w:t>
      </w:r>
      <w:r>
        <w:rPr>
          <w:rFonts w:hint="eastAsia" w:eastAsia="仿宋_GB2312" w:cs="仿宋_GB2312"/>
          <w:color w:val="auto"/>
          <w:sz w:val="28"/>
          <w:szCs w:val="28"/>
          <w:highlight w:val="none"/>
          <w:lang w:eastAsia="zh-CN"/>
        </w:rPr>
        <w:t>社会主义核心价值观深入人心，人民群众思想道德素质、科学文化素质和身心健康素质不断提高，公共文化服务体系和文化产业体系不断健全，人民精神文化生活日益丰富，中华文化影响力进一步提升，中华民族凝聚力进一步增强。</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s="仿宋_GB2312"/>
          <w:color w:val="auto"/>
          <w:sz w:val="30"/>
          <w:szCs w:val="30"/>
          <w:highlight w:val="none"/>
        </w:rPr>
      </w:pPr>
      <w:r>
        <w:rPr>
          <w:rFonts w:hint="eastAsia" w:eastAsia="仿宋_GB2312" w:cs="仿宋_GB2312"/>
          <w:b/>
          <w:bCs/>
          <w:color w:val="auto"/>
          <w:sz w:val="30"/>
          <w:szCs w:val="30"/>
          <w:highlight w:val="none"/>
        </w:rPr>
        <w:t>社会稳定发展谱写新篇章。</w:t>
      </w:r>
      <w:r>
        <w:rPr>
          <w:rFonts w:hint="eastAsia" w:eastAsia="仿宋_GB2312" w:cs="仿宋_GB2312"/>
          <w:color w:val="auto"/>
          <w:sz w:val="30"/>
          <w:szCs w:val="30"/>
          <w:highlight w:val="none"/>
          <w:lang w:val="en-US" w:eastAsia="zh-CN"/>
        </w:rPr>
        <w:t>牢牢扭住</w:t>
      </w:r>
      <w:r>
        <w:rPr>
          <w:rFonts w:hint="eastAsia" w:eastAsia="仿宋_GB2312" w:cs="仿宋_GB2312"/>
          <w:color w:val="auto"/>
          <w:sz w:val="30"/>
          <w:szCs w:val="30"/>
          <w:highlight w:val="none"/>
        </w:rPr>
        <w:t>社会稳定和长治久安总目标，落实“依法治疆、团结稳疆、文化润疆、富民兴疆、长期建疆”战略。立足当前，谋划长远，抓好治标，强化治本。着力解决影响社会稳定和长治久安的深层次问题，奋力开创社会稳定和长治久安新局面，实现全县党政军兵更加团结，各民族更加和睦，社会更加稳定。</w:t>
      </w:r>
    </w:p>
    <w:tbl>
      <w:tblPr>
        <w:tblStyle w:val="15"/>
        <w:tblW w:w="8530" w:type="dxa"/>
        <w:jc w:val="center"/>
        <w:tblLayout w:type="fixed"/>
        <w:tblCellMar>
          <w:top w:w="0" w:type="dxa"/>
          <w:left w:w="108" w:type="dxa"/>
          <w:bottom w:w="0" w:type="dxa"/>
          <w:right w:w="108" w:type="dxa"/>
        </w:tblCellMar>
      </w:tblPr>
      <w:tblGrid>
        <w:gridCol w:w="481"/>
        <w:gridCol w:w="3334"/>
        <w:gridCol w:w="846"/>
        <w:gridCol w:w="954"/>
        <w:gridCol w:w="996"/>
        <w:gridCol w:w="1159"/>
        <w:gridCol w:w="760"/>
      </w:tblGrid>
      <w:tr>
        <w:tblPrEx>
          <w:tblCellMar>
            <w:top w:w="0" w:type="dxa"/>
            <w:left w:w="108" w:type="dxa"/>
            <w:bottom w:w="0" w:type="dxa"/>
            <w:right w:w="108" w:type="dxa"/>
          </w:tblCellMar>
        </w:tblPrEx>
        <w:trPr>
          <w:trHeight w:val="720" w:hRule="atLeast"/>
          <w:jc w:val="center"/>
        </w:trPr>
        <w:tc>
          <w:tcPr>
            <w:tcW w:w="8530" w:type="dxa"/>
            <w:gridSpan w:val="7"/>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方正小标宋简体" w:hAnsi="宋体" w:eastAsia="方正小标宋简体" w:cs="宋体"/>
                <w:sz w:val="21"/>
                <w:szCs w:val="21"/>
              </w:rPr>
            </w:pPr>
            <w:r>
              <w:rPr>
                <w:rFonts w:hint="eastAsia" w:ascii="黑体" w:hAnsi="黑体" w:eastAsia="黑体" w:cs="黑体"/>
                <w:b w:val="0"/>
                <w:bCs/>
                <w:sz w:val="30"/>
                <w:szCs w:val="30"/>
                <w:lang w:val="en-US" w:eastAsia="zh-CN"/>
              </w:rPr>
              <w:t>表2：</w:t>
            </w:r>
            <w:r>
              <w:rPr>
                <w:rFonts w:hint="eastAsia" w:ascii="黑体" w:hAnsi="黑体" w:eastAsia="黑体" w:cs="黑体"/>
                <w:b w:val="0"/>
                <w:bCs/>
                <w:sz w:val="30"/>
                <w:szCs w:val="30"/>
              </w:rPr>
              <w:t>“十四五”时期</w:t>
            </w:r>
            <w:r>
              <w:rPr>
                <w:rFonts w:hint="eastAsia" w:ascii="黑体" w:hAnsi="黑体" w:eastAsia="黑体" w:cs="黑体"/>
                <w:b w:val="0"/>
                <w:bCs/>
                <w:sz w:val="30"/>
                <w:szCs w:val="30"/>
                <w:lang w:val="en-US" w:eastAsia="zh-CN"/>
              </w:rPr>
              <w:t>叶城县</w:t>
            </w:r>
            <w:r>
              <w:rPr>
                <w:rFonts w:hint="eastAsia" w:ascii="黑体" w:hAnsi="黑体" w:eastAsia="黑体" w:cs="黑体"/>
                <w:b w:val="0"/>
                <w:bCs/>
                <w:sz w:val="30"/>
                <w:szCs w:val="30"/>
              </w:rPr>
              <w:t>经济社会发展</w:t>
            </w:r>
            <w:r>
              <w:rPr>
                <w:rFonts w:hint="eastAsia" w:ascii="黑体" w:hAnsi="黑体" w:eastAsia="黑体" w:cs="黑体"/>
                <w:b w:val="0"/>
                <w:bCs/>
                <w:sz w:val="30"/>
                <w:szCs w:val="30"/>
                <w:lang w:val="en-US" w:eastAsia="zh-CN"/>
              </w:rPr>
              <w:t>主要</w:t>
            </w:r>
            <w:r>
              <w:rPr>
                <w:rFonts w:hint="eastAsia" w:ascii="黑体" w:hAnsi="黑体" w:eastAsia="黑体" w:cs="黑体"/>
                <w:b w:val="0"/>
                <w:bCs/>
                <w:sz w:val="30"/>
                <w:szCs w:val="30"/>
              </w:rPr>
              <w:t>指标</w:t>
            </w:r>
          </w:p>
        </w:tc>
      </w:tr>
      <w:tr>
        <w:tblPrEx>
          <w:tblCellMar>
            <w:top w:w="0" w:type="dxa"/>
            <w:left w:w="108" w:type="dxa"/>
            <w:bottom w:w="0" w:type="dxa"/>
            <w:right w:w="108" w:type="dxa"/>
          </w:tblCellMar>
        </w:tblPrEx>
        <w:trPr>
          <w:trHeight w:val="690"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方正黑体简体" w:eastAsia="方正黑体简体" w:cs="Times New Roman"/>
                <w:bCs/>
                <w:sz w:val="21"/>
                <w:szCs w:val="21"/>
              </w:rPr>
            </w:pPr>
            <w:r>
              <w:rPr>
                <w:rFonts w:hint="eastAsia" w:ascii="方正黑体简体" w:eastAsia="方正黑体简体" w:cs="Times New Roman"/>
                <w:bCs/>
                <w:sz w:val="21"/>
                <w:szCs w:val="21"/>
              </w:rPr>
              <w:t>类别</w:t>
            </w: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ascii="方正黑体简体" w:hAnsi="宋体" w:eastAsia="方正黑体简体" w:cs="宋体"/>
                <w:bCs/>
                <w:sz w:val="21"/>
                <w:szCs w:val="21"/>
              </w:rPr>
            </w:pPr>
            <w:r>
              <w:rPr>
                <w:rFonts w:hint="eastAsia" w:ascii="方正黑体简体" w:eastAsia="方正黑体简体"/>
                <w:bCs/>
                <w:sz w:val="21"/>
                <w:szCs w:val="21"/>
              </w:rPr>
              <w:t>指标</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ascii="方正黑体简体" w:eastAsia="方正黑体简体" w:cs="Times New Roman"/>
                <w:bCs/>
                <w:sz w:val="21"/>
                <w:szCs w:val="21"/>
              </w:rPr>
            </w:pPr>
            <w:r>
              <w:rPr>
                <w:rFonts w:hint="eastAsia" w:ascii="方正黑体简体" w:eastAsia="方正黑体简体" w:cs="Times New Roman"/>
                <w:bCs/>
                <w:sz w:val="21"/>
                <w:szCs w:val="21"/>
              </w:rPr>
              <w:t>单位</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ascii="方正黑体简体" w:eastAsia="方正黑体简体" w:cs="Times New Roman"/>
                <w:bCs/>
                <w:sz w:val="21"/>
                <w:szCs w:val="21"/>
              </w:rPr>
            </w:pPr>
            <w:r>
              <w:rPr>
                <w:rFonts w:hint="eastAsia" w:ascii="方正黑体简体" w:eastAsia="方正黑体简体" w:cs="Times New Roman"/>
                <w:bCs/>
                <w:sz w:val="21"/>
                <w:szCs w:val="21"/>
              </w:rPr>
              <w:t>2020年</w:t>
            </w:r>
          </w:p>
          <w:p>
            <w:pPr>
              <w:spacing w:line="300" w:lineRule="exact"/>
              <w:ind w:firstLine="0" w:firstLineChars="0"/>
              <w:jc w:val="center"/>
              <w:rPr>
                <w:rFonts w:hint="eastAsia" w:eastAsia="宋体"/>
                <w:sz w:val="21"/>
                <w:szCs w:val="21"/>
                <w:lang w:eastAsia="zh-CN"/>
              </w:rPr>
            </w:pPr>
            <w:r>
              <w:rPr>
                <w:rFonts w:hint="eastAsia" w:ascii="方正黑体简体" w:eastAsia="方正黑体简体" w:cs="Times New Roman"/>
                <w:bCs/>
                <w:sz w:val="21"/>
                <w:szCs w:val="21"/>
                <w:lang w:val="en-US" w:eastAsia="zh-CN"/>
              </w:rPr>
              <w:t>基数</w:t>
            </w:r>
          </w:p>
        </w:tc>
        <w:tc>
          <w:tcPr>
            <w:tcW w:w="99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ascii="方正黑体简体" w:eastAsia="方正黑体简体" w:cs="Times New Roman"/>
                <w:bCs/>
                <w:sz w:val="21"/>
                <w:szCs w:val="21"/>
              </w:rPr>
            </w:pPr>
            <w:r>
              <w:rPr>
                <w:rFonts w:hint="eastAsia" w:ascii="方正黑体简体" w:eastAsia="方正黑体简体" w:cs="Times New Roman"/>
                <w:bCs/>
                <w:sz w:val="21"/>
                <w:szCs w:val="21"/>
              </w:rPr>
              <w:t>2025年</w:t>
            </w:r>
          </w:p>
          <w:p>
            <w:pPr>
              <w:spacing w:line="300" w:lineRule="exact"/>
              <w:ind w:firstLine="0" w:firstLineChars="0"/>
              <w:jc w:val="center"/>
              <w:rPr>
                <w:rFonts w:hint="eastAsia" w:eastAsia="方正黑体简体"/>
                <w:lang w:val="en-US" w:eastAsia="zh-CN"/>
              </w:rPr>
            </w:pPr>
            <w:r>
              <w:rPr>
                <w:rFonts w:hint="eastAsia" w:ascii="方正黑体简体" w:eastAsia="方正黑体简体" w:cs="Times New Roman"/>
                <w:bCs/>
                <w:sz w:val="21"/>
                <w:szCs w:val="21"/>
                <w:lang w:val="en-US" w:eastAsia="zh-CN"/>
              </w:rPr>
              <w:t>目标</w:t>
            </w:r>
          </w:p>
        </w:tc>
        <w:tc>
          <w:tcPr>
            <w:tcW w:w="1159"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方正黑体简体" w:eastAsia="方正黑体简体" w:cs="Times New Roman"/>
                <w:bCs/>
                <w:sz w:val="21"/>
                <w:szCs w:val="21"/>
                <w:lang w:val="en-US" w:eastAsia="zh-CN"/>
              </w:rPr>
            </w:pPr>
            <w:r>
              <w:rPr>
                <w:rFonts w:hint="eastAsia" w:ascii="方正黑体简体" w:eastAsia="方正黑体简体" w:cs="Times New Roman"/>
                <w:bCs/>
                <w:sz w:val="21"/>
                <w:szCs w:val="21"/>
              </w:rPr>
              <w:t>年均/累</w:t>
            </w:r>
            <w:r>
              <w:rPr>
                <w:rFonts w:hint="eastAsia" w:ascii="方正黑体简体" w:eastAsia="方正黑体简体" w:cs="Times New Roman"/>
                <w:bCs/>
                <w:sz w:val="21"/>
                <w:szCs w:val="21"/>
                <w:lang w:val="en-US" w:eastAsia="zh-CN"/>
              </w:rPr>
              <w:t>计</w:t>
            </w:r>
          </w:p>
          <w:p>
            <w:pPr>
              <w:spacing w:line="300" w:lineRule="exact"/>
              <w:ind w:firstLine="0" w:firstLineChars="0"/>
              <w:jc w:val="center"/>
              <w:rPr>
                <w:rFonts w:hint="eastAsia"/>
                <w:sz w:val="21"/>
                <w:szCs w:val="21"/>
              </w:rPr>
            </w:pPr>
            <w:r>
              <w:rPr>
                <w:rFonts w:hint="eastAsia" w:ascii="方正黑体简体" w:eastAsia="方正黑体简体" w:cs="Times New Roman"/>
                <w:bCs/>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ascii="方正黑体简体" w:eastAsia="方正黑体简体" w:cs="Times New Roman"/>
                <w:bCs/>
                <w:sz w:val="21"/>
                <w:szCs w:val="21"/>
              </w:rPr>
            </w:pPr>
            <w:r>
              <w:rPr>
                <w:rFonts w:hint="eastAsia" w:ascii="方正黑体简体" w:eastAsia="方正黑体简体" w:cs="Times New Roman"/>
                <w:bCs/>
                <w:sz w:val="21"/>
                <w:szCs w:val="21"/>
              </w:rPr>
              <w:t>属性</w:t>
            </w:r>
          </w:p>
        </w:tc>
      </w:tr>
      <w:tr>
        <w:tblPrEx>
          <w:tblCellMar>
            <w:top w:w="0" w:type="dxa"/>
            <w:left w:w="108" w:type="dxa"/>
            <w:bottom w:w="0" w:type="dxa"/>
            <w:right w:w="108" w:type="dxa"/>
          </w:tblCellMar>
        </w:tblPrEx>
        <w:trPr>
          <w:trHeight w:val="90" w:hRule="atLeast"/>
          <w:jc w:val="center"/>
        </w:trPr>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eastAsia="宋体" w:cs="Times New Roman"/>
                <w:sz w:val="21"/>
                <w:szCs w:val="21"/>
              </w:rPr>
            </w:pPr>
            <w:r>
              <w:rPr>
                <w:rFonts w:hint="eastAsia" w:cs="Times New Roman"/>
                <w:sz w:val="21"/>
                <w:szCs w:val="21"/>
              </w:rPr>
              <w:t>经济发展</w:t>
            </w: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1.</w:t>
            </w:r>
            <w:r>
              <w:rPr>
                <w:rFonts w:hint="eastAsia" w:cs="Times New Roman"/>
                <w:sz w:val="21"/>
                <w:szCs w:val="21"/>
              </w:rPr>
              <w:t>地区生产总值</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亿元</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r>
              <w:rPr>
                <w:rFonts w:hint="eastAsia" w:eastAsia="仿宋_GB2312" w:cs="仿宋_GB2312"/>
                <w:color w:val="auto"/>
                <w:sz w:val="21"/>
                <w:szCs w:val="21"/>
                <w:highlight w:val="none"/>
              </w:rPr>
              <w:t>105</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r>
              <w:rPr>
                <w:rFonts w:hint="eastAsia" w:eastAsia="仿宋_GB2312" w:cs="仿宋_GB2312"/>
                <w:color w:val="auto"/>
                <w:sz w:val="21"/>
                <w:szCs w:val="21"/>
                <w:highlight w:val="none"/>
                <w:lang w:val="en-US" w:eastAsia="zh-CN"/>
              </w:rPr>
              <w:t>167</w:t>
            </w:r>
          </w:p>
        </w:tc>
        <w:tc>
          <w:tcPr>
            <w:tcW w:w="11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r>
              <w:rPr>
                <w:rFonts w:hint="eastAsia" w:eastAsia="仿宋_GB2312" w:cs="仿宋_GB2312"/>
                <w:color w:val="auto"/>
                <w:sz w:val="21"/>
                <w:szCs w:val="21"/>
                <w:highlight w:val="none"/>
                <w:lang w:val="en-US" w:eastAsia="zh-CN"/>
              </w:rPr>
              <w:t>8</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37"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w:t>
            </w:r>
            <w:r>
              <w:rPr>
                <w:rFonts w:hint="eastAsia" w:cs="Times New Roman"/>
                <w:sz w:val="21"/>
                <w:szCs w:val="21"/>
              </w:rPr>
              <w:t>全员劳动生产率</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hint="eastAsia" w:cs="Times New Roman"/>
                <w:spacing w:val="-17"/>
                <w:sz w:val="21"/>
                <w:szCs w:val="21"/>
                <w:lang w:val="en-US" w:eastAsia="zh-CN"/>
              </w:rPr>
              <w:t>万元/人</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r>
              <w:rPr>
                <w:rFonts w:hint="eastAsia" w:eastAsia="仿宋_GB2312" w:cs="仿宋_GB2312"/>
                <w:color w:val="auto"/>
                <w:sz w:val="21"/>
                <w:szCs w:val="21"/>
                <w:highlight w:val="none"/>
              </w:rPr>
              <w:t>1.9</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r>
              <w:rPr>
                <w:rFonts w:hint="eastAsia" w:eastAsia="仿宋_GB2312" w:cs="仿宋_GB2312"/>
                <w:color w:val="auto"/>
                <w:sz w:val="21"/>
                <w:szCs w:val="21"/>
                <w:highlight w:val="none"/>
                <w:lang w:val="en-US" w:eastAsia="zh-CN"/>
              </w:rPr>
              <w:t>2.88</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r>
              <w:rPr>
                <w:rFonts w:hint="eastAsia" w:cs="Times New Roman"/>
                <w:sz w:val="21"/>
                <w:szCs w:val="21"/>
                <w:lang w:val="en-US" w:eastAsia="zh-CN"/>
              </w:rPr>
              <w:t xml:space="preserve"> </w:t>
            </w: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53"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3.</w:t>
            </w:r>
            <w:r>
              <w:rPr>
                <w:rFonts w:hint="eastAsia" w:cs="Times New Roman"/>
                <w:sz w:val="21"/>
                <w:szCs w:val="21"/>
              </w:rPr>
              <w:t>工业增加值</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亿元</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p>
        </w:tc>
        <w:tc>
          <w:tcPr>
            <w:tcW w:w="11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eastAsia="宋体" w:cs="Times New Roman"/>
                <w:sz w:val="21"/>
                <w:szCs w:val="21"/>
              </w:rPr>
            </w:pP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7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4.</w:t>
            </w:r>
            <w:r>
              <w:rPr>
                <w:rFonts w:hint="eastAsia" w:cs="Times New Roman"/>
                <w:sz w:val="21"/>
                <w:szCs w:val="21"/>
              </w:rPr>
              <w:t>全社会固定资产投资</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亿元</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kern w:val="2"/>
                <w:sz w:val="21"/>
                <w:szCs w:val="21"/>
                <w:lang w:val="en-US" w:eastAsia="zh-CN" w:bidi="ar-SA"/>
              </w:rPr>
            </w:pPr>
            <w:r>
              <w:rPr>
                <w:rFonts w:hint="eastAsia" w:eastAsia="仿宋_GB2312" w:cs="仿宋_GB2312"/>
                <w:color w:val="auto"/>
                <w:sz w:val="21"/>
                <w:szCs w:val="21"/>
                <w:highlight w:val="none"/>
                <w:lang w:val="en-US" w:eastAsia="zh-CN"/>
              </w:rPr>
              <w:t>52.11</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kern w:val="2"/>
                <w:sz w:val="21"/>
                <w:szCs w:val="21"/>
                <w:lang w:val="en-US" w:eastAsia="zh-CN" w:bidi="ar-SA"/>
              </w:rPr>
            </w:pPr>
            <w:r>
              <w:rPr>
                <w:rFonts w:hint="eastAsia" w:eastAsia="仿宋_GB2312" w:cs="仿宋_GB2312"/>
                <w:color w:val="auto"/>
                <w:sz w:val="21"/>
                <w:szCs w:val="21"/>
                <w:highlight w:val="none"/>
                <w:lang w:val="en-US" w:eastAsia="zh-CN"/>
              </w:rPr>
              <w:t>127.2</w:t>
            </w:r>
          </w:p>
        </w:tc>
        <w:tc>
          <w:tcPr>
            <w:tcW w:w="11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kern w:val="2"/>
                <w:sz w:val="21"/>
                <w:szCs w:val="21"/>
                <w:lang w:val="en-US" w:eastAsia="zh-CN" w:bidi="ar-SA"/>
              </w:rPr>
            </w:pPr>
            <w:r>
              <w:rPr>
                <w:rFonts w:hint="eastAsia" w:eastAsia="仿宋_GB2312" w:cs="仿宋_GB2312"/>
                <w:color w:val="auto"/>
                <w:sz w:val="21"/>
                <w:szCs w:val="21"/>
                <w:highlight w:val="none"/>
                <w:lang w:val="en-US" w:eastAsia="zh-CN"/>
              </w:rPr>
              <w:t>20</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289"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5.</w:t>
            </w:r>
            <w:r>
              <w:rPr>
                <w:rFonts w:hint="eastAsia" w:cs="Times New Roman"/>
                <w:sz w:val="21"/>
                <w:szCs w:val="21"/>
              </w:rPr>
              <w:t>一般公共预算收入</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亿元</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5.83</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7.4</w:t>
            </w:r>
          </w:p>
        </w:tc>
        <w:tc>
          <w:tcPr>
            <w:tcW w:w="11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6</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248"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6.</w:t>
            </w:r>
            <w:r>
              <w:rPr>
                <w:rFonts w:hint="eastAsia" w:cs="Times New Roman"/>
                <w:sz w:val="21"/>
                <w:szCs w:val="21"/>
              </w:rPr>
              <w:t>社会消费品零售总额</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亿元</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20.59</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30.3</w:t>
            </w:r>
          </w:p>
        </w:tc>
        <w:tc>
          <w:tcPr>
            <w:tcW w:w="11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lang w:val="en-US" w:eastAsia="zh-CN"/>
              </w:rPr>
              <w:t>8</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235"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7.</w:t>
            </w:r>
            <w:r>
              <w:rPr>
                <w:rFonts w:hint="eastAsia" w:cs="Times New Roman"/>
                <w:sz w:val="21"/>
                <w:szCs w:val="21"/>
              </w:rPr>
              <w:t>外贸进出口总额</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pacing w:val="-17"/>
                <w:sz w:val="21"/>
                <w:szCs w:val="21"/>
              </w:rPr>
              <w:t>亿美元</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rPr>
              <w:t>0.04</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rPr>
              <w:t>0.2</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eastAsia="宋体" w:cs="Times New Roman"/>
                <w:sz w:val="21"/>
                <w:szCs w:val="21"/>
                <w:lang w:eastAsia="zh-CN"/>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288"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8.</w:t>
            </w:r>
            <w:r>
              <w:rPr>
                <w:rFonts w:hint="eastAsia" w:cs="Times New Roman"/>
                <w:sz w:val="21"/>
                <w:szCs w:val="21"/>
              </w:rPr>
              <w:t>常住人员城镇化率</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eastAsia="宋体" w:cs="Times New Roman"/>
                <w:sz w:val="21"/>
                <w:szCs w:val="21"/>
                <w:lang w:val="en-US" w:eastAsia="zh-CN"/>
              </w:rPr>
            </w:pPr>
            <w:r>
              <w:rPr>
                <w:rFonts w:hint="eastAsia" w:eastAsia="仿宋_GB2312"/>
                <w:color w:val="auto"/>
                <w:sz w:val="21"/>
                <w:szCs w:val="21"/>
                <w:highlight w:val="none"/>
                <w:lang w:val="en-US" w:eastAsia="zh-CN"/>
              </w:rPr>
              <w:t>27.66</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eastAsia="宋体" w:cs="Times New Roman"/>
                <w:sz w:val="21"/>
                <w:szCs w:val="21"/>
                <w:lang w:val="en-US" w:eastAsia="zh-CN"/>
              </w:rPr>
            </w:pPr>
            <w:r>
              <w:rPr>
                <w:rFonts w:hint="eastAsia" w:eastAsia="仿宋_GB2312"/>
                <w:color w:val="auto"/>
                <w:sz w:val="21"/>
                <w:szCs w:val="21"/>
                <w:highlight w:val="none"/>
                <w:lang w:val="en-US" w:eastAsia="zh-CN"/>
              </w:rPr>
              <w:t>45</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r>
              <w:rPr>
                <w:rFonts w:hint="eastAsia" w:cs="Times New Roman"/>
                <w:sz w:val="21"/>
                <w:szCs w:val="21"/>
                <w:lang w:val="en-US" w:eastAsia="zh-CN"/>
              </w:rPr>
              <w:t>17.34</w:t>
            </w: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61" w:hRule="atLeast"/>
          <w:jc w:val="center"/>
        </w:trPr>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eastAsia="宋体" w:cs="Times New Roman"/>
                <w:sz w:val="21"/>
                <w:szCs w:val="21"/>
              </w:rPr>
            </w:pPr>
            <w:r>
              <w:rPr>
                <w:rFonts w:hint="eastAsia" w:cs="Times New Roman"/>
                <w:sz w:val="21"/>
                <w:szCs w:val="21"/>
              </w:rPr>
              <w:t>创新驱动</w:t>
            </w: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9.</w:t>
            </w:r>
            <w:r>
              <w:rPr>
                <w:rFonts w:hint="eastAsia" w:cs="Times New Roman"/>
                <w:sz w:val="21"/>
                <w:szCs w:val="21"/>
              </w:rPr>
              <w:t>研发经费投入占</w:t>
            </w:r>
            <w:r>
              <w:rPr>
                <w:rFonts w:cs="Times New Roman"/>
                <w:sz w:val="21"/>
                <w:szCs w:val="21"/>
              </w:rPr>
              <w:t>GDP</w:t>
            </w:r>
            <w:r>
              <w:rPr>
                <w:rFonts w:hint="eastAsia" w:cs="Times New Roman"/>
                <w:sz w:val="21"/>
                <w:szCs w:val="21"/>
              </w:rPr>
              <w:t>比例</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rPr>
              <w:t>0.006</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ascii="Times New Roman" w:hAnsi="Times New Roman" w:eastAsia="仿宋_GB2312" w:cs="仿宋_GB2312"/>
                <w:color w:val="auto"/>
                <w:kern w:val="2"/>
                <w:sz w:val="21"/>
                <w:szCs w:val="21"/>
                <w:highlight w:val="none"/>
                <w:lang w:val="en-US" w:eastAsia="zh-CN" w:bidi="ar-SA"/>
              </w:rPr>
            </w:pPr>
            <w:r>
              <w:rPr>
                <w:rFonts w:hint="eastAsia" w:eastAsia="仿宋_GB2312" w:cs="仿宋_GB2312"/>
                <w:color w:val="auto"/>
                <w:sz w:val="21"/>
                <w:szCs w:val="21"/>
                <w:highlight w:val="none"/>
              </w:rPr>
              <w:t>0.02</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61"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10.</w:t>
            </w:r>
            <w:r>
              <w:rPr>
                <w:rFonts w:hint="eastAsia" w:cs="Times New Roman"/>
                <w:sz w:val="21"/>
                <w:szCs w:val="21"/>
              </w:rPr>
              <w:t>每万人拥有高价值发明专利数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件</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36"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11.</w:t>
            </w:r>
            <w:r>
              <w:rPr>
                <w:rFonts w:hint="eastAsia" w:cs="Times New Roman"/>
                <w:sz w:val="21"/>
                <w:szCs w:val="21"/>
              </w:rPr>
              <w:t>数字经济核心产业增加值占</w:t>
            </w:r>
            <w:r>
              <w:rPr>
                <w:rFonts w:cs="Times New Roman"/>
                <w:sz w:val="21"/>
                <w:szCs w:val="21"/>
              </w:rPr>
              <w:t>GDP</w:t>
            </w:r>
            <w:r>
              <w:rPr>
                <w:rFonts w:hint="eastAsia" w:cs="Times New Roman"/>
                <w:sz w:val="21"/>
                <w:szCs w:val="21"/>
              </w:rPr>
              <w:t>比例</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62" w:hRule="atLeast"/>
          <w:jc w:val="center"/>
        </w:trPr>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eastAsia="宋体" w:cs="Times New Roman"/>
                <w:sz w:val="21"/>
                <w:szCs w:val="21"/>
              </w:rPr>
            </w:pPr>
            <w:r>
              <w:rPr>
                <w:rFonts w:hint="eastAsia" w:cs="Times New Roman"/>
                <w:sz w:val="21"/>
                <w:szCs w:val="21"/>
              </w:rPr>
              <w:t>居民福祉</w:t>
            </w: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12.</w:t>
            </w:r>
            <w:r>
              <w:rPr>
                <w:rFonts w:hint="eastAsia" w:cs="Times New Roman"/>
                <w:sz w:val="21"/>
                <w:szCs w:val="21"/>
              </w:rPr>
              <w:t>城镇居民人均可支配收入增长</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eastAsia="宋体" w:cs="Times New Roman"/>
                <w:sz w:val="21"/>
                <w:szCs w:val="21"/>
                <w:lang w:eastAsia="zh-CN"/>
              </w:rPr>
            </w:pPr>
            <w:r>
              <w:rPr>
                <w:rFonts w:hint="eastAsia" w:eastAsia="宋体" w:cs="Times New Roman"/>
                <w:sz w:val="21"/>
                <w:szCs w:val="21"/>
              </w:rPr>
              <w:t>＞</w:t>
            </w:r>
            <w:r>
              <w:rPr>
                <w:rFonts w:hint="eastAsia" w:cs="Times New Roman"/>
                <w:sz w:val="21"/>
                <w:szCs w:val="21"/>
                <w:lang w:val="en-US" w:eastAsia="zh-CN"/>
              </w:rPr>
              <w:t>1</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61"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13.</w:t>
            </w:r>
            <w:r>
              <w:rPr>
                <w:rFonts w:hint="eastAsia" w:cs="Times New Roman"/>
                <w:sz w:val="21"/>
                <w:szCs w:val="21"/>
              </w:rPr>
              <w:t>农村居民人均可支配收入增长</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hint="eastAsia" w:eastAsia="宋体" w:cs="Times New Roman"/>
                <w:sz w:val="21"/>
                <w:szCs w:val="21"/>
              </w:rPr>
              <w:t>＞</w:t>
            </w:r>
            <w:r>
              <w:rPr>
                <w:rFonts w:hint="eastAsia" w:cs="Times New Roman"/>
                <w:sz w:val="21"/>
                <w:szCs w:val="21"/>
                <w:lang w:val="en-US" w:eastAsia="zh-CN"/>
              </w:rPr>
              <w:t>7.5</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53"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14.</w:t>
            </w:r>
            <w:r>
              <w:rPr>
                <w:rFonts w:hint="eastAsia" w:cs="Times New Roman"/>
                <w:sz w:val="21"/>
                <w:szCs w:val="21"/>
              </w:rPr>
              <w:t>城镇调查失业率</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eastAsia="宋体" w:cs="Times New Roman"/>
                <w:sz w:val="21"/>
                <w:szCs w:val="21"/>
                <w:lang w:val="en-US" w:eastAsia="zh-CN"/>
              </w:rPr>
            </w:pPr>
            <w:r>
              <w:rPr>
                <w:rFonts w:hint="eastAsia" w:eastAsia="仿宋_GB2312" w:cs="仿宋_GB2312"/>
                <w:color w:val="auto"/>
                <w:sz w:val="21"/>
                <w:szCs w:val="21"/>
                <w:highlight w:val="none"/>
              </w:rPr>
              <w:t>&lt; 4.0</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eastAsia="宋体" w:cs="Times New Roman"/>
                <w:sz w:val="21"/>
                <w:szCs w:val="21"/>
                <w:lang w:val="en-US" w:eastAsia="zh-CN"/>
              </w:rPr>
            </w:pPr>
            <w:r>
              <w:rPr>
                <w:rFonts w:hint="eastAsia" w:eastAsia="仿宋_GB2312" w:cs="仿宋_GB2312"/>
                <w:color w:val="FF0000"/>
                <w:spacing w:val="-17"/>
                <w:sz w:val="21"/>
                <w:szCs w:val="21"/>
                <w:highlight w:val="none"/>
                <w:lang w:val="en-US" w:eastAsia="zh-CN"/>
              </w:rPr>
              <w:t>&lt; 4.0</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eastAsia="宋体" w:cs="Times New Roman"/>
                <w:sz w:val="21"/>
                <w:szCs w:val="21"/>
                <w:lang w:eastAsia="zh-CN"/>
              </w:rPr>
            </w:pPr>
            <w:r>
              <w:rPr>
                <w:rFonts w:hint="eastAsia" w:cs="Times New Roman"/>
                <w:sz w:val="21"/>
                <w:szCs w:val="21"/>
                <w:lang w:eastAsia="zh-CN"/>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36"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15.</w:t>
            </w:r>
            <w:r>
              <w:rPr>
                <w:rFonts w:hint="eastAsia" w:cs="Times New Roman"/>
                <w:sz w:val="21"/>
                <w:szCs w:val="21"/>
              </w:rPr>
              <w:t>城镇新增就业人数</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color w:val="auto"/>
                <w:sz w:val="21"/>
                <w:szCs w:val="21"/>
              </w:rPr>
            </w:pPr>
            <w:r>
              <w:rPr>
                <w:rFonts w:hint="eastAsia" w:cs="Times New Roman"/>
                <w:color w:val="auto"/>
                <w:sz w:val="21"/>
                <w:szCs w:val="21"/>
              </w:rPr>
              <w:t>人</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eastAsia="宋体" w:cs="Times New Roman"/>
                <w:color w:val="auto"/>
                <w:sz w:val="21"/>
                <w:szCs w:val="21"/>
              </w:rPr>
            </w:pPr>
            <w:r>
              <w:rPr>
                <w:rFonts w:hint="eastAsia" w:eastAsia="仿宋_GB2312" w:cs="仿宋_GB2312"/>
                <w:color w:val="auto"/>
                <w:sz w:val="21"/>
                <w:szCs w:val="21"/>
                <w:lang w:val="en-US" w:eastAsia="zh-CN"/>
              </w:rPr>
              <w:t>[8100]</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eastAsia="宋体" w:cs="Times New Roman"/>
                <w:color w:val="auto"/>
                <w:sz w:val="21"/>
                <w:szCs w:val="21"/>
              </w:rPr>
            </w:pPr>
            <w:r>
              <w:rPr>
                <w:rFonts w:hint="eastAsia" w:eastAsia="仿宋_GB2312" w:cs="仿宋_GB2312"/>
                <w:color w:val="auto"/>
                <w:sz w:val="21"/>
                <w:szCs w:val="21"/>
                <w:lang w:val="en-US" w:eastAsia="zh-CN"/>
              </w:rPr>
              <w:t>[49000]</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[40900]</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48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16.</w:t>
            </w:r>
            <w:r>
              <w:rPr>
                <w:rFonts w:hint="eastAsia" w:cs="Times New Roman"/>
                <w:sz w:val="21"/>
                <w:szCs w:val="21"/>
              </w:rPr>
              <w:t>劳动年龄人口平均受教育年限</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年</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eastAsia="宋体" w:cs="Times New Roman"/>
                <w:sz w:val="21"/>
                <w:szCs w:val="21"/>
              </w:rPr>
            </w:pPr>
            <w:r>
              <w:rPr>
                <w:rFonts w:hint="eastAsia" w:cs="Times New Roman"/>
                <w:sz w:val="21"/>
                <w:szCs w:val="21"/>
              </w:rPr>
              <w:t>全区平均水平</w:t>
            </w: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48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hint="eastAsia" w:eastAsia="宋体" w:cs="Times New Roman"/>
                <w:sz w:val="21"/>
                <w:szCs w:val="21"/>
              </w:rPr>
              <w:t>17.每千人口拥有3岁以下婴幼儿托位数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个</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61"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18.</w:t>
            </w:r>
            <w:r>
              <w:rPr>
                <w:rFonts w:hint="eastAsia" w:cs="Times New Roman"/>
                <w:spacing w:val="-11"/>
                <w:sz w:val="21"/>
                <w:szCs w:val="21"/>
              </w:rPr>
              <w:t>每千人口拥有执业（助理）医师数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人</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3.18</w:t>
            </w: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42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19.</w:t>
            </w:r>
            <w:r>
              <w:rPr>
                <w:rFonts w:hint="eastAsia" w:cs="Times New Roman"/>
                <w:sz w:val="21"/>
                <w:szCs w:val="21"/>
              </w:rPr>
              <w:t>基本养老保险参保率</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99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p>
        </w:tc>
        <w:tc>
          <w:tcPr>
            <w:tcW w:w="11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37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20.</w:t>
            </w:r>
            <w:r>
              <w:rPr>
                <w:rFonts w:hint="eastAsia" w:cs="Times New Roman"/>
                <w:sz w:val="21"/>
                <w:szCs w:val="21"/>
              </w:rPr>
              <w:t>人均预期寿命</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rPr>
              <w:t>岁</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cs="Times New Roman"/>
                <w:sz w:val="21"/>
                <w:szCs w:val="21"/>
              </w:rPr>
              <w:t>7</w:t>
            </w:r>
            <w:r>
              <w:rPr>
                <w:rFonts w:hint="eastAsia" w:cs="Times New Roman"/>
                <w:sz w:val="21"/>
                <w:szCs w:val="21"/>
                <w:lang w:val="en-US" w:eastAsia="zh-CN"/>
              </w:rPr>
              <w:t>0.3</w:t>
            </w:r>
          </w:p>
        </w:tc>
        <w:tc>
          <w:tcPr>
            <w:tcW w:w="99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cs="Times New Roman"/>
                <w:sz w:val="21"/>
                <w:szCs w:val="21"/>
              </w:rPr>
              <w:t>7</w:t>
            </w:r>
            <w:r>
              <w:rPr>
                <w:rFonts w:hint="eastAsia" w:cs="Times New Roman"/>
                <w:sz w:val="21"/>
                <w:szCs w:val="21"/>
                <w:lang w:val="en-US" w:eastAsia="zh-CN"/>
              </w:rPr>
              <w:t>1.3</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[1]</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预期性</w:t>
            </w:r>
          </w:p>
        </w:tc>
      </w:tr>
      <w:tr>
        <w:tblPrEx>
          <w:tblCellMar>
            <w:top w:w="0" w:type="dxa"/>
            <w:left w:w="108" w:type="dxa"/>
            <w:bottom w:w="0" w:type="dxa"/>
            <w:right w:w="108" w:type="dxa"/>
          </w:tblCellMar>
        </w:tblPrEx>
        <w:trPr>
          <w:trHeight w:val="416" w:hRule="atLeast"/>
          <w:jc w:val="center"/>
        </w:trPr>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eastAsia="宋体" w:cs="Times New Roman"/>
                <w:sz w:val="21"/>
                <w:szCs w:val="21"/>
              </w:rPr>
            </w:pPr>
            <w:r>
              <w:rPr>
                <w:rFonts w:hint="eastAsia" w:cs="Times New Roman"/>
                <w:sz w:val="21"/>
                <w:szCs w:val="21"/>
              </w:rPr>
              <w:t>绿色生态</w:t>
            </w:r>
          </w:p>
        </w:tc>
        <w:tc>
          <w:tcPr>
            <w:tcW w:w="3334"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21.</w:t>
            </w:r>
            <w:r>
              <w:rPr>
                <w:rFonts w:hint="eastAsia" w:cs="Times New Roman"/>
                <w:sz w:val="21"/>
                <w:szCs w:val="21"/>
              </w:rPr>
              <w:t>单位</w:t>
            </w:r>
            <w:r>
              <w:rPr>
                <w:rFonts w:cs="Times New Roman"/>
                <w:sz w:val="21"/>
                <w:szCs w:val="21"/>
              </w:rPr>
              <w:t>GDP</w:t>
            </w:r>
            <w:r>
              <w:rPr>
                <w:rFonts w:hint="eastAsia" w:cs="Times New Roman"/>
                <w:sz w:val="21"/>
                <w:szCs w:val="21"/>
              </w:rPr>
              <w:t>能源消耗降幅</w:t>
            </w: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hint="eastAsia" w:cs="Times New Roman"/>
                <w:sz w:val="21"/>
                <w:szCs w:val="21"/>
                <w:lang w:val="en-US" w:eastAsia="zh-CN"/>
              </w:rPr>
              <w:t>2</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eastAsia="宋体" w:cs="Times New Roman"/>
                <w:sz w:val="18"/>
                <w:szCs w:val="18"/>
              </w:rPr>
            </w:pPr>
            <w:r>
              <w:rPr>
                <w:rFonts w:hint="eastAsia" w:cs="Times New Roman"/>
                <w:spacing w:val="-6"/>
                <w:sz w:val="18"/>
                <w:szCs w:val="18"/>
              </w:rPr>
              <w:t>控制在自治区下达指标内</w:t>
            </w:r>
          </w:p>
        </w:tc>
        <w:tc>
          <w:tcPr>
            <w:tcW w:w="76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389"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rPr>
                <w:rFonts w:eastAsia="宋体" w:cs="Times New Roman"/>
                <w:sz w:val="21"/>
                <w:szCs w:val="21"/>
              </w:rPr>
            </w:pPr>
            <w:r>
              <w:rPr>
                <w:rFonts w:cs="Times New Roman"/>
                <w:sz w:val="21"/>
                <w:szCs w:val="21"/>
              </w:rPr>
              <w:t>22.</w:t>
            </w:r>
            <w:r>
              <w:rPr>
                <w:rFonts w:hint="eastAsia" w:cs="Times New Roman"/>
                <w:sz w:val="21"/>
                <w:szCs w:val="21"/>
              </w:rPr>
              <w:t>单位</w:t>
            </w:r>
            <w:r>
              <w:rPr>
                <w:rFonts w:cs="Times New Roman"/>
                <w:sz w:val="21"/>
                <w:szCs w:val="21"/>
              </w:rPr>
              <w:t>GDP</w:t>
            </w:r>
            <w:r>
              <w:rPr>
                <w:rFonts w:hint="eastAsia" w:cs="Times New Roman"/>
                <w:sz w:val="21"/>
                <w:szCs w:val="21"/>
              </w:rPr>
              <w:t>二氧化碳排放降幅</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ind w:firstLine="360"/>
              <w:jc w:val="center"/>
              <w:rPr>
                <w:rFonts w:eastAsia="宋体" w:cs="Times New Roman"/>
                <w:sz w:val="21"/>
                <w:szCs w:val="21"/>
              </w:rPr>
            </w:pPr>
            <w:r>
              <w:rPr>
                <w:rFonts w:cs="Times New Roman"/>
                <w:sz w:val="21"/>
                <w:szCs w:val="21"/>
              </w:rPr>
              <w:t>　</w:t>
            </w:r>
          </w:p>
        </w:tc>
        <w:tc>
          <w:tcPr>
            <w:tcW w:w="215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ind w:firstLine="0" w:firstLineChars="0"/>
              <w:jc w:val="center"/>
              <w:rPr>
                <w:rFonts w:eastAsia="宋体" w:cs="Times New Roman"/>
                <w:sz w:val="18"/>
                <w:szCs w:val="18"/>
              </w:rPr>
            </w:pPr>
            <w:r>
              <w:rPr>
                <w:rFonts w:hint="eastAsia" w:eastAsia="宋体" w:cs="Times New Roman"/>
                <w:spacing w:val="-6"/>
                <w:sz w:val="18"/>
                <w:szCs w:val="18"/>
              </w:rPr>
              <w:t>控制在自治区下达指标内</w:t>
            </w:r>
          </w:p>
        </w:tc>
        <w:tc>
          <w:tcPr>
            <w:tcW w:w="76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374"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23.</w:t>
            </w:r>
            <w:r>
              <w:rPr>
                <w:rFonts w:hint="eastAsia" w:cs="Times New Roman"/>
                <w:sz w:val="21"/>
                <w:szCs w:val="21"/>
              </w:rPr>
              <w:t>城市空气质量优良天数比率</w:t>
            </w:r>
          </w:p>
        </w:tc>
        <w:tc>
          <w:tcPr>
            <w:tcW w:w="84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single" w:color="auto" w:sz="4" w:space="0"/>
              <w:bottom w:val="single" w:color="auto" w:sz="4" w:space="0"/>
              <w:right w:val="single" w:color="auto" w:sz="4" w:space="0"/>
            </w:tcBorders>
            <w:noWrap/>
            <w:vAlign w:val="center"/>
          </w:tcPr>
          <w:p>
            <w:pPr>
              <w:spacing w:line="300" w:lineRule="exact"/>
              <w:ind w:left="0" w:leftChars="0" w:firstLine="0" w:firstLineChars="0"/>
              <w:jc w:val="center"/>
              <w:rPr>
                <w:rFonts w:hint="default" w:eastAsia="宋体" w:cs="Times New Roman"/>
                <w:sz w:val="21"/>
                <w:szCs w:val="21"/>
                <w:lang w:val="en-US" w:eastAsia="zh-CN"/>
              </w:rPr>
            </w:pPr>
            <w:r>
              <w:rPr>
                <w:rFonts w:hint="eastAsia" w:cs="Times New Roman"/>
                <w:sz w:val="21"/>
                <w:szCs w:val="21"/>
                <w:lang w:val="en-US" w:eastAsia="zh-CN"/>
              </w:rPr>
              <w:t>27.68</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28.3</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cs="Times New Roman"/>
                <w:sz w:val="21"/>
                <w:szCs w:val="21"/>
              </w:rPr>
            </w:pPr>
            <w:r>
              <w:rPr>
                <w:rFonts w:cs="Times New Roman"/>
                <w:sz w:val="21"/>
                <w:szCs w:val="21"/>
              </w:rPr>
              <w:t>[</w:t>
            </w:r>
            <w:r>
              <w:rPr>
                <w:rFonts w:hint="eastAsia" w:cs="Times New Roman"/>
                <w:sz w:val="21"/>
                <w:szCs w:val="21"/>
                <w:lang w:val="en-US" w:eastAsia="zh-CN"/>
              </w:rPr>
              <w:t>0.62</w:t>
            </w:r>
            <w:r>
              <w:rPr>
                <w:rFonts w:cs="Times New Roman"/>
                <w:sz w:val="21"/>
                <w:szCs w:val="21"/>
              </w:rPr>
              <w:t>]</w:t>
            </w:r>
          </w:p>
        </w:tc>
        <w:tc>
          <w:tcPr>
            <w:tcW w:w="76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48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24.</w:t>
            </w:r>
            <w:r>
              <w:rPr>
                <w:rFonts w:hint="eastAsia" w:cs="Times New Roman"/>
                <w:sz w:val="21"/>
                <w:szCs w:val="21"/>
              </w:rPr>
              <w:t>地表水达到或好于Ⅲ类水体占地表水比例</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100</w:t>
            </w:r>
          </w:p>
        </w:tc>
        <w:tc>
          <w:tcPr>
            <w:tcW w:w="996"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eastAsia="宋体" w:cs="Times New Roman"/>
                <w:sz w:val="21"/>
                <w:szCs w:val="21"/>
              </w:rPr>
            </w:pPr>
            <w:r>
              <w:rPr>
                <w:rFonts w:cs="Times New Roman"/>
                <w:sz w:val="21"/>
                <w:szCs w:val="21"/>
              </w:rPr>
              <w:t>100</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37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eastAsia="宋体" w:cs="Times New Roman"/>
                <w:sz w:val="21"/>
                <w:szCs w:val="21"/>
              </w:rPr>
            </w:pPr>
            <w:r>
              <w:rPr>
                <w:rFonts w:cs="Times New Roman"/>
                <w:sz w:val="21"/>
                <w:szCs w:val="21"/>
              </w:rPr>
              <w:t>25.</w:t>
            </w:r>
            <w:r>
              <w:rPr>
                <w:rFonts w:hint="eastAsia" w:cs="Times New Roman"/>
                <w:sz w:val="21"/>
                <w:szCs w:val="21"/>
              </w:rPr>
              <w:t>森林覆盖率</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p>
        </w:tc>
        <w:tc>
          <w:tcPr>
            <w:tcW w:w="95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8.76</w:t>
            </w:r>
          </w:p>
        </w:tc>
        <w:tc>
          <w:tcPr>
            <w:tcW w:w="996"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default" w:eastAsia="宋体" w:cs="Times New Roman"/>
                <w:sz w:val="21"/>
                <w:szCs w:val="21"/>
                <w:lang w:val="en-US" w:eastAsia="zh-CN"/>
              </w:rPr>
            </w:pPr>
            <w:r>
              <w:rPr>
                <w:rFonts w:hint="eastAsia" w:cs="Times New Roman"/>
                <w:sz w:val="21"/>
                <w:szCs w:val="21"/>
                <w:lang w:val="en-US" w:eastAsia="zh-CN"/>
              </w:rPr>
              <w:t>8.85</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z w:val="21"/>
                <w:szCs w:val="21"/>
              </w:rPr>
            </w:pPr>
            <w:r>
              <w:rPr>
                <w:rFonts w:cs="Times New Roman"/>
                <w:sz w:val="21"/>
                <w:szCs w:val="21"/>
              </w:rPr>
              <w:t>[</w:t>
            </w:r>
            <w:r>
              <w:rPr>
                <w:rFonts w:hint="eastAsia" w:cs="Times New Roman"/>
                <w:sz w:val="21"/>
                <w:szCs w:val="21"/>
                <w:lang w:val="en-US" w:eastAsia="zh-CN"/>
              </w:rPr>
              <w:t>0.09</w:t>
            </w: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eastAsia="宋体" w:cs="Times New Roman"/>
                <w:spacing w:val="-17"/>
                <w:sz w:val="21"/>
                <w:szCs w:val="21"/>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370" w:hRule="atLeast"/>
          <w:jc w:val="center"/>
        </w:trPr>
        <w:tc>
          <w:tcPr>
            <w:tcW w:w="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rPr>
                <w:rFonts w:eastAsia="宋体" w:cs="Times New Roman"/>
                <w:sz w:val="21"/>
                <w:szCs w:val="21"/>
              </w:rPr>
            </w:pPr>
            <w:r>
              <w:rPr>
                <w:rFonts w:hint="eastAsia" w:cs="Times New Roman"/>
                <w:sz w:val="21"/>
                <w:szCs w:val="21"/>
              </w:rPr>
              <w:t>安全保障</w:t>
            </w: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cs="Times New Roman"/>
                <w:sz w:val="21"/>
                <w:szCs w:val="21"/>
              </w:rPr>
            </w:pPr>
            <w:r>
              <w:rPr>
                <w:rFonts w:hint="eastAsia" w:cs="Times New Roman"/>
                <w:sz w:val="21"/>
                <w:szCs w:val="21"/>
                <w:lang w:val="en-US" w:eastAsia="zh-CN"/>
              </w:rPr>
              <w:t>26.</w:t>
            </w:r>
            <w:r>
              <w:rPr>
                <w:rFonts w:hint="eastAsia" w:cs="Times New Roman"/>
                <w:sz w:val="21"/>
                <w:szCs w:val="21"/>
              </w:rPr>
              <w:t>耕地保有量</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default" w:cs="Times New Roman"/>
                <w:sz w:val="21"/>
                <w:szCs w:val="21"/>
                <w:lang w:val="en-US" w:eastAsia="zh-CN"/>
              </w:rPr>
            </w:pPr>
            <w:r>
              <w:rPr>
                <w:rFonts w:hint="eastAsia" w:cs="Times New Roman"/>
                <w:sz w:val="21"/>
                <w:szCs w:val="21"/>
                <w:lang w:val="en-US" w:eastAsia="zh-CN"/>
              </w:rPr>
              <w:t>万亩</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cs="Times New Roman"/>
                <w:sz w:val="21"/>
                <w:szCs w:val="21"/>
                <w:lang w:val="en-US" w:eastAsia="zh-CN"/>
              </w:rPr>
            </w:pPr>
            <w:r>
              <w:rPr>
                <w:rFonts w:hint="eastAsia" w:eastAsia="仿宋_GB2312"/>
                <w:color w:val="auto"/>
                <w:sz w:val="21"/>
                <w:szCs w:val="21"/>
                <w:highlight w:val="none"/>
                <w:lang w:val="en-US" w:eastAsia="zh-CN"/>
              </w:rPr>
              <w:t>119</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cs="Times New Roman"/>
                <w:sz w:val="21"/>
                <w:szCs w:val="21"/>
                <w:lang w:val="en-US" w:eastAsia="zh-CN"/>
              </w:rPr>
            </w:pPr>
            <w:r>
              <w:rPr>
                <w:rFonts w:hint="eastAsia" w:eastAsia="仿宋_GB2312"/>
                <w:color w:val="auto"/>
                <w:sz w:val="21"/>
                <w:szCs w:val="21"/>
                <w:highlight w:val="none"/>
                <w:lang w:val="en-US" w:eastAsia="zh-CN"/>
              </w:rPr>
              <w:t>119</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cs="Times New Roman"/>
                <w:sz w:val="21"/>
                <w:szCs w:val="21"/>
                <w:lang w:val="en-US" w:eastAsia="zh-CN"/>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cs="Times New Roman"/>
                <w:spacing w:val="-17"/>
                <w:sz w:val="21"/>
                <w:szCs w:val="21"/>
                <w:lang w:val="en-US" w:eastAsia="zh-CN"/>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480" w:hRule="atLeast"/>
          <w:jc w:val="center"/>
        </w:trPr>
        <w:tc>
          <w:tcPr>
            <w:tcW w:w="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rPr>
                <w:rFonts w:eastAsia="宋体" w:cs="Times New Roman"/>
                <w:sz w:val="21"/>
                <w:szCs w:val="21"/>
              </w:rPr>
            </w:pPr>
          </w:p>
        </w:tc>
        <w:tc>
          <w:tcPr>
            <w:tcW w:w="3334"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rPr>
                <w:rFonts w:cs="Times New Roman"/>
                <w:sz w:val="21"/>
                <w:szCs w:val="21"/>
              </w:rPr>
            </w:pPr>
            <w:r>
              <w:rPr>
                <w:rFonts w:hint="eastAsia" w:cs="Times New Roman"/>
                <w:sz w:val="21"/>
                <w:szCs w:val="21"/>
                <w:lang w:val="en-US" w:eastAsia="zh-CN"/>
              </w:rPr>
              <w:t>27.</w:t>
            </w:r>
            <w:r>
              <w:rPr>
                <w:rFonts w:hint="eastAsia" w:cs="Times New Roman"/>
                <w:sz w:val="21"/>
                <w:szCs w:val="21"/>
              </w:rPr>
              <w:t>永久基本农田保护面积</w:t>
            </w:r>
          </w:p>
        </w:tc>
        <w:tc>
          <w:tcPr>
            <w:tcW w:w="846"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cs="Times New Roman"/>
                <w:sz w:val="21"/>
                <w:szCs w:val="21"/>
                <w:lang w:val="en-US" w:eastAsia="zh-CN"/>
              </w:rPr>
            </w:pPr>
            <w:r>
              <w:rPr>
                <w:rFonts w:hint="eastAsia" w:cs="Times New Roman"/>
                <w:sz w:val="21"/>
                <w:szCs w:val="21"/>
                <w:lang w:val="en-US" w:eastAsia="zh-CN"/>
              </w:rPr>
              <w:t>万亩</w:t>
            </w:r>
          </w:p>
        </w:tc>
        <w:tc>
          <w:tcPr>
            <w:tcW w:w="9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cs="Times New Roman"/>
                <w:sz w:val="21"/>
                <w:szCs w:val="21"/>
                <w:lang w:val="en-US" w:eastAsia="zh-CN"/>
              </w:rPr>
            </w:pPr>
            <w:r>
              <w:rPr>
                <w:rFonts w:hint="eastAsia" w:eastAsia="仿宋_GB2312"/>
                <w:color w:val="auto"/>
                <w:sz w:val="21"/>
                <w:szCs w:val="21"/>
                <w:highlight w:val="none"/>
                <w:lang w:val="en-US" w:eastAsia="zh-CN"/>
              </w:rPr>
              <w:t>76</w:t>
            </w:r>
          </w:p>
        </w:tc>
        <w:tc>
          <w:tcPr>
            <w:tcW w:w="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cs="Times New Roman"/>
                <w:sz w:val="21"/>
                <w:szCs w:val="21"/>
                <w:lang w:val="en-US" w:eastAsia="zh-CN"/>
              </w:rPr>
            </w:pPr>
            <w:r>
              <w:rPr>
                <w:rFonts w:hint="eastAsia" w:eastAsia="仿宋_GB2312"/>
                <w:color w:val="auto"/>
                <w:sz w:val="21"/>
                <w:szCs w:val="21"/>
                <w:highlight w:val="none"/>
                <w:lang w:val="en-US" w:eastAsia="zh-CN"/>
              </w:rPr>
              <w:t>76</w:t>
            </w:r>
          </w:p>
        </w:tc>
        <w:tc>
          <w:tcPr>
            <w:tcW w:w="1159"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cs="Times New Roman"/>
                <w:sz w:val="21"/>
                <w:szCs w:val="21"/>
                <w:lang w:val="en-US" w:eastAsia="zh-CN"/>
              </w:rPr>
            </w:pPr>
            <w:r>
              <w:rPr>
                <w:rFonts w:cs="Times New Roman"/>
                <w:sz w:val="21"/>
                <w:szCs w:val="21"/>
              </w:rPr>
              <w:t>—</w:t>
            </w:r>
          </w:p>
        </w:tc>
        <w:tc>
          <w:tcPr>
            <w:tcW w:w="760" w:type="dxa"/>
            <w:tcBorders>
              <w:top w:val="single" w:color="auto" w:sz="4" w:space="0"/>
              <w:left w:val="nil"/>
              <w:bottom w:val="single" w:color="auto" w:sz="4" w:space="0"/>
              <w:right w:val="single" w:color="auto" w:sz="4" w:space="0"/>
            </w:tcBorders>
            <w:noWrap/>
            <w:vAlign w:val="center"/>
          </w:tcPr>
          <w:p>
            <w:pPr>
              <w:spacing w:line="300" w:lineRule="exact"/>
              <w:ind w:firstLine="0" w:firstLineChars="0"/>
              <w:jc w:val="center"/>
              <w:rPr>
                <w:rFonts w:hint="eastAsia" w:cs="Times New Roman"/>
                <w:spacing w:val="-17"/>
                <w:sz w:val="21"/>
                <w:szCs w:val="21"/>
                <w:lang w:val="en-US" w:eastAsia="zh-CN"/>
              </w:rPr>
            </w:pPr>
            <w:r>
              <w:rPr>
                <w:rFonts w:hint="eastAsia" w:cs="Times New Roman"/>
                <w:spacing w:val="-17"/>
                <w:sz w:val="21"/>
                <w:szCs w:val="21"/>
              </w:rPr>
              <w:t>约束性</w:t>
            </w:r>
          </w:p>
        </w:tc>
      </w:tr>
      <w:tr>
        <w:tblPrEx>
          <w:tblCellMar>
            <w:top w:w="0" w:type="dxa"/>
            <w:left w:w="108" w:type="dxa"/>
            <w:bottom w:w="0" w:type="dxa"/>
            <w:right w:w="108" w:type="dxa"/>
          </w:tblCellMar>
        </w:tblPrEx>
        <w:trPr>
          <w:trHeight w:val="480" w:hRule="atLeast"/>
          <w:jc w:val="center"/>
        </w:trPr>
        <w:tc>
          <w:tcPr>
            <w:tcW w:w="853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宋体" w:cs="Times New Roman"/>
                <w:b/>
                <w:bCs/>
                <w:sz w:val="21"/>
                <w:szCs w:val="21"/>
              </w:rPr>
            </w:pPr>
            <w:r>
              <w:rPr>
                <w:rFonts w:hint="eastAsia" w:cs="Times New Roman"/>
                <w:b/>
                <w:bCs/>
                <w:sz w:val="21"/>
                <w:szCs w:val="21"/>
              </w:rPr>
              <w:t>注：</w:t>
            </w:r>
            <w:r>
              <w:rPr>
                <w:rFonts w:cs="Times New Roman"/>
                <w:sz w:val="21"/>
                <w:szCs w:val="21"/>
              </w:rPr>
              <w:t>1.</w:t>
            </w:r>
            <w:r>
              <w:rPr>
                <w:rFonts w:hint="eastAsia" w:cs="Times New Roman"/>
                <w:sz w:val="21"/>
                <w:szCs w:val="21"/>
              </w:rPr>
              <w:t>带</w:t>
            </w:r>
            <w:r>
              <w:rPr>
                <w:rFonts w:cs="Times New Roman"/>
                <w:sz w:val="21"/>
                <w:szCs w:val="21"/>
              </w:rPr>
              <w:t>[</w:t>
            </w:r>
            <w:r>
              <w:rPr>
                <w:rFonts w:hint="eastAsia" w:cs="Times New Roman"/>
                <w:sz w:val="21"/>
                <w:szCs w:val="21"/>
                <w:lang w:val="en-US" w:eastAsia="zh-CN"/>
              </w:rPr>
              <w:t xml:space="preserve"> </w:t>
            </w:r>
            <w:r>
              <w:rPr>
                <w:rFonts w:cs="Times New Roman"/>
                <w:sz w:val="21"/>
                <w:szCs w:val="21"/>
              </w:rPr>
              <w:t>]</w:t>
            </w:r>
            <w:r>
              <w:rPr>
                <w:rFonts w:hint="eastAsia" w:cs="Times New Roman"/>
                <w:sz w:val="21"/>
                <w:szCs w:val="21"/>
              </w:rPr>
              <w:t>为五年累计数。</w:t>
            </w:r>
            <w:r>
              <w:rPr>
                <w:rFonts w:cs="Times New Roman"/>
                <w:sz w:val="21"/>
                <w:szCs w:val="21"/>
              </w:rPr>
              <w:t>2.2025</w:t>
            </w:r>
            <w:r>
              <w:rPr>
                <w:rFonts w:hint="eastAsia" w:cs="Times New Roman"/>
                <w:sz w:val="21"/>
                <w:szCs w:val="21"/>
              </w:rPr>
              <w:t>年地区生产总值、工业增加值绝对数按</w:t>
            </w:r>
            <w:r>
              <w:rPr>
                <w:rFonts w:cs="Times New Roman"/>
                <w:sz w:val="21"/>
                <w:szCs w:val="21"/>
              </w:rPr>
              <w:t>2020</w:t>
            </w:r>
            <w:r>
              <w:rPr>
                <w:rFonts w:hint="eastAsia" w:cs="Times New Roman"/>
                <w:sz w:val="21"/>
                <w:szCs w:val="21"/>
              </w:rPr>
              <w:t>年价格计算。</w:t>
            </w:r>
          </w:p>
        </w:tc>
      </w:tr>
    </w:tbl>
    <w:p>
      <w:pPr>
        <w:pStyle w:val="3"/>
        <w:keepNext w:val="0"/>
        <w:keepLines w:val="0"/>
        <w:shd w:val="clear"/>
        <w:spacing w:beforeLines="100" w:afterLines="100" w:line="560" w:lineRule="exact"/>
        <w:jc w:val="center"/>
        <w:rPr>
          <w:rFonts w:hint="default" w:ascii="Times New Roman" w:hAnsi="Times New Roman" w:eastAsia="黑体" w:cs="Times New Roman"/>
          <w:b w:val="0"/>
          <w:bCs w:val="0"/>
          <w:sz w:val="30"/>
          <w:szCs w:val="30"/>
          <w:lang w:val="en-US" w:eastAsia="zh-CN"/>
        </w:rPr>
      </w:pPr>
      <w:bookmarkStart w:id="55" w:name="_Toc17684"/>
      <w:bookmarkStart w:id="56" w:name="_Toc19563"/>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四</w:t>
      </w:r>
      <w:r>
        <w:rPr>
          <w:rFonts w:hint="eastAsia" w:ascii="Times New Roman" w:hAnsi="Times New Roman" w:eastAsia="黑体" w:cs="Times New Roman"/>
          <w:b w:val="0"/>
          <w:bCs w:val="0"/>
          <w:sz w:val="30"/>
          <w:szCs w:val="30"/>
          <w:lang w:val="en-US" w:eastAsia="zh-CN"/>
        </w:rPr>
        <w:t xml:space="preserve">章 </w:t>
      </w:r>
      <w:r>
        <w:rPr>
          <w:rFonts w:hint="eastAsia" w:eastAsia="黑体" w:cs="Times New Roman"/>
          <w:b w:val="0"/>
          <w:bCs w:val="0"/>
          <w:sz w:val="30"/>
          <w:szCs w:val="30"/>
          <w:lang w:val="en-US" w:eastAsia="zh-CN"/>
        </w:rPr>
        <w:t>优先发展农业农村</w:t>
      </w:r>
      <w:r>
        <w:rPr>
          <w:rFonts w:hint="eastAsia" w:ascii="Times New Roman" w:hAnsi="Times New Roman" w:eastAsia="黑体" w:cs="Times New Roman"/>
          <w:b w:val="0"/>
          <w:bCs w:val="0"/>
          <w:sz w:val="30"/>
          <w:szCs w:val="30"/>
          <w:lang w:val="en-US" w:eastAsia="zh-CN"/>
        </w:rPr>
        <w:t>，</w:t>
      </w:r>
      <w:bookmarkEnd w:id="55"/>
      <w:r>
        <w:rPr>
          <w:rFonts w:hint="eastAsia" w:eastAsia="黑体" w:cs="Times New Roman"/>
          <w:b w:val="0"/>
          <w:bCs w:val="0"/>
          <w:sz w:val="30"/>
          <w:szCs w:val="30"/>
          <w:lang w:val="en-US" w:eastAsia="zh-CN"/>
        </w:rPr>
        <w:t>全面推进乡村振兴</w:t>
      </w:r>
      <w:bookmarkEnd w:id="56"/>
    </w:p>
    <w:p>
      <w:pPr>
        <w:keepNext w:val="0"/>
        <w:keepLines w:val="0"/>
        <w:pageBreakBefore w:val="0"/>
        <w:shd w:val="clear"/>
        <w:kinsoku/>
        <w:wordWrap/>
        <w:autoSpaceDE/>
        <w:autoSpaceDN/>
        <w:bidi w:val="0"/>
        <w:spacing w:line="560" w:lineRule="exact"/>
        <w:ind w:firstLine="600" w:firstLineChars="200"/>
        <w:jc w:val="left"/>
        <w:textAlignment w:val="auto"/>
        <w:rPr>
          <w:rFonts w:hint="eastAsia" w:eastAsia="仿宋_GB2312"/>
          <w:color w:val="auto"/>
          <w:sz w:val="30"/>
          <w:szCs w:val="30"/>
          <w:highlight w:val="none"/>
        </w:rPr>
      </w:pPr>
      <w:r>
        <w:rPr>
          <w:rFonts w:hint="eastAsia" w:eastAsia="仿宋_GB2312"/>
          <w:color w:val="auto"/>
          <w:sz w:val="30"/>
          <w:szCs w:val="30"/>
          <w:highlight w:val="none"/>
        </w:rPr>
        <w:t>实施乡村振兴战略，把解决好“三农”问题作为重中之重，推动形成工农互促、城乡互补、协调发展、共同繁荣的新型工农城乡关系，促进农业全面升级、农村全面进步、农民全面发展。</w:t>
      </w:r>
    </w:p>
    <w:p>
      <w:pPr>
        <w:pStyle w:val="18"/>
        <w:keepNext w:val="0"/>
        <w:keepLines w:val="0"/>
        <w:shd w:val="clear"/>
        <w:spacing w:beforeLines="50" w:afterLines="50"/>
        <w:rPr>
          <w:rFonts w:hint="eastAsia" w:ascii="Times New Roman" w:hAnsi="Times New Roman"/>
          <w:lang w:val="zh-CN" w:eastAsia="zh-CN"/>
        </w:rPr>
      </w:pPr>
      <w:bookmarkStart w:id="57" w:name="_Toc6078"/>
      <w:bookmarkStart w:id="58" w:name="_Toc19666"/>
      <w:r>
        <w:rPr>
          <w:rFonts w:hint="eastAsia" w:ascii="Times New Roman" w:hAnsi="Times New Roman"/>
          <w:lang w:val="zh-CN" w:eastAsia="zh-CN"/>
        </w:rPr>
        <w:t>第一节 持续巩固脱贫成果</w:t>
      </w:r>
      <w:bookmarkEnd w:id="57"/>
      <w:bookmarkEnd w:id="58"/>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继续落实“四个不摘”，保持“八个不变”，建立健全巩固脱贫成果、防止返贫致贫机制。整合各类资源，深化产业、就业、科技帮扶，做好易地扶贫搬迁后续扶持工作，建立健全组织体系和管理机制。持续巩固3.6万户15.8万人脱贫成果。完善防止返贫监测和帮扶机制，精准实施金融支持、产业奖补、职业培训、防贫保障等帮扶措施。持续用好脱贫攻坚大数据平台，强化易致贫返贫群体、脱贫攻坚风险因素、就业失业信息监测预警，做到早发现，早预警，早帮扶，早阻断，有效防止返贫致贫，提升脱贫质量和成效。保持财政投入总体稳定，在资金、项目、政策等方面继续予以倾斜，接续推进经济社会发展。完善农村社会保障和社会救助制度。持续落实好产业、就业、住房、教育等各项政策，统筹落实好医保、低保、养老、救助等社会保障措施，实现长效稳定脱贫致富奔小康。深入推进保障兜底，继续落实低保补助、特困人员集中供养、临时救助、残疾人生活补贴等综合社会保障政策，防止返贫致贫，巩固脱贫成果。强化搬迁帮扶。持续做好对</w:t>
      </w:r>
      <w:r>
        <w:rPr>
          <w:rFonts w:hint="eastAsia" w:eastAsia="仿宋_GB2312" w:cs="Times New Roman"/>
          <w:b w:val="0"/>
          <w:bCs w:val="0"/>
          <w:color w:val="auto"/>
          <w:kern w:val="2"/>
          <w:sz w:val="30"/>
          <w:szCs w:val="30"/>
          <w:highlight w:val="none"/>
          <w:lang w:val="en-US" w:eastAsia="zh-CN" w:bidi="ar-SA"/>
        </w:rPr>
        <w:t>6750</w:t>
      </w:r>
      <w:r>
        <w:rPr>
          <w:rFonts w:hint="eastAsia" w:ascii="Times New Roman" w:hAnsi="Times New Roman" w:eastAsia="仿宋_GB2312" w:cs="Times New Roman"/>
          <w:b w:val="0"/>
          <w:bCs w:val="0"/>
          <w:color w:val="auto"/>
          <w:kern w:val="2"/>
          <w:sz w:val="30"/>
          <w:szCs w:val="30"/>
          <w:highlight w:val="none"/>
          <w:lang w:val="en-US" w:eastAsia="zh-CN" w:bidi="ar-SA"/>
        </w:rPr>
        <w:t>户2</w:t>
      </w:r>
      <w:r>
        <w:rPr>
          <w:rFonts w:hint="eastAsia" w:eastAsia="仿宋_GB2312" w:cs="Times New Roman"/>
          <w:b w:val="0"/>
          <w:bCs w:val="0"/>
          <w:color w:val="auto"/>
          <w:kern w:val="2"/>
          <w:sz w:val="30"/>
          <w:szCs w:val="30"/>
          <w:highlight w:val="none"/>
          <w:lang w:val="en-US" w:eastAsia="zh-CN" w:bidi="ar-SA"/>
        </w:rPr>
        <w:t>.96万</w:t>
      </w:r>
      <w:r>
        <w:rPr>
          <w:rFonts w:hint="eastAsia" w:ascii="Times New Roman" w:hAnsi="Times New Roman" w:eastAsia="仿宋_GB2312" w:cs="Times New Roman"/>
          <w:b w:val="0"/>
          <w:bCs w:val="0"/>
          <w:color w:val="auto"/>
          <w:kern w:val="2"/>
          <w:sz w:val="30"/>
          <w:szCs w:val="30"/>
          <w:highlight w:val="none"/>
          <w:lang w:val="en-US" w:eastAsia="zh-CN" w:bidi="ar-SA"/>
        </w:rPr>
        <w:t>人易地扶贫搬迁的后续帮扶，做到因村、因户、因人施策，分类扶持后续产业发展。健全解决相对贫困问题长效机制，争取建设一批乡村振兴示范村，继续发挥对口支援、定点帮扶和社会力量帮扶作用。持续开展援疆、区内协作，加强与上海宝山区、石河子市对接，鼓励以购代捐、以买代帮，助力销售、消费叶城农产品，促进农民增收致富。</w:t>
      </w:r>
    </w:p>
    <w:p>
      <w:pPr>
        <w:pStyle w:val="18"/>
        <w:keepNext w:val="0"/>
        <w:keepLines w:val="0"/>
        <w:shd w:val="clear"/>
        <w:spacing w:beforeLines="50" w:afterLines="50"/>
        <w:rPr>
          <w:rFonts w:hint="default" w:ascii="Times New Roman" w:hAnsi="Times New Roman"/>
          <w:lang w:val="en-US" w:eastAsia="zh-CN"/>
        </w:rPr>
      </w:pPr>
      <w:bookmarkStart w:id="59" w:name="_Toc8271_WPSOffice_Level2"/>
      <w:bookmarkStart w:id="60" w:name="_Toc21879"/>
      <w:bookmarkStart w:id="61" w:name="_Toc5253"/>
      <w:r>
        <w:rPr>
          <w:rFonts w:hint="eastAsia" w:ascii="Times New Roman" w:hAnsi="Times New Roman"/>
          <w:lang w:val="en-US" w:eastAsia="zh-CN"/>
        </w:rPr>
        <w:t xml:space="preserve">第二节 </w:t>
      </w:r>
      <w:bookmarkEnd w:id="59"/>
      <w:bookmarkEnd w:id="60"/>
      <w:r>
        <w:rPr>
          <w:rFonts w:hint="eastAsia" w:ascii="Times New Roman" w:hAnsi="Times New Roman"/>
          <w:lang w:val="en-US" w:eastAsia="zh-CN"/>
        </w:rPr>
        <w:t>提高农业质量效益</w:t>
      </w:r>
      <w:bookmarkEnd w:id="61"/>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val="0"/>
          <w:color w:val="auto"/>
          <w:sz w:val="30"/>
          <w:szCs w:val="30"/>
          <w:highlight w:val="none"/>
          <w:lang w:val="en-US" w:eastAsia="zh-CN"/>
        </w:rPr>
      </w:pPr>
      <w:r>
        <w:rPr>
          <w:rFonts w:hint="eastAsia" w:eastAsia="仿宋_GB2312"/>
          <w:b/>
          <w:bCs w:val="0"/>
          <w:color w:val="auto"/>
          <w:sz w:val="30"/>
          <w:szCs w:val="30"/>
          <w:highlight w:val="none"/>
          <w:lang w:val="en-US" w:eastAsia="zh-CN"/>
        </w:rPr>
        <w:t>一、调整优化产业结构</w:t>
      </w:r>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b w:val="0"/>
          <w:bCs/>
          <w:color w:val="auto"/>
          <w:sz w:val="30"/>
          <w:szCs w:val="30"/>
          <w:highlight w:val="none"/>
        </w:rPr>
      </w:pPr>
      <w:r>
        <w:rPr>
          <w:rFonts w:hint="eastAsia" w:eastAsia="仿宋_GB2312"/>
          <w:b w:val="0"/>
          <w:bCs/>
          <w:color w:val="auto"/>
          <w:sz w:val="30"/>
          <w:szCs w:val="30"/>
          <w:highlight w:val="none"/>
        </w:rPr>
        <w:t>深化农业供给侧结构性改革，优化生产结构和区域布局</w:t>
      </w:r>
      <w:r>
        <w:rPr>
          <w:rFonts w:hint="eastAsia" w:eastAsia="仿宋_GB2312"/>
          <w:b w:val="0"/>
          <w:bCs/>
          <w:color w:val="auto"/>
          <w:sz w:val="30"/>
          <w:szCs w:val="30"/>
          <w:highlight w:val="none"/>
          <w:lang w:eastAsia="zh-CN"/>
        </w:rPr>
        <w:t>，</w:t>
      </w:r>
      <w:r>
        <w:rPr>
          <w:rFonts w:hint="eastAsia" w:eastAsia="仿宋_GB2312"/>
          <w:b w:val="0"/>
          <w:bCs/>
          <w:color w:val="auto"/>
          <w:sz w:val="30"/>
          <w:szCs w:val="30"/>
          <w:highlight w:val="none"/>
        </w:rPr>
        <w:t>建设农业现代化示范区，发展现代都市型农业、设施农业、绿色农业、节水农业和品牌农业，提高农业产业化、规模化、市场化水平。完善农产品质量追溯体系，强化标准控制和质量安全监管。加强农产品仓储保鲜冷链物流设施建设，深化农产品加工业提升行动，培育主导产业、骨干企业，推动农村一二三产业融合发展，建设农村产业融合发展示范园，拓展农民增收空间。</w:t>
      </w:r>
      <w:r>
        <w:rPr>
          <w:rFonts w:hint="eastAsia" w:eastAsia="仿宋_GB2312"/>
          <w:bCs/>
          <w:color w:val="auto"/>
          <w:sz w:val="30"/>
          <w:szCs w:val="30"/>
          <w:highlight w:val="none"/>
          <w:lang w:val="en-US" w:eastAsia="zh-CN"/>
        </w:rPr>
        <w:t>实现一产增加值年均增长6.1%。</w:t>
      </w:r>
    </w:p>
    <w:p>
      <w:pPr>
        <w:keepNext w:val="0"/>
        <w:keepLines w:val="0"/>
        <w:pageBreakBefore w:val="0"/>
        <w:shd w:val="clear"/>
        <w:kinsoku/>
        <w:wordWrap/>
        <w:autoSpaceDE/>
        <w:autoSpaceDN/>
        <w:bidi w:val="0"/>
        <w:spacing w:line="560" w:lineRule="exact"/>
        <w:ind w:firstLine="602" w:firstLineChars="200"/>
        <w:textAlignment w:val="auto"/>
        <w:rPr>
          <w:rFonts w:hint="default" w:eastAsia="仿宋_GB2312"/>
          <w:color w:val="1023B0"/>
          <w:sz w:val="30"/>
          <w:szCs w:val="30"/>
          <w:highlight w:val="none"/>
          <w:lang w:val="en-US" w:eastAsia="zh-CN"/>
        </w:rPr>
      </w:pPr>
      <w:r>
        <w:rPr>
          <w:rFonts w:hint="eastAsia" w:eastAsia="仿宋_GB2312"/>
          <w:b/>
          <w:color w:val="auto"/>
          <w:sz w:val="30"/>
          <w:szCs w:val="30"/>
          <w:highlight w:val="none"/>
        </w:rPr>
        <w:t>稳定发展种植业。</w:t>
      </w:r>
      <w:r>
        <w:rPr>
          <w:rFonts w:hint="eastAsia" w:eastAsia="仿宋_GB2312"/>
          <w:b w:val="0"/>
          <w:bCs/>
          <w:color w:val="auto"/>
          <w:sz w:val="30"/>
          <w:szCs w:val="30"/>
          <w:highlight w:val="none"/>
          <w:lang w:eastAsia="zh-CN"/>
        </w:rPr>
        <w:t>“</w:t>
      </w:r>
      <w:r>
        <w:rPr>
          <w:rFonts w:hint="eastAsia" w:eastAsia="仿宋_GB2312"/>
          <w:b w:val="0"/>
          <w:bCs/>
          <w:color w:val="auto"/>
          <w:sz w:val="30"/>
          <w:szCs w:val="30"/>
          <w:highlight w:val="none"/>
          <w:lang w:val="en-US" w:eastAsia="zh-CN"/>
        </w:rPr>
        <w:t>十四五</w:t>
      </w:r>
      <w:r>
        <w:rPr>
          <w:rFonts w:hint="eastAsia" w:eastAsia="仿宋_GB2312"/>
          <w:b w:val="0"/>
          <w:bCs/>
          <w:color w:val="auto"/>
          <w:sz w:val="30"/>
          <w:szCs w:val="30"/>
          <w:highlight w:val="none"/>
          <w:lang w:eastAsia="zh-CN"/>
        </w:rPr>
        <w:t>”</w:t>
      </w:r>
      <w:r>
        <w:rPr>
          <w:rFonts w:hint="eastAsia" w:eastAsia="仿宋_GB2312"/>
          <w:b w:val="0"/>
          <w:bCs/>
          <w:color w:val="auto"/>
          <w:sz w:val="30"/>
          <w:szCs w:val="30"/>
          <w:highlight w:val="none"/>
          <w:lang w:val="en-US" w:eastAsia="zh-CN"/>
        </w:rPr>
        <w:t>期间，小麦面积稳定在35万亩，大力发展特色经济作物。推进蔬菜集约化生产，扩大市场供给，</w:t>
      </w:r>
      <w:r>
        <w:rPr>
          <w:rFonts w:hint="eastAsia" w:eastAsia="仿宋_GB2312"/>
          <w:b w:val="0"/>
          <w:bCs/>
          <w:color w:val="auto"/>
          <w:sz w:val="30"/>
          <w:szCs w:val="30"/>
          <w:highlight w:val="none"/>
        </w:rPr>
        <w:t>支持发展露地蔬菜，确保蔬菜种植面积增加到15万亩，设施农业温室大棚、拱棚数量增加到4万座，设施农业面积增加到2.5万亩。着力优化种植业结构，围绕草畜平衡，确保玉</w:t>
      </w:r>
      <w:r>
        <w:rPr>
          <w:rFonts w:hint="eastAsia" w:eastAsia="仿宋_GB2312"/>
          <w:color w:val="auto"/>
          <w:sz w:val="30"/>
          <w:szCs w:val="30"/>
          <w:highlight w:val="none"/>
        </w:rPr>
        <w:t>米年种植面积达到40万亩</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巨菌草种植103亩以上</w:t>
      </w:r>
      <w:r>
        <w:rPr>
          <w:rFonts w:hint="eastAsia" w:eastAsia="仿宋_GB2312"/>
          <w:color w:val="auto"/>
          <w:sz w:val="30"/>
          <w:szCs w:val="30"/>
          <w:highlight w:val="none"/>
        </w:rPr>
        <w:t>；围绕鸽子产业发展，种植饲料作物达到10万亩以上；围绕订单种植，发展特色作物种植面积达到10万亩以上。</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lang w:eastAsia="zh-CN"/>
        </w:rPr>
      </w:pPr>
      <w:r>
        <w:rPr>
          <w:rFonts w:hint="eastAsia" w:eastAsia="仿宋_GB2312"/>
          <w:b/>
          <w:color w:val="auto"/>
          <w:sz w:val="30"/>
          <w:szCs w:val="30"/>
          <w:highlight w:val="none"/>
        </w:rPr>
        <w:t>做优做强林果业。</w:t>
      </w:r>
      <w:r>
        <w:rPr>
          <w:rFonts w:hint="eastAsia" w:eastAsia="仿宋_GB2312"/>
          <w:color w:val="auto"/>
          <w:sz w:val="30"/>
          <w:szCs w:val="30"/>
          <w:highlight w:val="none"/>
        </w:rPr>
        <w:t>持续推进林果业提质增效。力争“十四五”末，林果业总面积保持在82.3万亩，其中核桃面积60万亩（高标准核桃示范园20万亩），总产突破15万吨。引导推广果园流转经营，推进县域林果业规模化、集约化、合作化发展。发挥优质农产品资源优势，依托特色林果基地、农副产品加工基地，着力培育和引进辐射带动能力强的农业龙头企业，打造成为自足南疆、服务全国的特色林果产业发展基地。重点强化核桃产业发展。</w:t>
      </w:r>
      <w:r>
        <w:rPr>
          <w:rFonts w:hint="eastAsia" w:eastAsia="仿宋_GB2312"/>
          <w:color w:val="auto"/>
          <w:sz w:val="30"/>
          <w:szCs w:val="30"/>
          <w:highlight w:val="none"/>
          <w:lang w:eastAsia="zh-CN"/>
        </w:rPr>
        <w:t>借助</w:t>
      </w:r>
      <w:r>
        <w:rPr>
          <w:rFonts w:hint="eastAsia" w:eastAsia="仿宋_GB2312"/>
          <w:color w:val="auto"/>
          <w:sz w:val="30"/>
          <w:szCs w:val="30"/>
          <w:highlight w:val="none"/>
          <w:lang w:val="en-US" w:eastAsia="zh-CN"/>
        </w:rPr>
        <w:t>核桃交易中心、美嘉等龙头企业，</w:t>
      </w:r>
      <w:r>
        <w:rPr>
          <w:rFonts w:hint="eastAsia" w:eastAsia="仿宋_GB2312"/>
          <w:color w:val="auto"/>
          <w:sz w:val="30"/>
          <w:szCs w:val="30"/>
          <w:highlight w:val="none"/>
        </w:rPr>
        <w:t>积极推进核桃全产业链融合发展及示范基地建设，完成25万亩、250万株低质核桃品种改优</w:t>
      </w:r>
      <w:r>
        <w:rPr>
          <w:rFonts w:hint="eastAsia" w:eastAsia="仿宋_GB2312"/>
          <w:color w:val="auto"/>
          <w:sz w:val="30"/>
          <w:szCs w:val="30"/>
          <w:highlight w:val="none"/>
          <w:lang w:eastAsia="zh-CN"/>
        </w:rPr>
        <w:t>，核桃疏密工作全面完成，</w:t>
      </w:r>
      <w:r>
        <w:rPr>
          <w:rFonts w:hint="eastAsia" w:eastAsia="仿宋_GB2312"/>
          <w:color w:val="auto"/>
          <w:sz w:val="30"/>
          <w:szCs w:val="30"/>
          <w:highlight w:val="none"/>
          <w:lang w:val="en-US" w:eastAsia="zh-CN"/>
        </w:rPr>
        <w:t>600亩核桃种质资源圃建设完成</w:t>
      </w:r>
      <w:r>
        <w:rPr>
          <w:rFonts w:hint="eastAsia" w:eastAsia="仿宋_GB2312"/>
          <w:color w:val="auto"/>
          <w:sz w:val="30"/>
          <w:szCs w:val="30"/>
          <w:highlight w:val="none"/>
        </w:rPr>
        <w:t>；建设核桃高产示范基地，核桃种</w:t>
      </w:r>
      <w:r>
        <w:rPr>
          <w:rFonts w:hint="eastAsia" w:eastAsia="仿宋_GB2312"/>
          <w:color w:val="auto"/>
          <w:sz w:val="30"/>
          <w:szCs w:val="30"/>
          <w:highlight w:val="none"/>
          <w:lang w:val="en-US" w:eastAsia="zh-CN"/>
        </w:rPr>
        <w:t>质</w:t>
      </w:r>
      <w:r>
        <w:rPr>
          <w:rFonts w:hint="eastAsia" w:eastAsia="仿宋_GB2312"/>
          <w:color w:val="auto"/>
          <w:sz w:val="30"/>
          <w:szCs w:val="30"/>
          <w:highlight w:val="none"/>
        </w:rPr>
        <w:t>资源文化展示长廊，核桃加工操作文化展馆，核桃微雕工艺体验中心，不断延长核桃产业链；提升核桃生产机械化水平，力争“十四五”末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机械化管理普及率达</w:t>
      </w:r>
      <w:r>
        <w:rPr>
          <w:rFonts w:hint="eastAsia" w:eastAsia="仿宋_GB2312"/>
          <w:color w:val="auto"/>
          <w:sz w:val="30"/>
          <w:szCs w:val="30"/>
          <w:highlight w:val="none"/>
          <w:lang w:val="en-US" w:eastAsia="zh-CN"/>
        </w:rPr>
        <w:t>到</w:t>
      </w:r>
      <w:r>
        <w:rPr>
          <w:rFonts w:hint="eastAsia" w:eastAsia="仿宋_GB2312"/>
          <w:color w:val="auto"/>
          <w:sz w:val="30"/>
          <w:szCs w:val="30"/>
          <w:highlight w:val="none"/>
        </w:rPr>
        <w:t>80%以上，机械化采收率达到80%以上，核桃初加工率达到100%，精深加工率达到20%以上。积极推进“叶城核桃”地理标志品种宣传推介，增强叶城核桃新疆产业中心区域品牌实力。</w:t>
      </w:r>
      <w:r>
        <w:rPr>
          <w:rFonts w:hint="eastAsia" w:eastAsia="仿宋_GB2312"/>
          <w:color w:val="auto"/>
          <w:sz w:val="30"/>
          <w:szCs w:val="30"/>
          <w:highlight w:val="none"/>
          <w:lang w:eastAsia="zh-CN"/>
        </w:rPr>
        <w:t>结合华凌土地开发利用，引进核桃滴灌试点，引导水源向新开发地利用。</w:t>
      </w:r>
    </w:p>
    <w:p>
      <w:pPr>
        <w:keepNext w:val="0"/>
        <w:keepLines w:val="0"/>
        <w:pageBreakBefore w:val="0"/>
        <w:shd w:val="clear"/>
        <w:kinsoku/>
        <w:wordWrap/>
        <w:autoSpaceDE/>
        <w:autoSpaceDN/>
        <w:bidi w:val="0"/>
        <w:spacing w:line="560" w:lineRule="exact"/>
        <w:ind w:firstLine="602" w:firstLineChars="200"/>
        <w:textAlignment w:val="auto"/>
        <w:rPr>
          <w:rFonts w:hint="default" w:eastAsia="仿宋_GB2312"/>
          <w:color w:val="auto"/>
          <w:sz w:val="30"/>
          <w:szCs w:val="30"/>
          <w:highlight w:val="none"/>
          <w:lang w:val="en-US" w:eastAsia="zh-CN"/>
        </w:rPr>
      </w:pPr>
      <w:r>
        <w:rPr>
          <w:rFonts w:hint="eastAsia" w:eastAsia="仿宋_GB2312"/>
          <w:b/>
          <w:color w:val="auto"/>
          <w:sz w:val="30"/>
          <w:szCs w:val="30"/>
          <w:highlight w:val="none"/>
          <w:lang w:val="en-US" w:eastAsia="zh-CN"/>
        </w:rPr>
        <w:t>稳步</w:t>
      </w:r>
      <w:r>
        <w:rPr>
          <w:rFonts w:hint="eastAsia" w:eastAsia="仿宋_GB2312"/>
          <w:b/>
          <w:color w:val="auto"/>
          <w:sz w:val="30"/>
          <w:szCs w:val="30"/>
          <w:highlight w:val="none"/>
        </w:rPr>
        <w:t>发展</w:t>
      </w:r>
      <w:r>
        <w:rPr>
          <w:rFonts w:hint="eastAsia" w:eastAsia="仿宋_GB2312"/>
          <w:b/>
          <w:color w:val="auto"/>
          <w:sz w:val="30"/>
          <w:szCs w:val="30"/>
          <w:highlight w:val="none"/>
          <w:lang w:eastAsia="zh-CN"/>
        </w:rPr>
        <w:t>畜牧</w:t>
      </w:r>
      <w:r>
        <w:rPr>
          <w:rFonts w:hint="eastAsia" w:eastAsia="仿宋_GB2312"/>
          <w:b/>
          <w:color w:val="auto"/>
          <w:sz w:val="30"/>
          <w:szCs w:val="30"/>
          <w:highlight w:val="none"/>
        </w:rPr>
        <w:t>业。</w:t>
      </w:r>
      <w:r>
        <w:rPr>
          <w:rFonts w:hint="eastAsia" w:eastAsia="仿宋_GB2312"/>
          <w:color w:val="auto"/>
          <w:sz w:val="30"/>
          <w:szCs w:val="30"/>
          <w:highlight w:val="none"/>
        </w:rPr>
        <w:t>加快草原畜牧业转型升级，坚持以小换大战略，发展高原有机牦牛</w:t>
      </w:r>
      <w:r>
        <w:rPr>
          <w:rFonts w:hint="eastAsia" w:eastAsia="仿宋_GB2312"/>
          <w:color w:val="auto"/>
          <w:sz w:val="30"/>
          <w:szCs w:val="30"/>
          <w:highlight w:val="none"/>
          <w:lang w:eastAsia="zh-CN"/>
        </w:rPr>
        <w:t>安格斯、西门</w:t>
      </w:r>
      <w:r>
        <w:rPr>
          <w:rFonts w:hint="eastAsia" w:eastAsia="仿宋_GB2312"/>
          <w:color w:val="auto"/>
          <w:sz w:val="30"/>
          <w:szCs w:val="30"/>
          <w:highlight w:val="none"/>
          <w:lang w:val="en-US" w:eastAsia="zh-CN"/>
        </w:rPr>
        <w:t>塔尔</w:t>
      </w:r>
      <w:r>
        <w:rPr>
          <w:rFonts w:hint="eastAsia" w:eastAsia="仿宋_GB2312"/>
          <w:color w:val="auto"/>
          <w:sz w:val="30"/>
          <w:szCs w:val="30"/>
          <w:highlight w:val="none"/>
        </w:rPr>
        <w:t>等大畜生产，保护草原植被、改善草原生态环境、提升草原承载力和生产力，提高单位牲畜养殖收益率，充分利用和挖掘本地消费市场，推进科学、规模养殖。</w:t>
      </w:r>
      <w:r>
        <w:rPr>
          <w:rFonts w:hint="eastAsia" w:eastAsia="仿宋_GB2312"/>
          <w:color w:val="auto"/>
          <w:sz w:val="30"/>
          <w:szCs w:val="30"/>
          <w:highlight w:val="none"/>
          <w:lang w:eastAsia="zh-CN"/>
        </w:rPr>
        <w:t>做大畜禽养殖规模，推进以千万羽鸽子、</w:t>
      </w:r>
      <w:r>
        <w:rPr>
          <w:rFonts w:hint="eastAsia" w:eastAsia="仿宋_GB2312"/>
          <w:color w:val="auto"/>
          <w:sz w:val="30"/>
          <w:szCs w:val="30"/>
          <w:highlight w:val="none"/>
          <w:lang w:val="en-US" w:eastAsia="zh-CN"/>
        </w:rPr>
        <w:t>10万头牛为县域主导品种的规模化、产业化运营，巩固发展叶城羊养殖，带动更多农民实现产业工人的转变。</w:t>
      </w:r>
      <w:r>
        <w:rPr>
          <w:rFonts w:hint="eastAsia" w:eastAsia="仿宋_GB2312"/>
          <w:color w:val="auto"/>
          <w:sz w:val="30"/>
          <w:szCs w:val="30"/>
          <w:highlight w:val="none"/>
        </w:rPr>
        <w:t>力争到“十四五”末，全县牲畜存栏量增加到140万头（只），出栏量145万头（只），草原畜牧业存栏80万头（只）。积极发展家禽养殖，“十四五”末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林下养殖年出笼100万只，家禽年出笼1000万只。</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着力发展特色养殖。</w:t>
      </w:r>
      <w:r>
        <w:rPr>
          <w:rFonts w:hint="eastAsia" w:eastAsia="仿宋_GB2312"/>
          <w:color w:val="auto"/>
          <w:sz w:val="30"/>
          <w:szCs w:val="30"/>
          <w:highlight w:val="none"/>
        </w:rPr>
        <w:t>积极发展鸽子产业，“十四五”末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实现种鸽存栏350万对，年出栏幼鸽2500万对。推广发展特色渔业，引进推广小龙虾养殖，实现渔业发展和水质改善有机衔接。推进养殖业标准化生产，培育活畜交易市场，拓展养殖业全产业链。规范畜牧合作社管理，鼓励引导开展牲畜托养，提升养殖水平和经营效益，实现牲畜托养20万只以上；加强养殖业标准化示范场创建，打造国家级畜牧产业示范园区，创建国家级示范场2-3个、自治区级示范场20个以上。</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lang w:val="en-US" w:eastAsia="zh-CN"/>
        </w:rPr>
        <w:t>加快</w:t>
      </w:r>
      <w:r>
        <w:rPr>
          <w:rFonts w:hint="eastAsia" w:eastAsia="仿宋_GB2312"/>
          <w:b/>
          <w:color w:val="auto"/>
          <w:sz w:val="30"/>
          <w:szCs w:val="30"/>
          <w:highlight w:val="none"/>
        </w:rPr>
        <w:t>推进农业机械化</w:t>
      </w:r>
      <w:r>
        <w:rPr>
          <w:rFonts w:hint="eastAsia" w:eastAsia="仿宋_GB2312"/>
          <w:b/>
          <w:color w:val="auto"/>
          <w:sz w:val="30"/>
          <w:szCs w:val="30"/>
          <w:highlight w:val="none"/>
          <w:lang w:val="en-US" w:eastAsia="zh-CN"/>
        </w:rPr>
        <w:t>进程</w:t>
      </w:r>
      <w:r>
        <w:rPr>
          <w:rFonts w:hint="eastAsia" w:eastAsia="仿宋_GB2312"/>
          <w:b/>
          <w:color w:val="auto"/>
          <w:sz w:val="30"/>
          <w:szCs w:val="30"/>
          <w:highlight w:val="none"/>
        </w:rPr>
        <w:t>。</w:t>
      </w:r>
      <w:r>
        <w:rPr>
          <w:rFonts w:hint="eastAsia" w:eastAsia="仿宋_GB2312"/>
          <w:color w:val="auto"/>
          <w:sz w:val="30"/>
          <w:szCs w:val="30"/>
          <w:highlight w:val="none"/>
        </w:rPr>
        <w:t>加快推进农机农艺融合和机械化信息化融合，将互联网、物联网、大数据等信息化技术应用于农</w:t>
      </w:r>
      <w:r>
        <w:rPr>
          <w:rFonts w:hint="eastAsia" w:eastAsia="仿宋_GB2312"/>
          <w:color w:val="auto"/>
          <w:sz w:val="30"/>
          <w:szCs w:val="30"/>
          <w:highlight w:val="none"/>
          <w:lang w:eastAsia="zh-CN"/>
        </w:rPr>
        <w:t>业</w:t>
      </w:r>
      <w:r>
        <w:rPr>
          <w:rFonts w:hint="eastAsia" w:eastAsia="仿宋_GB2312"/>
          <w:color w:val="auto"/>
          <w:sz w:val="30"/>
          <w:szCs w:val="30"/>
          <w:highlight w:val="none"/>
        </w:rPr>
        <w:t>生产、服务与管理全过程，积极引进推广无人驾驶耕作、无人机防控技术，</w:t>
      </w:r>
      <w:r>
        <w:rPr>
          <w:rFonts w:hint="eastAsia" w:eastAsia="仿宋_GB2312"/>
          <w:color w:val="auto"/>
          <w:sz w:val="30"/>
          <w:szCs w:val="30"/>
          <w:highlight w:val="none"/>
          <w:lang w:eastAsia="zh-CN"/>
        </w:rPr>
        <w:t>购买植保无人机、激光平地机、</w:t>
      </w:r>
      <w:r>
        <w:rPr>
          <w:rFonts w:hint="eastAsia" w:eastAsia="仿宋_GB2312"/>
          <w:color w:val="auto"/>
          <w:sz w:val="30"/>
          <w:szCs w:val="30"/>
          <w:highlight w:val="none"/>
          <w:lang w:val="en-US" w:eastAsia="zh-CN"/>
        </w:rPr>
        <w:t>200目</w:t>
      </w:r>
      <w:r>
        <w:rPr>
          <w:rFonts w:hint="eastAsia" w:eastAsia="仿宋_GB2312"/>
          <w:color w:val="auto"/>
          <w:sz w:val="30"/>
          <w:szCs w:val="30"/>
          <w:highlight w:val="none"/>
          <w:lang w:eastAsia="zh-CN"/>
        </w:rPr>
        <w:t>核桃壳粉加工</w:t>
      </w:r>
      <w:r>
        <w:rPr>
          <w:rFonts w:hint="eastAsia" w:eastAsia="仿宋_GB2312"/>
          <w:color w:val="auto"/>
          <w:sz w:val="30"/>
          <w:szCs w:val="30"/>
          <w:highlight w:val="none"/>
          <w:lang w:val="en-US" w:eastAsia="zh-CN"/>
        </w:rPr>
        <w:t>设备，安装拖拉机北斗导航。</w:t>
      </w:r>
      <w:r>
        <w:rPr>
          <w:rFonts w:hint="eastAsia" w:eastAsia="仿宋_GB2312"/>
          <w:color w:val="auto"/>
          <w:sz w:val="30"/>
          <w:szCs w:val="30"/>
          <w:highlight w:val="none"/>
        </w:rPr>
        <w:t>全面提升农机化服务、管理质量和水平。加快推进机械化生产与农田建设相适应，提高农机适应性；改善农机通行和作业条件，推进“以地适机”转变，提供大型农机服务保证。继续抓好县域农机购置补贴7500万元项目实施，落实深松作业补贴面积10万亩。“十四五”末，全县农业机械化率达到95%以上，农机总动力由41.9万千瓦，提升到44万千瓦。</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lang w:val="en-US" w:eastAsia="zh-CN"/>
        </w:rPr>
        <w:t>强化农业发展支撑保障</w:t>
      </w:r>
      <w:r>
        <w:rPr>
          <w:rFonts w:hint="eastAsia" w:eastAsia="仿宋_GB2312"/>
          <w:b/>
          <w:color w:val="auto"/>
          <w:sz w:val="30"/>
          <w:szCs w:val="30"/>
          <w:highlight w:val="none"/>
        </w:rPr>
        <w:t>。</w:t>
      </w:r>
      <w:r>
        <w:rPr>
          <w:rFonts w:hint="eastAsia" w:ascii="仿宋_GB2312" w:hAnsi="仿宋" w:eastAsia="仿宋_GB2312"/>
          <w:color w:val="auto"/>
          <w:sz w:val="30"/>
          <w:szCs w:val="30"/>
          <w:highlight w:val="none"/>
        </w:rPr>
        <w:t>促进乡村集体持续增收，</w:t>
      </w:r>
      <w:r>
        <w:rPr>
          <w:rFonts w:ascii="仿宋_GB2312" w:hAnsi="仿宋" w:eastAsia="仿宋_GB2312"/>
          <w:color w:val="auto"/>
          <w:sz w:val="30"/>
          <w:szCs w:val="30"/>
          <w:highlight w:val="none"/>
        </w:rPr>
        <w:t>加强对乡镇集体资产的管理，不断拓展集体经济增收渠道。</w:t>
      </w:r>
      <w:r>
        <w:rPr>
          <w:rFonts w:hint="eastAsia" w:eastAsia="仿宋_GB2312"/>
          <w:color w:val="auto"/>
          <w:sz w:val="30"/>
          <w:szCs w:val="30"/>
          <w:highlight w:val="none"/>
        </w:rPr>
        <w:t>积极推进土地流转，实现土地规模化生产，合作化经营，深化土地“三权分置”改革，力争“十四五”末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流转经营面积达到30万亩以上，彻底解决农村土地碎片化、生产经营零碎化、生产效益差别化的根本矛盾。大力推进高标准农田建设，“十四五”期间，完成高标准农田建设5万亩。积极推进粮食、林果高效节水灌溉农业，高效节水灌溉面积增加到38万亩。构建智慧农业、智慧牧业，构建生产加工销售全程可控可看的农牧业生产管理体系。完成“叶城核桃”有机认证、绿色原材料生产基地30万亩。推进食用农产品销售自我承诺合格证制度，确保附证农产品抽检合格率达到100%。健全绿色农业技术体系，建立农兽药残留限量和农产品质量与食品安全技术标准体系，开展绿色有机农产品生态示范。积极构建农产品安全质量体系，完善农产品质量安全监管追溯平台。“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主要农产品监测合格率稳定在90%以上，全县农业产业化重点龙头企业、种养大户、农民合作社生产的蔬菜、畜禽、林果、特色农产品100%可追溯。完善核桃种质资源库建设，保存国内外优良核桃种质资源200份以上。发挥核桃产业研究院作用，完成10个以上林果业技术课题研究。加强核桃协会引领作用，推动形成“核桃产业（叶城）标准”，提升市场占有率，增强市场定价话语权。抓好天然林资源保护工程，加强防护林体系建设。</w:t>
      </w:r>
    </w:p>
    <w:p>
      <w:pPr>
        <w:pStyle w:val="14"/>
      </w:pP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bookmarkStart w:id="62" w:name="_Toc32023_WPSOffice_Level3"/>
            <w:r>
              <w:rPr>
                <w:rFonts w:hint="eastAsia" w:ascii="黑体" w:hAnsi="黑体" w:eastAsia="黑体" w:cs="黑体"/>
                <w:b w:val="0"/>
                <w:bCs w:val="0"/>
                <w:kern w:val="2"/>
                <w:sz w:val="28"/>
                <w:szCs w:val="28"/>
                <w:lang w:val="en-US" w:eastAsia="zh-CN" w:bidi="ar-SA"/>
              </w:rPr>
              <w:t>专栏1：农业结构调整</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default" w:ascii="楷体" w:hAnsi="楷体" w:eastAsia="楷体" w:cs="楷体"/>
                <w:color w:val="auto"/>
                <w:kern w:val="2"/>
                <w:sz w:val="28"/>
                <w:szCs w:val="28"/>
                <w:highlight w:val="none"/>
                <w:lang w:val="en-US" w:eastAsia="zh-CN" w:bidi="ar-SA"/>
              </w:rPr>
            </w:pPr>
            <w:r>
              <w:rPr>
                <w:rFonts w:hint="eastAsia" w:ascii="楷体" w:hAnsi="楷体" w:eastAsia="楷体" w:cs="楷体"/>
                <w:color w:val="auto"/>
                <w:kern w:val="2"/>
                <w:sz w:val="28"/>
                <w:szCs w:val="28"/>
                <w:highlight w:val="none"/>
                <w:lang w:val="en-US" w:eastAsia="zh-CN" w:bidi="ar-SA"/>
              </w:rPr>
              <w:t>1、粮食种植：小麦35万亩，玉米40万亩；</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color w:val="auto"/>
                <w:kern w:val="2"/>
                <w:sz w:val="28"/>
                <w:szCs w:val="28"/>
                <w:highlight w:val="none"/>
                <w:lang w:val="en-US" w:eastAsia="zh-CN" w:bidi="ar-SA"/>
              </w:rPr>
              <w:t>2、林果种植：核桃60万亩；</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default" w:ascii="楷体" w:hAnsi="楷体" w:eastAsia="楷体" w:cs="楷体"/>
                <w:color w:val="auto"/>
                <w:kern w:val="2"/>
                <w:sz w:val="28"/>
                <w:szCs w:val="28"/>
                <w:highlight w:val="none"/>
                <w:lang w:val="en-US" w:eastAsia="zh-CN" w:bidi="ar-SA"/>
              </w:rPr>
            </w:pPr>
            <w:r>
              <w:rPr>
                <w:rFonts w:hint="eastAsia" w:ascii="楷体" w:hAnsi="楷体" w:eastAsia="楷体" w:cs="楷体"/>
                <w:color w:val="auto"/>
                <w:kern w:val="2"/>
                <w:sz w:val="28"/>
                <w:szCs w:val="28"/>
                <w:highlight w:val="none"/>
                <w:lang w:val="en-US" w:eastAsia="zh-CN" w:bidi="ar-SA"/>
              </w:rPr>
              <w:t>3、蔬菜种植：设施蔬菜2.5万亩，陆地菜15万亩；</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color w:val="auto"/>
                <w:kern w:val="2"/>
                <w:sz w:val="28"/>
                <w:szCs w:val="28"/>
                <w:highlight w:val="none"/>
                <w:lang w:val="en-US" w:eastAsia="zh-CN" w:bidi="ar-SA"/>
              </w:rPr>
              <w:t>4、经济作物种植：万寿菊、巨菌草1.6万亩以上；</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color w:val="auto"/>
                <w:kern w:val="2"/>
                <w:sz w:val="28"/>
                <w:szCs w:val="28"/>
                <w:highlight w:val="none"/>
                <w:lang w:val="en-US" w:eastAsia="zh-CN" w:bidi="ar-SA"/>
              </w:rPr>
              <w:t>5、畜牧养殖：畜类145万头（只），禽类1000万只（羽）；</w:t>
            </w:r>
          </w:p>
          <w:p>
            <w:pPr>
              <w:keepNext w:val="0"/>
              <w:keepLines w:val="0"/>
              <w:pageBreakBefore w:val="0"/>
              <w:widowControl w:val="0"/>
              <w:shd w:val="clear"/>
              <w:kinsoku/>
              <w:wordWrap/>
              <w:overflowPunct/>
              <w:topLinePunct w:val="0"/>
              <w:autoSpaceDE/>
              <w:autoSpaceDN/>
              <w:bidi w:val="0"/>
              <w:adjustRightInd/>
              <w:snapToGrid/>
              <w:spacing w:line="460" w:lineRule="exact"/>
              <w:ind w:firstLine="560" w:firstLineChars="200"/>
              <w:jc w:val="left"/>
              <w:textAlignment w:val="auto"/>
              <w:rPr>
                <w:rFonts w:hint="default" w:ascii="方正楷体简体" w:hAnsi="方正楷体简体" w:eastAsia="方正楷体简体" w:cs="方正楷体简体"/>
                <w:b/>
                <w:bCs/>
                <w:color w:val="auto"/>
                <w:sz w:val="32"/>
                <w:szCs w:val="32"/>
                <w:u w:val="none" w:color="auto"/>
                <w:vertAlign w:val="baseline"/>
                <w:lang w:val="en-US" w:eastAsia="zh-CN"/>
              </w:rPr>
            </w:pPr>
            <w:r>
              <w:rPr>
                <w:rFonts w:hint="eastAsia" w:ascii="楷体" w:hAnsi="楷体" w:eastAsia="楷体" w:cs="楷体"/>
                <w:color w:val="auto"/>
                <w:kern w:val="2"/>
                <w:sz w:val="28"/>
                <w:szCs w:val="28"/>
                <w:highlight w:val="none"/>
                <w:lang w:val="en-US" w:eastAsia="zh-CN" w:bidi="ar-SA"/>
              </w:rPr>
              <w:t>6、牲畜防疫：建设12个监测点，对动植物疫情监测预警、防疫技术能力建设。</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hint="eastAsia" w:eastAsia="仿宋_GB2312"/>
          <w:b/>
          <w:bCs w:val="0"/>
          <w:color w:val="auto"/>
          <w:sz w:val="30"/>
          <w:szCs w:val="30"/>
          <w:highlight w:val="none"/>
          <w:lang w:val="en-US" w:eastAsia="zh-CN"/>
        </w:rPr>
      </w:pP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color w:val="auto"/>
          <w:sz w:val="30"/>
          <w:szCs w:val="30"/>
          <w:highlight w:val="none"/>
          <w:lang w:val="en-US" w:eastAsia="zh-CN"/>
        </w:rPr>
      </w:pPr>
      <w:r>
        <w:rPr>
          <w:rFonts w:hint="eastAsia" w:eastAsia="仿宋_GB2312"/>
          <w:b/>
          <w:bCs w:val="0"/>
          <w:color w:val="auto"/>
          <w:sz w:val="30"/>
          <w:szCs w:val="30"/>
          <w:highlight w:val="none"/>
          <w:lang w:val="en-US" w:eastAsia="zh-CN"/>
        </w:rPr>
        <w:t>二、</w:t>
      </w:r>
      <w:r>
        <w:rPr>
          <w:rFonts w:hint="eastAsia" w:eastAsia="仿宋_GB2312"/>
          <w:b/>
          <w:bCs/>
          <w:color w:val="auto"/>
          <w:sz w:val="30"/>
          <w:szCs w:val="30"/>
          <w:highlight w:val="none"/>
          <w:lang w:val="en-US" w:eastAsia="zh-CN"/>
        </w:rPr>
        <w:t>构建现代农业产业体系</w:t>
      </w:r>
      <w:bookmarkEnd w:id="62"/>
    </w:p>
    <w:p>
      <w:pPr>
        <w:keepNext w:val="0"/>
        <w:keepLines w:val="0"/>
        <w:spacing w:line="560" w:lineRule="exact"/>
        <w:ind w:firstLine="600" w:firstLineChars="200"/>
        <w:rPr>
          <w:rFonts w:hint="eastAsia"/>
          <w:lang w:val="en-US" w:eastAsia="zh-CN"/>
        </w:rPr>
      </w:pPr>
      <w:r>
        <w:rPr>
          <w:rFonts w:hint="eastAsia" w:eastAsia="仿宋_GB2312"/>
          <w:color w:val="auto"/>
          <w:sz w:val="30"/>
          <w:szCs w:val="30"/>
          <w:highlight w:val="none"/>
          <w:lang w:val="en-US" w:eastAsia="zh-CN"/>
        </w:rPr>
        <w:t>提升农业质量效益和创新力、竞争力、全要素生产率，构建全环节提升、全链条增值、全产业融合的现代农业产业体系、生产体系、经营体系，推进种养加一体、一二三产业融合发展。坚持龙头企业带动，着力培育亿元以上产值龙头企业，建立良种繁育体系，培育种养殖大户，提升农牧民种养殖能力。建立规模化种养殖体系，规范水肥、农药、良种、饲草料等供给管理，实现良繁中心、养殖小区、家庭农场有序运作，着力发展乡村田园综合体。坚持家庭经营基础性地位，培育壮大新型经营主体，发展多种形式适度规模经营，完善农业社会化服务体系，健全紧密型利益联结机制，促进小农户和现代农业发展有机衔接，推动家庭经营、集体经营、合作经营、企业经营共同发展，形成生产、加工、运输、仓储到消费的综合流通体系。发展营养安全、绿色生态、美味健康、方便实惠的优势特色产业，加快农产品品牌创建。</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color w:val="auto"/>
          <w:sz w:val="30"/>
          <w:szCs w:val="30"/>
          <w:highlight w:val="none"/>
          <w:lang w:val="en-US" w:eastAsia="zh-CN"/>
        </w:rPr>
      </w:pPr>
      <w:bookmarkStart w:id="63" w:name="_Toc22532_WPSOffice_Level3"/>
      <w:r>
        <w:rPr>
          <w:rFonts w:hint="eastAsia" w:eastAsia="仿宋_GB2312"/>
          <w:b/>
          <w:bCs w:val="0"/>
          <w:color w:val="auto"/>
          <w:sz w:val="30"/>
          <w:szCs w:val="30"/>
          <w:highlight w:val="none"/>
          <w:lang w:val="en-US" w:eastAsia="zh-CN"/>
        </w:rPr>
        <w:t>三、</w:t>
      </w:r>
      <w:r>
        <w:rPr>
          <w:rFonts w:hint="eastAsia" w:eastAsia="仿宋_GB2312"/>
          <w:b/>
          <w:bCs/>
          <w:color w:val="auto"/>
          <w:sz w:val="30"/>
          <w:szCs w:val="30"/>
          <w:highlight w:val="none"/>
          <w:lang w:val="en-US" w:eastAsia="zh-CN"/>
        </w:rPr>
        <w:t>构建现代农业支撑体系</w:t>
      </w:r>
      <w:bookmarkEnd w:id="63"/>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加强农业技术服务保障体系建设，依托大型农业龙头企业现代科技体系，培育农</w:t>
      </w:r>
      <w:r>
        <w:rPr>
          <w:rFonts w:hint="default" w:eastAsia="仿宋_GB2312"/>
          <w:color w:val="auto"/>
          <w:sz w:val="30"/>
          <w:szCs w:val="30"/>
          <w:highlight w:val="none"/>
          <w:lang w:val="en-US" w:eastAsia="zh-CN"/>
        </w:rPr>
        <w:t>牧业综合技术服务团队</w:t>
      </w:r>
      <w:r>
        <w:rPr>
          <w:rFonts w:hint="eastAsia" w:eastAsia="仿宋_GB2312"/>
          <w:color w:val="auto"/>
          <w:sz w:val="30"/>
          <w:szCs w:val="30"/>
          <w:highlight w:val="none"/>
          <w:lang w:val="en-US" w:eastAsia="zh-CN"/>
        </w:rPr>
        <w:t>，规划建设一批农业高产标准化技术管理示范园，加快县乡农业技术推广，打造现代农业模式。加强农业金融服务体系建设，建立财税金融服务保障，加大乡村振兴发展资金、现代农业发展资金、基本建设项目资金等对农牧业的支持力度，推进农业保险覆盖，降低养殖户养殖风险。加快农业科技创新体系建设，加大重点农业科技领域攻关，加快农业技术转移和成果转化，推动种业科技创新、品种改良、畜牧良种繁育，实现增产增效。加强农产品质量安全体系建设，加强农产品质量安全检验检测，建立健全农产品质量安全追溯体系以及产地准出、市场准入和风险评估制度，建立全程可追溯、互联共享的农产品安全追溯管理信息平台，加强产地安全监测管理。加强农业防灾减灾体系建设，加强农业防洪抗旱、重大气象灾害等预报、预警、控制指挥能力，加强植物病虫害防治和动物疫情防控能力，加强应急救灾物资储备调运能力。加强农业信息化体系建设，推广智慧农业，推进现代信息技术应用于农业生产、经营、管理和服务，采用大数据、物联网、云计算等技术，实施智慧化选种、水利、施肥，实施智慧良种、繁育、饲草料配比、育肥，提高农业信息化水平，实现提质增效。</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color w:val="auto"/>
          <w:sz w:val="30"/>
          <w:szCs w:val="30"/>
          <w:highlight w:val="none"/>
          <w:lang w:val="en-US" w:eastAsia="zh-CN"/>
        </w:rPr>
      </w:pPr>
      <w:bookmarkStart w:id="64" w:name="_Toc7306_WPSOffice_Level3"/>
      <w:r>
        <w:rPr>
          <w:rFonts w:hint="eastAsia" w:eastAsia="仿宋_GB2312"/>
          <w:b/>
          <w:bCs/>
          <w:color w:val="auto"/>
          <w:sz w:val="30"/>
          <w:szCs w:val="30"/>
          <w:highlight w:val="none"/>
          <w:lang w:val="en-US" w:eastAsia="zh-CN"/>
        </w:rPr>
        <w:t>四、完善配套设施建设</w:t>
      </w:r>
      <w:bookmarkEnd w:id="64"/>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推进高标准农田建设，按照集中连片、旱涝保收、稳产高产、生态友好的要求，加大投入力度，加快建设步伐。加强农田水利建设，加强中小型农田水利设施建设，打通农田水利“最后一公里”，持续实施农村“井电双控”工程，以现代科学技术为支撑，高标准推进田间高效节水灌溉工程。整合完善建设规划，推进新增粮食产能、农业综合开发、土地整治、土地复垦、节水灌溉。健全农田管护机制，明确管护主体，落实管护主体和管护机制，确保管护有效。严守耕地红线，及时将高标准农田划为永久基本农田，实行特殊保护，确保建成后的高标准农田用作重要农产品特别是粮食生产。</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color w:val="auto"/>
          <w:sz w:val="30"/>
          <w:szCs w:val="30"/>
          <w:highlight w:val="none"/>
          <w:lang w:val="en-US" w:eastAsia="zh-CN"/>
        </w:rPr>
      </w:pPr>
      <w:bookmarkStart w:id="65" w:name="_Toc11139_WPSOffice_Level3"/>
      <w:r>
        <w:rPr>
          <w:rFonts w:hint="eastAsia" w:eastAsia="仿宋_GB2312"/>
          <w:b/>
          <w:bCs/>
          <w:color w:val="auto"/>
          <w:sz w:val="30"/>
          <w:szCs w:val="30"/>
          <w:highlight w:val="none"/>
          <w:lang w:val="en-US" w:eastAsia="zh-CN"/>
        </w:rPr>
        <w:t>五、强化农业生产要素保障</w:t>
      </w:r>
      <w:bookmarkEnd w:id="65"/>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高效利用水肥土地光热条件和优势。推进农业生产机械化、规模化、集约化，推广棉花机采、小麦机播和机收，提高畜牧养殖、林果蔬菜、病虫害防治、农产品初加工和农业废弃物综合利用机械化水平，发展农用航空和农田精准作业，推广设施农业、现代农业。加快土地流转、碎片化整治、集约化利用，发展多种形式适度规模经营，引导农民以转包、出租、互换、转让等形式流转承包土地经营权，以及通过代耕代种、联耕联种、土地托管、股份合作等方式，推动实现多种形式的适度规模经营。</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bCs/>
          <w:color w:val="auto"/>
          <w:sz w:val="30"/>
          <w:szCs w:val="30"/>
          <w:highlight w:val="none"/>
          <w:lang w:val="en-US" w:eastAsia="zh-CN"/>
        </w:rPr>
      </w:pPr>
      <w:r>
        <w:rPr>
          <w:rFonts w:hint="eastAsia" w:eastAsia="仿宋_GB2312"/>
          <w:b/>
          <w:bCs/>
          <w:color w:val="auto"/>
          <w:sz w:val="30"/>
          <w:szCs w:val="30"/>
          <w:highlight w:val="none"/>
          <w:lang w:val="en-US" w:eastAsia="zh-CN"/>
        </w:rPr>
        <w:t>六、大力保障粮食安全</w:t>
      </w:r>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落实国家粮食安全战略，实施高标准农田建设工程，强化农业科技和装备支撑。引导农民逐步退出林粮间作种植模式。推广实施退棉增粮，加快粮食生产向优势区域聚集，加强水肥投入和管理，增单产、促总产，确保县域粮食平衡，自给有余，确保“十四五”期间，粮食生产保有面积稳定在35万亩，粮食初加工转化率达到100%。提高粮食管理服务水平，充实粮食储备，建设智慧农业，推进智能仓和数字粮食建设，提升粮食应急供应能力，对外进粮食实行适当补贴政策，发挥救济、救灾、应对公共突发事件粮食应急供应，加强粮食执法和质检体系建设，加强军粮供应服务，</w:t>
      </w:r>
      <w:r>
        <w:rPr>
          <w:rFonts w:hint="default" w:eastAsia="仿宋_GB2312"/>
          <w:color w:val="auto"/>
          <w:sz w:val="30"/>
          <w:szCs w:val="30"/>
          <w:highlight w:val="none"/>
          <w:lang w:val="en-US" w:eastAsia="zh-CN"/>
        </w:rPr>
        <w:t>新建成品粮低温库2栋，新增3000吨仓容。建设</w:t>
      </w:r>
      <w:r>
        <w:rPr>
          <w:rFonts w:hint="eastAsia" w:eastAsia="仿宋_GB2312"/>
          <w:color w:val="auto"/>
          <w:sz w:val="30"/>
          <w:szCs w:val="30"/>
          <w:highlight w:val="none"/>
          <w:lang w:val="en-US" w:eastAsia="zh-CN"/>
        </w:rPr>
        <w:t>县域</w:t>
      </w:r>
      <w:r>
        <w:rPr>
          <w:rFonts w:hint="default" w:eastAsia="仿宋_GB2312"/>
          <w:color w:val="auto"/>
          <w:sz w:val="30"/>
          <w:szCs w:val="30"/>
          <w:highlight w:val="none"/>
          <w:lang w:val="en-US" w:eastAsia="zh-CN"/>
        </w:rPr>
        <w:t>应急粮食配送中心</w:t>
      </w:r>
      <w:r>
        <w:rPr>
          <w:rFonts w:hint="eastAsia" w:eastAsia="仿宋_GB2312"/>
          <w:color w:val="auto"/>
          <w:sz w:val="30"/>
          <w:szCs w:val="30"/>
          <w:highlight w:val="none"/>
          <w:lang w:val="en-US" w:eastAsia="zh-CN"/>
        </w:rPr>
        <w:t>。落实最严格的耕地保护制度，开展农村乱占耕地建房问题整治。实施优质粮食工程，提高农业良种化水平。全面改善农业基础设施条件，加强粮食生产功能区、重要农产品生产保护区和特色农产品优势区建设。健全动物防疫和农作物病虫害防治体系。落实“米袋子”“菜篮子”负责制，完善粮食储备管理体制，保障粮棉油等重要农产品和肉菜蛋奶果等农副产品供给安全。开展粮食节约行动。</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color w:val="auto"/>
          <w:sz w:val="30"/>
          <w:szCs w:val="30"/>
          <w:highlight w:val="none"/>
        </w:rPr>
      </w:pPr>
      <w:r>
        <w:rPr>
          <w:rFonts w:hint="eastAsia" w:eastAsia="仿宋_GB2312"/>
          <w:b/>
          <w:color w:val="auto"/>
          <w:sz w:val="30"/>
          <w:szCs w:val="30"/>
          <w:highlight w:val="none"/>
          <w:lang w:val="en-US" w:eastAsia="zh-CN"/>
        </w:rPr>
        <w:t>七、</w:t>
      </w:r>
      <w:r>
        <w:rPr>
          <w:rFonts w:hint="eastAsia" w:eastAsia="仿宋_GB2312"/>
          <w:b/>
          <w:color w:val="auto"/>
          <w:sz w:val="30"/>
          <w:szCs w:val="30"/>
          <w:highlight w:val="none"/>
        </w:rPr>
        <w:t>推进绿色农业发展</w:t>
      </w:r>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坚持节约和保护农业资源的理念，紧紧守住耕地、淡水资源红线和基本农田底线。大力发展绿色生态农产品，促进发展绿色农业、生态农业、循环农业的新型现代农业模式，实现建设农村人居环境、建设美好乡村与产业培育有机结合，努力形成“村美人富”的局面。建立农业节水体系，完善农业节水工程设施，在井灌区重点发展管道输水灌溉，促进喷灌、微灌和水肥一体化，积极开展白色污染治理，引进先进技术和机械设备，“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白色污染治理率提高到90%以上。</w:t>
      </w:r>
    </w:p>
    <w:p>
      <w:pPr>
        <w:pStyle w:val="18"/>
        <w:keepNext w:val="0"/>
        <w:keepLines w:val="0"/>
        <w:shd w:val="clear"/>
        <w:spacing w:beforeLines="50" w:afterLines="50"/>
        <w:rPr>
          <w:rFonts w:hint="default" w:ascii="Times New Roman" w:hAnsi="Times New Roman"/>
          <w:lang w:val="en-US" w:eastAsia="zh-CN"/>
        </w:rPr>
      </w:pPr>
      <w:bookmarkStart w:id="66" w:name="_Toc31011"/>
      <w:bookmarkStart w:id="67" w:name="_Toc23904"/>
      <w:bookmarkStart w:id="68" w:name="_Toc16855"/>
      <w:r>
        <w:rPr>
          <w:rFonts w:hint="eastAsia" w:ascii="Times New Roman" w:hAnsi="Times New Roman"/>
          <w:lang w:val="zh-CN" w:eastAsia="zh-CN"/>
        </w:rPr>
        <w:t>第</w:t>
      </w:r>
      <w:r>
        <w:rPr>
          <w:rFonts w:hint="eastAsia" w:ascii="Times New Roman" w:hAnsi="Times New Roman"/>
          <w:lang w:val="en-US" w:eastAsia="zh-CN"/>
        </w:rPr>
        <w:t>三</w:t>
      </w:r>
      <w:r>
        <w:rPr>
          <w:rFonts w:hint="eastAsia" w:ascii="Times New Roman" w:hAnsi="Times New Roman"/>
          <w:lang w:val="zh-CN" w:eastAsia="zh-CN"/>
        </w:rPr>
        <w:t xml:space="preserve">节 </w:t>
      </w:r>
      <w:bookmarkEnd w:id="66"/>
      <w:r>
        <w:rPr>
          <w:rFonts w:hint="eastAsia" w:ascii="Times New Roman" w:hAnsi="Times New Roman"/>
          <w:lang w:val="en-US" w:eastAsia="zh-CN"/>
        </w:rPr>
        <w:t>实施乡村建设行动</w:t>
      </w:r>
      <w:bookmarkEnd w:id="67"/>
    </w:p>
    <w:p>
      <w:pPr>
        <w:pStyle w:val="8"/>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推进美丽乡村建设。</w:t>
      </w:r>
      <w:r>
        <w:rPr>
          <w:rFonts w:hint="eastAsia" w:eastAsia="仿宋_GB2312"/>
          <w:color w:val="auto"/>
          <w:sz w:val="30"/>
          <w:szCs w:val="30"/>
          <w:highlight w:val="none"/>
        </w:rPr>
        <w:t>积极开展乡村环境整治，补齐美丽乡村建设短板。</w:t>
      </w:r>
      <w:r>
        <w:rPr>
          <w:rFonts w:hint="eastAsia" w:eastAsia="仿宋_GB2312"/>
          <w:color w:val="auto"/>
          <w:sz w:val="30"/>
          <w:szCs w:val="30"/>
          <w:highlight w:val="none"/>
          <w:lang w:eastAsia="zh-CN"/>
        </w:rPr>
        <w:t>严格按照乡村国土空间规划</w:t>
      </w:r>
      <w:r>
        <w:rPr>
          <w:rFonts w:hint="eastAsia" w:eastAsia="仿宋_GB2312"/>
          <w:color w:val="auto"/>
          <w:sz w:val="30"/>
          <w:szCs w:val="30"/>
          <w:highlight w:val="none"/>
        </w:rPr>
        <w:t>着力抓好庭院环境整治、居住环境整治、厕所革命、垃圾污水治理、沟渠清淤和村庄环境卫生清扫等院内院外“六件事”，</w:t>
      </w:r>
      <w:r>
        <w:rPr>
          <w:rFonts w:hint="eastAsia" w:ascii="仿宋_GB2312" w:hAnsi="仿宋_GB2312" w:eastAsia="仿宋_GB2312" w:cs="仿宋_GB2312"/>
          <w:b w:val="0"/>
          <w:bCs w:val="0"/>
          <w:color w:val="auto"/>
          <w:kern w:val="2"/>
          <w:sz w:val="30"/>
          <w:szCs w:val="30"/>
          <w:highlight w:val="none"/>
          <w:lang w:val="en-US" w:eastAsia="zh-CN" w:bidi="ar-SA"/>
        </w:rPr>
        <w:t>推动农村垃圾、污水治理和村容村貌提升，加快补齐农村人居环境突出短板，促进城镇基础设施向农村延伸、基本公共服务向农村覆盖，全面改善农村生产生活生态环境。推动城镇固废、污水处理设施和管网建设向人口相对集中的乡村地区延伸；以农村垃圾处理为重点，完成建制村环境综合整治工程。</w:t>
      </w:r>
      <w:r>
        <w:rPr>
          <w:rFonts w:hint="eastAsia" w:eastAsia="仿宋_GB2312"/>
          <w:color w:val="auto"/>
          <w:sz w:val="30"/>
          <w:szCs w:val="30"/>
          <w:highlight w:val="none"/>
        </w:rPr>
        <w:t>建立健全“户收集、村分类、乡转运、县处理”的农村生活垃圾收运处理机制；狠抓“厕所革命”，实现卫生厕所、“三区分离（生活区、种植区、养殖区）”全覆盖；加强农村污水处理，以户处理为主，逐步开展集中处理；大力推进粪污资源化处理，实现全县粪污资源化利用率达到90%以上，化肥和农药投入品实现零增长乃至负增长。</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rPr>
        <w:t>加大乡村生态保护与修复。</w:t>
      </w:r>
      <w:r>
        <w:rPr>
          <w:rFonts w:hint="eastAsia" w:eastAsia="仿宋_GB2312"/>
          <w:color w:val="auto"/>
          <w:sz w:val="30"/>
          <w:szCs w:val="30"/>
          <w:highlight w:val="none"/>
        </w:rPr>
        <w:t>严格遵守生态保护红线</w:t>
      </w:r>
      <w:r>
        <w:rPr>
          <w:rFonts w:hint="eastAsia" w:eastAsia="仿宋_GB2312"/>
          <w:color w:val="auto"/>
          <w:sz w:val="30"/>
          <w:szCs w:val="30"/>
          <w:highlight w:val="none"/>
          <w:lang w:eastAsia="zh-CN"/>
        </w:rPr>
        <w:t>、基本农田保护红线</w:t>
      </w:r>
      <w:r>
        <w:rPr>
          <w:rFonts w:hint="eastAsia" w:eastAsia="仿宋_GB2312"/>
          <w:color w:val="auto"/>
          <w:sz w:val="30"/>
          <w:szCs w:val="30"/>
          <w:highlight w:val="none"/>
        </w:rPr>
        <w:t>，</w:t>
      </w:r>
      <w:r>
        <w:rPr>
          <w:rFonts w:hint="eastAsia" w:eastAsia="仿宋_GB2312"/>
          <w:color w:val="auto"/>
          <w:sz w:val="30"/>
          <w:szCs w:val="30"/>
          <w:highlight w:val="none"/>
          <w:lang w:eastAsia="zh-CN"/>
        </w:rPr>
        <w:t>严禁在</w:t>
      </w:r>
      <w:r>
        <w:rPr>
          <w:rFonts w:hint="eastAsia" w:eastAsia="仿宋_GB2312"/>
          <w:color w:val="auto"/>
          <w:sz w:val="30"/>
          <w:szCs w:val="30"/>
          <w:highlight w:val="none"/>
        </w:rPr>
        <w:t>生态保护红线区</w:t>
      </w:r>
      <w:r>
        <w:rPr>
          <w:rFonts w:hint="eastAsia" w:eastAsia="仿宋_GB2312"/>
          <w:color w:val="auto"/>
          <w:sz w:val="30"/>
          <w:szCs w:val="30"/>
          <w:highlight w:val="none"/>
          <w:lang w:eastAsia="zh-CN"/>
        </w:rPr>
        <w:t>新建与保护区无关的</w:t>
      </w:r>
      <w:r>
        <w:rPr>
          <w:rFonts w:hint="eastAsia" w:eastAsia="仿宋_GB2312"/>
          <w:color w:val="auto"/>
          <w:sz w:val="30"/>
          <w:szCs w:val="30"/>
          <w:highlight w:val="none"/>
        </w:rPr>
        <w:t>项目。打造种养结合、生态循环、环境优美的田园生态系统。加强农业生态基础设施建设，保护和改善农田生态系统，</w:t>
      </w:r>
      <w:r>
        <w:rPr>
          <w:rFonts w:hint="eastAsia" w:eastAsia="仿宋_GB2312"/>
          <w:color w:val="auto"/>
          <w:sz w:val="30"/>
          <w:szCs w:val="30"/>
          <w:highlight w:val="none"/>
          <w:lang w:eastAsia="zh-CN"/>
        </w:rPr>
        <w:t>打造规模化农田，提升耕地质量，加强耕地保护。</w:t>
      </w:r>
      <w:r>
        <w:rPr>
          <w:rFonts w:hint="eastAsia" w:eastAsia="仿宋_GB2312"/>
          <w:color w:val="auto"/>
          <w:sz w:val="30"/>
          <w:szCs w:val="30"/>
          <w:highlight w:val="none"/>
        </w:rPr>
        <w:t>大力发展有机生态农业。着力开展国土绿化行动，推进房前屋后、乡村道路、渠道两旁、乡镇和城区绿化及农田生态林网建设。依托国家重点林业工程，对叶城重点生态区域进行集中整治</w:t>
      </w:r>
      <w:bookmarkStart w:id="69" w:name="_Toc419811532"/>
      <w:r>
        <w:rPr>
          <w:rFonts w:hint="eastAsia" w:eastAsia="仿宋_GB2312"/>
          <w:color w:val="auto"/>
          <w:sz w:val="30"/>
          <w:szCs w:val="30"/>
          <w:highlight w:val="none"/>
        </w:rPr>
        <w:t>。“十四五”末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完成人工造林4万亩、</w:t>
      </w:r>
      <w:r>
        <w:rPr>
          <w:rFonts w:hint="eastAsia" w:eastAsia="仿宋_GB2312"/>
          <w:color w:val="auto"/>
          <w:sz w:val="30"/>
          <w:szCs w:val="30"/>
          <w:highlight w:val="none"/>
          <w:lang w:eastAsia="zh-CN"/>
        </w:rPr>
        <w:t>沙化土地治理</w:t>
      </w:r>
      <w:r>
        <w:rPr>
          <w:rFonts w:hint="eastAsia" w:eastAsia="仿宋_GB2312"/>
          <w:color w:val="auto"/>
          <w:sz w:val="30"/>
          <w:szCs w:val="30"/>
          <w:highlight w:val="none"/>
          <w:lang w:val="en-US" w:eastAsia="zh-CN"/>
        </w:rPr>
        <w:t>23万亩</w:t>
      </w:r>
      <w:bookmarkEnd w:id="69"/>
      <w:r>
        <w:rPr>
          <w:rFonts w:hint="eastAsia" w:eastAsia="仿宋_GB2312"/>
          <w:color w:val="auto"/>
          <w:sz w:val="30"/>
          <w:szCs w:val="30"/>
          <w:highlight w:val="none"/>
        </w:rPr>
        <w:t>、</w:t>
      </w:r>
      <w:r>
        <w:rPr>
          <w:rFonts w:hint="eastAsia" w:eastAsia="仿宋_GB2312"/>
          <w:color w:val="auto"/>
          <w:sz w:val="30"/>
          <w:szCs w:val="30"/>
          <w:highlight w:val="none"/>
          <w:lang w:eastAsia="zh-CN"/>
        </w:rPr>
        <w:t>农田林网优化修复</w:t>
      </w:r>
      <w:r>
        <w:rPr>
          <w:rFonts w:hint="eastAsia" w:eastAsia="仿宋_GB2312"/>
          <w:color w:val="auto"/>
          <w:sz w:val="30"/>
          <w:szCs w:val="30"/>
          <w:highlight w:val="none"/>
          <w:lang w:val="en-US" w:eastAsia="zh-CN"/>
        </w:rPr>
        <w:t>2万亩、</w:t>
      </w:r>
      <w:r>
        <w:rPr>
          <w:rFonts w:hint="eastAsia" w:eastAsia="仿宋_GB2312"/>
          <w:color w:val="auto"/>
          <w:sz w:val="30"/>
          <w:szCs w:val="30"/>
          <w:highlight w:val="none"/>
        </w:rPr>
        <w:t>退化林</w:t>
      </w:r>
      <w:r>
        <w:rPr>
          <w:rFonts w:hint="eastAsia" w:eastAsia="仿宋_GB2312"/>
          <w:color w:val="auto"/>
          <w:sz w:val="30"/>
          <w:szCs w:val="30"/>
          <w:highlight w:val="none"/>
          <w:lang w:eastAsia="zh-CN"/>
        </w:rPr>
        <w:t>修复</w:t>
      </w:r>
      <w:r>
        <w:rPr>
          <w:rFonts w:hint="eastAsia" w:eastAsia="仿宋_GB2312"/>
          <w:color w:val="auto"/>
          <w:sz w:val="30"/>
          <w:szCs w:val="30"/>
          <w:highlight w:val="none"/>
        </w:rPr>
        <w:t>2万亩、实施退牧还草50万亩。</w:t>
      </w:r>
    </w:p>
    <w:p>
      <w:pPr>
        <w:pStyle w:val="18"/>
        <w:keepNext w:val="0"/>
        <w:keepLines w:val="0"/>
        <w:shd w:val="clear"/>
        <w:spacing w:beforeLines="50" w:afterLines="50"/>
        <w:rPr>
          <w:rFonts w:hint="default" w:ascii="Times New Roman" w:hAnsi="Times New Roman"/>
          <w:lang w:val="en-US" w:eastAsia="zh-CN"/>
        </w:rPr>
      </w:pPr>
      <w:bookmarkStart w:id="70" w:name="_Toc29423"/>
      <w:r>
        <w:rPr>
          <w:rFonts w:hint="eastAsia" w:ascii="Times New Roman" w:hAnsi="Times New Roman"/>
          <w:lang w:val="zh-CN" w:eastAsia="zh-CN"/>
        </w:rPr>
        <w:t>第</w:t>
      </w:r>
      <w:r>
        <w:rPr>
          <w:rFonts w:hint="eastAsia" w:ascii="Times New Roman" w:hAnsi="Times New Roman"/>
          <w:lang w:val="en-US" w:eastAsia="zh-CN"/>
        </w:rPr>
        <w:t>四</w:t>
      </w:r>
      <w:r>
        <w:rPr>
          <w:rFonts w:hint="eastAsia" w:ascii="Times New Roman" w:hAnsi="Times New Roman"/>
          <w:lang w:val="zh-CN" w:eastAsia="zh-CN"/>
        </w:rPr>
        <w:t xml:space="preserve">节 </w:t>
      </w:r>
      <w:bookmarkEnd w:id="68"/>
      <w:r>
        <w:rPr>
          <w:rFonts w:hint="eastAsia" w:ascii="Times New Roman" w:hAnsi="Times New Roman"/>
          <w:lang w:val="en-US" w:eastAsia="zh-CN"/>
        </w:rPr>
        <w:t>壮大农业农村人才队伍</w:t>
      </w:r>
      <w:bookmarkEnd w:id="70"/>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lang w:val="en-US" w:eastAsia="zh-CN"/>
        </w:rPr>
        <w:t>加大新型职业农民培育</w:t>
      </w:r>
      <w:r>
        <w:rPr>
          <w:rFonts w:hint="eastAsia" w:eastAsia="仿宋_GB2312"/>
          <w:b/>
          <w:color w:val="auto"/>
          <w:sz w:val="30"/>
          <w:szCs w:val="30"/>
          <w:highlight w:val="none"/>
        </w:rPr>
        <w:t>。</w:t>
      </w:r>
      <w:r>
        <w:rPr>
          <w:rFonts w:hint="eastAsia" w:eastAsia="仿宋_GB2312"/>
          <w:color w:val="auto"/>
          <w:sz w:val="30"/>
          <w:szCs w:val="30"/>
          <w:highlight w:val="none"/>
          <w:u w:val="none"/>
          <w:lang w:eastAsia="zh-CN"/>
        </w:rPr>
        <w:t>县委组织部配合人社部门、农业农村部门</w:t>
      </w:r>
      <w:r>
        <w:rPr>
          <w:rFonts w:hint="eastAsia" w:eastAsia="仿宋_GB2312"/>
          <w:color w:val="auto"/>
          <w:sz w:val="30"/>
          <w:szCs w:val="30"/>
          <w:highlight w:val="none"/>
        </w:rPr>
        <w:t>实施新型职业农民培育工程，全面建立职业农民制度，分类型、分层次开展新型职业农民培育。推进新型职业农民和农业专业技术人才继续教育，促进新型职业农民和新型农业经营主体“两新”融合、一体化发展。</w:t>
      </w:r>
      <w:r>
        <w:rPr>
          <w:rFonts w:hint="eastAsia" w:eastAsia="仿宋_GB2312"/>
          <w:color w:val="auto"/>
          <w:sz w:val="30"/>
          <w:szCs w:val="30"/>
          <w:highlight w:val="none"/>
          <w:u w:val="none"/>
        </w:rPr>
        <w:t>引导具有实践经验的电子商务从业者返乡创业，</w:t>
      </w:r>
      <w:r>
        <w:rPr>
          <w:rFonts w:hint="eastAsia" w:eastAsia="仿宋_GB2312"/>
          <w:color w:val="auto"/>
          <w:sz w:val="30"/>
          <w:szCs w:val="30"/>
          <w:highlight w:val="none"/>
        </w:rPr>
        <w:t>引导具有实践经验的电子商务从业者从城镇返乡创业，鼓励发展农村电子商务职业经理人。力争到2025年</w:t>
      </w:r>
      <w:r>
        <w:rPr>
          <w:rFonts w:hint="eastAsia" w:eastAsia="仿宋_GB2312"/>
          <w:color w:val="auto"/>
          <w:sz w:val="30"/>
          <w:szCs w:val="30"/>
          <w:highlight w:val="none"/>
          <w:lang w:eastAsia="zh-CN"/>
        </w:rPr>
        <w:t>底，</w:t>
      </w:r>
      <w:r>
        <w:rPr>
          <w:rFonts w:hint="eastAsia" w:eastAsia="仿宋_GB2312"/>
          <w:color w:val="auto"/>
          <w:sz w:val="30"/>
          <w:szCs w:val="30"/>
          <w:highlight w:val="none"/>
        </w:rPr>
        <w:t>每个村致富带头人达到20-30名。</w:t>
      </w:r>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rPr>
        <w:t>加强农村专业人才队伍建设。</w:t>
      </w:r>
      <w:r>
        <w:rPr>
          <w:rFonts w:hint="eastAsia" w:eastAsia="仿宋_GB2312"/>
          <w:color w:val="auto"/>
          <w:sz w:val="30"/>
          <w:szCs w:val="30"/>
          <w:highlight w:val="none"/>
        </w:rPr>
        <w:t>支持创新团队农业专家、辐射带动农业科研人才培养，基本实现对主要农产品的人才与技术支撑全覆盖。以提高科技素质、职业技能和经营能力为核心，大规模开展创新创业培训。发挥各级“访惠聚”驻村工作队、第一书记作用，推动实施人才干部援疆项目，加大对医生、教师、政法、乡村技术员等专业技术骨干的培训，实施乡村技能培训计划，利用村级文化大舞台、农</w:t>
      </w:r>
      <w:r>
        <w:rPr>
          <w:rFonts w:hint="eastAsia" w:eastAsia="仿宋_GB2312"/>
          <w:color w:val="auto"/>
          <w:sz w:val="30"/>
          <w:szCs w:val="30"/>
          <w:highlight w:val="none"/>
          <w:lang w:val="en-US" w:eastAsia="zh-CN"/>
        </w:rPr>
        <w:t>牧</w:t>
      </w:r>
      <w:r>
        <w:rPr>
          <w:rFonts w:hint="eastAsia" w:eastAsia="仿宋_GB2312"/>
          <w:color w:val="auto"/>
          <w:sz w:val="30"/>
          <w:szCs w:val="30"/>
          <w:highlight w:val="none"/>
        </w:rPr>
        <w:t>民夜校、网络教室、田间地头实训教学等形式，开展农村劳动力培训。</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鼓励社会各类人才投身乡村建设。</w:t>
      </w:r>
      <w:r>
        <w:rPr>
          <w:rFonts w:ascii="仿宋_GB2312" w:hAnsi="仿宋" w:eastAsia="仿宋_GB2312"/>
          <w:color w:val="auto"/>
          <w:sz w:val="30"/>
          <w:szCs w:val="30"/>
          <w:highlight w:val="none"/>
        </w:rPr>
        <w:t>引进高端人才</w:t>
      </w:r>
      <w:r>
        <w:rPr>
          <w:rFonts w:hint="eastAsia" w:ascii="仿宋_GB2312" w:hAnsi="仿宋" w:eastAsia="仿宋_GB2312"/>
          <w:color w:val="auto"/>
          <w:sz w:val="30"/>
          <w:szCs w:val="30"/>
          <w:highlight w:val="none"/>
        </w:rPr>
        <w:t>，</w:t>
      </w:r>
      <w:r>
        <w:rPr>
          <w:rFonts w:ascii="仿宋_GB2312" w:hAnsi="仿宋" w:eastAsia="仿宋_GB2312"/>
          <w:color w:val="auto"/>
          <w:sz w:val="30"/>
          <w:szCs w:val="30"/>
          <w:highlight w:val="none"/>
        </w:rPr>
        <w:t>邀请上海优秀干部人才、技术人才到叶城交流，</w:t>
      </w:r>
      <w:r>
        <w:rPr>
          <w:rFonts w:hint="eastAsia" w:ascii="仿宋_GB2312" w:hAnsi="仿宋" w:eastAsia="仿宋_GB2312"/>
          <w:color w:val="auto"/>
          <w:sz w:val="30"/>
          <w:szCs w:val="30"/>
          <w:highlight w:val="none"/>
        </w:rPr>
        <w:t>“十四五”末</w:t>
      </w:r>
      <w:r>
        <w:rPr>
          <w:rFonts w:hint="eastAsia" w:ascii="仿宋_GB2312" w:hAnsi="仿宋" w:eastAsia="仿宋_GB2312"/>
          <w:color w:val="auto"/>
          <w:sz w:val="30"/>
          <w:szCs w:val="30"/>
          <w:highlight w:val="none"/>
          <w:lang w:eastAsia="zh-CN"/>
        </w:rPr>
        <w:t>，</w:t>
      </w:r>
      <w:r>
        <w:rPr>
          <w:rFonts w:hint="eastAsia" w:ascii="仿宋_GB2312" w:hAnsi="仿宋" w:eastAsia="仿宋_GB2312"/>
          <w:color w:val="auto"/>
          <w:sz w:val="30"/>
          <w:szCs w:val="30"/>
          <w:highlight w:val="none"/>
        </w:rPr>
        <w:t>乡镇一线</w:t>
      </w:r>
      <w:r>
        <w:rPr>
          <w:rFonts w:ascii="仿宋_GB2312" w:hAnsi="仿宋" w:eastAsia="仿宋_GB2312"/>
          <w:color w:val="auto"/>
          <w:sz w:val="30"/>
          <w:szCs w:val="30"/>
          <w:highlight w:val="none"/>
        </w:rPr>
        <w:t>聚集人才</w:t>
      </w:r>
      <w:r>
        <w:rPr>
          <w:rFonts w:hint="eastAsia" w:ascii="仿宋_GB2312" w:hAnsi="仿宋" w:eastAsia="仿宋_GB2312"/>
          <w:color w:val="auto"/>
          <w:sz w:val="30"/>
          <w:szCs w:val="30"/>
          <w:highlight w:val="none"/>
        </w:rPr>
        <w:t>总量突破</w:t>
      </w:r>
      <w:r>
        <w:rPr>
          <w:rFonts w:eastAsia="仿宋_GB2312"/>
          <w:color w:val="auto"/>
          <w:sz w:val="30"/>
          <w:szCs w:val="30"/>
          <w:highlight w:val="none"/>
          <w:u w:val="none"/>
        </w:rPr>
        <w:t>7.</w:t>
      </w:r>
      <w:r>
        <w:rPr>
          <w:rFonts w:hint="eastAsia" w:eastAsia="仿宋_GB2312"/>
          <w:color w:val="auto"/>
          <w:sz w:val="30"/>
          <w:szCs w:val="30"/>
          <w:highlight w:val="none"/>
          <w:u w:val="none"/>
          <w:lang w:val="en-US" w:eastAsia="zh-CN"/>
        </w:rPr>
        <w:t>6</w:t>
      </w:r>
      <w:r>
        <w:rPr>
          <w:rFonts w:hint="eastAsia" w:ascii="仿宋_GB2312" w:hAnsi="仿宋" w:eastAsia="仿宋_GB2312"/>
          <w:color w:val="auto"/>
          <w:sz w:val="30"/>
          <w:szCs w:val="30"/>
          <w:highlight w:val="none"/>
          <w:u w:val="none"/>
        </w:rPr>
        <w:t>万人</w:t>
      </w:r>
      <w:r>
        <w:rPr>
          <w:rFonts w:hint="eastAsia" w:ascii="仿宋_GB2312" w:hAnsi="仿宋" w:eastAsia="仿宋_GB2312"/>
          <w:color w:val="auto"/>
          <w:sz w:val="30"/>
          <w:szCs w:val="30"/>
          <w:highlight w:val="none"/>
        </w:rPr>
        <w:t>。</w:t>
      </w:r>
      <w:r>
        <w:rPr>
          <w:rFonts w:hint="eastAsia" w:eastAsia="仿宋_GB2312"/>
          <w:color w:val="auto"/>
          <w:sz w:val="30"/>
          <w:szCs w:val="30"/>
          <w:highlight w:val="none"/>
        </w:rPr>
        <w:t>研究制定吸引区内外高层次人才到叶城县挂任科技副职的激励措施，探索选派科技副镇长和经济园区科技副职。加强科技特派员队伍建设，构建科技特派员服务体系。全面建立县城医生、教师、科技、文化人员等定期服务乡村机制，推动城乡、区域、校地之间人才培养合作与交流。</w:t>
      </w:r>
      <w:r>
        <w:rPr>
          <w:rFonts w:hint="eastAsia" w:eastAsia="仿宋_GB2312"/>
          <w:color w:val="auto"/>
          <w:sz w:val="30"/>
          <w:szCs w:val="30"/>
          <w:highlight w:val="none"/>
          <w:u w:val="none"/>
        </w:rPr>
        <w:t>鼓励大学生村官、大学生志愿服务西部计划</w:t>
      </w:r>
      <w:r>
        <w:rPr>
          <w:rFonts w:hint="eastAsia" w:eastAsia="仿宋_GB2312"/>
          <w:color w:val="auto"/>
          <w:sz w:val="30"/>
          <w:szCs w:val="30"/>
          <w:highlight w:val="none"/>
          <w:u w:val="none"/>
          <w:lang w:eastAsia="zh-CN"/>
        </w:rPr>
        <w:t>、内地</w:t>
      </w:r>
      <w:r>
        <w:rPr>
          <w:rFonts w:hint="eastAsia" w:eastAsia="仿宋_GB2312"/>
          <w:color w:val="auto"/>
          <w:sz w:val="30"/>
          <w:szCs w:val="30"/>
          <w:highlight w:val="none"/>
          <w:u w:val="none"/>
        </w:rPr>
        <w:t>高校毕业生</w:t>
      </w:r>
      <w:r>
        <w:rPr>
          <w:rFonts w:hint="eastAsia" w:eastAsia="仿宋_GB2312"/>
          <w:color w:val="auto"/>
          <w:sz w:val="30"/>
          <w:szCs w:val="30"/>
          <w:highlight w:val="none"/>
          <w:u w:val="none"/>
          <w:lang w:eastAsia="zh-CN"/>
        </w:rPr>
        <w:t>等</w:t>
      </w:r>
      <w:r>
        <w:rPr>
          <w:rFonts w:hint="eastAsia" w:eastAsia="仿宋_GB2312"/>
          <w:color w:val="auto"/>
          <w:sz w:val="30"/>
          <w:szCs w:val="30"/>
          <w:highlight w:val="none"/>
          <w:u w:val="none"/>
        </w:rPr>
        <w:t>基层服务项目人员，</w:t>
      </w:r>
      <w:r>
        <w:rPr>
          <w:rFonts w:hint="eastAsia" w:eastAsia="仿宋_GB2312"/>
          <w:color w:val="auto"/>
          <w:sz w:val="30"/>
          <w:szCs w:val="30"/>
          <w:highlight w:val="none"/>
          <w:u w:val="none"/>
          <w:lang w:eastAsia="zh-CN"/>
        </w:rPr>
        <w:t>服务</w:t>
      </w:r>
      <w:r>
        <w:rPr>
          <w:rFonts w:hint="eastAsia" w:eastAsia="仿宋_GB2312"/>
          <w:color w:val="auto"/>
          <w:sz w:val="30"/>
          <w:szCs w:val="30"/>
          <w:highlight w:val="none"/>
          <w:u w:val="none"/>
        </w:rPr>
        <w:t>期满后留在乡镇工作。</w:t>
      </w:r>
      <w:r>
        <w:rPr>
          <w:rFonts w:hint="eastAsia" w:eastAsia="仿宋_GB2312"/>
          <w:color w:val="auto"/>
          <w:sz w:val="30"/>
          <w:szCs w:val="30"/>
          <w:highlight w:val="none"/>
        </w:rPr>
        <w:t>实施“叶城籍在外人员回乡服务计划”，引导支持企业家、医生教师、技能人才等，通过下乡担任志愿者、投资兴业、捐资捐物等方式服务乡村振兴事业。实施“村村都有好青年”选培计划，吸引各行各业优秀青年</w:t>
      </w:r>
      <w:r>
        <w:rPr>
          <w:rFonts w:hint="eastAsia" w:eastAsia="仿宋_GB2312"/>
          <w:color w:val="auto"/>
          <w:sz w:val="30"/>
          <w:szCs w:val="30"/>
          <w:highlight w:val="none"/>
          <w:u w:val="none"/>
        </w:rPr>
        <w:t>返乡创业</w:t>
      </w:r>
      <w:r>
        <w:rPr>
          <w:rFonts w:hint="eastAsia" w:eastAsia="仿宋_GB2312"/>
          <w:color w:val="auto"/>
          <w:sz w:val="30"/>
          <w:szCs w:val="30"/>
          <w:highlight w:val="none"/>
        </w:rPr>
        <w:t>。鼓励社会事业人才服务基层，针对急需人才设立“特岗”，开展科技人员下乡活动。“十四五”末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力争全县人才资源总量突破7.6万人，增长50%。</w:t>
      </w:r>
    </w:p>
    <w:p>
      <w:pPr>
        <w:pStyle w:val="18"/>
        <w:keepNext w:val="0"/>
        <w:keepLines w:val="0"/>
        <w:shd w:val="clear"/>
        <w:spacing w:beforeLines="50" w:afterLines="50"/>
        <w:rPr>
          <w:rFonts w:hint="default" w:ascii="Times New Roman" w:hAnsi="Times New Roman"/>
          <w:lang w:val="en-US" w:eastAsia="zh-CN"/>
        </w:rPr>
      </w:pPr>
      <w:bookmarkStart w:id="71" w:name="_Toc2706"/>
      <w:bookmarkStart w:id="72" w:name="_Toc6350"/>
      <w:r>
        <w:rPr>
          <w:rFonts w:hint="eastAsia" w:ascii="Times New Roman" w:hAnsi="Times New Roman"/>
          <w:lang w:val="zh-CN" w:eastAsia="zh-CN"/>
        </w:rPr>
        <w:t>第</w:t>
      </w:r>
      <w:r>
        <w:rPr>
          <w:rFonts w:hint="eastAsia" w:ascii="Times New Roman" w:hAnsi="Times New Roman"/>
          <w:lang w:val="en-US" w:eastAsia="zh-CN"/>
        </w:rPr>
        <w:t>五</w:t>
      </w:r>
      <w:r>
        <w:rPr>
          <w:rFonts w:hint="eastAsia" w:ascii="Times New Roman" w:hAnsi="Times New Roman"/>
          <w:lang w:val="zh-CN" w:eastAsia="zh-CN"/>
        </w:rPr>
        <w:t xml:space="preserve">节 </w:t>
      </w:r>
      <w:bookmarkEnd w:id="71"/>
      <w:r>
        <w:rPr>
          <w:rFonts w:hint="eastAsia" w:ascii="Times New Roman" w:hAnsi="Times New Roman"/>
          <w:lang w:val="en-US" w:eastAsia="zh-CN"/>
        </w:rPr>
        <w:t>提升乡村治理现代化水平</w:t>
      </w:r>
      <w:bookmarkEnd w:id="72"/>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right="0" w:rightChars="0" w:firstLine="602" w:firstLineChars="200"/>
        <w:textAlignment w:val="auto"/>
        <w:rPr>
          <w:rFonts w:hint="eastAsia" w:eastAsia="仿宋_GB2312"/>
          <w:color w:val="auto"/>
          <w:sz w:val="30"/>
          <w:szCs w:val="30"/>
          <w:highlight w:val="none"/>
          <w:u w:val="none"/>
        </w:rPr>
      </w:pPr>
      <w:r>
        <w:rPr>
          <w:rFonts w:hint="eastAsia" w:eastAsia="仿宋_GB2312"/>
          <w:b/>
          <w:color w:val="auto"/>
          <w:sz w:val="30"/>
          <w:szCs w:val="30"/>
          <w:highlight w:val="none"/>
        </w:rPr>
        <w:t>加强农村基层党组织建设。</w:t>
      </w:r>
      <w:r>
        <w:rPr>
          <w:rFonts w:hint="eastAsia" w:eastAsia="仿宋_GB2312"/>
          <w:color w:val="auto"/>
          <w:sz w:val="30"/>
          <w:szCs w:val="30"/>
          <w:highlight w:val="none"/>
        </w:rPr>
        <w:t>结合“星级化”晋位增星，运用创建成果，做好“五好”村党组织评选，力争到“十四五”末，有200个村达到“五好”目标，60%的村（社区）达到“八星级”，基层组织成为稳疆固边、振兴乡村的坚强战斗堡垒。通过优先从机关、企事业单位选派优秀国家干部到村任职，从乡镇干部中重点选拔，使村级致富能手、返乡大学生、退役军人成为村党组织书记三种途径，选优配强村级党组织书记，条件成熟的通过法定程序实现党组织书记、村委会主任“一肩挑”。坚持整顿后进支部与增加先进支部、提升中间支部同步推进，实现整体提升。加强村民小组长队伍建设，推动村民小组长成为致富能手，到2025年</w:t>
      </w:r>
      <w:r>
        <w:rPr>
          <w:rFonts w:hint="eastAsia" w:eastAsia="仿宋_GB2312"/>
          <w:color w:val="auto"/>
          <w:sz w:val="30"/>
          <w:szCs w:val="30"/>
          <w:highlight w:val="none"/>
          <w:lang w:val="en-US" w:eastAsia="zh-CN"/>
        </w:rPr>
        <w:t>末，</w:t>
      </w:r>
      <w:r>
        <w:rPr>
          <w:rFonts w:hint="eastAsia" w:eastAsia="仿宋_GB2312"/>
          <w:color w:val="auto"/>
          <w:sz w:val="30"/>
          <w:szCs w:val="30"/>
          <w:highlight w:val="none"/>
        </w:rPr>
        <w:t>实现村民小组长党员化，培养储备一批村级后备力量，360个村（社区）党员教育基层站点设施更新配套，增加26个村（社区）党员教育基层站点。</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rPr>
        <w:t>推进平安乡村建设。</w:t>
      </w:r>
      <w:r>
        <w:rPr>
          <w:rFonts w:hint="eastAsia" w:eastAsia="仿宋_GB2312"/>
          <w:color w:val="auto"/>
          <w:sz w:val="30"/>
          <w:szCs w:val="30"/>
          <w:highlight w:val="none"/>
        </w:rPr>
        <w:t>进一步深化“平安乡镇”“平安村”“平安市场”“平安校园”“平安家庭”等创建活动。大力发展群众性治安信息员、综治协管员、民兵等群防群治队伍，广泛动员农村“四老人员”、治安积极分子参与乡村平安建设工作。健全落实社会治安综合治理领导责任制。健全矛盾纠纷多元化解机制，深入排查化解各类矛盾纠纷，</w:t>
      </w:r>
      <w:r>
        <w:rPr>
          <w:rFonts w:hint="eastAsia" w:eastAsia="仿宋_GB2312"/>
          <w:color w:val="auto"/>
          <w:sz w:val="30"/>
          <w:szCs w:val="30"/>
          <w:highlight w:val="none"/>
          <w:lang w:eastAsia="zh-CN"/>
        </w:rPr>
        <w:t>全面创建“枫桥式公安派出所”，争取命名一批自治区级“枫桥式公安派出所”，争创全国“枫桥式公安派出所”</w:t>
      </w:r>
      <w:r>
        <w:rPr>
          <w:rFonts w:hint="eastAsia" w:eastAsia="仿宋_GB2312"/>
          <w:color w:val="auto"/>
          <w:sz w:val="30"/>
          <w:szCs w:val="30"/>
          <w:highlight w:val="none"/>
        </w:rPr>
        <w:t>。健全乡村安全生产责任体系，加强乡村警务、消防、安全生产风险管理，健全隐患排查治理双重预防机制，狠抓安全生产专项整治，坚决遏制重特大安全事故发生。</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73" w:name="_Toc3770"/>
      <w:bookmarkStart w:id="74" w:name="_Toc22690"/>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五</w:t>
      </w:r>
      <w:r>
        <w:rPr>
          <w:rFonts w:hint="eastAsia" w:ascii="Times New Roman" w:hAnsi="Times New Roman" w:eastAsia="黑体" w:cs="Times New Roman"/>
          <w:b w:val="0"/>
          <w:bCs w:val="0"/>
          <w:sz w:val="30"/>
          <w:szCs w:val="30"/>
          <w:lang w:val="en-US" w:eastAsia="zh-CN"/>
        </w:rPr>
        <w:t>章 推进工业</w:t>
      </w:r>
      <w:r>
        <w:rPr>
          <w:rFonts w:hint="eastAsia" w:eastAsia="黑体" w:cs="Times New Roman"/>
          <w:b w:val="0"/>
          <w:bCs w:val="0"/>
          <w:sz w:val="30"/>
          <w:szCs w:val="30"/>
          <w:lang w:val="en-US" w:eastAsia="zh-CN"/>
        </w:rPr>
        <w:t>强基</w:t>
      </w:r>
      <w:r>
        <w:rPr>
          <w:rFonts w:hint="eastAsia" w:ascii="Times New Roman" w:hAnsi="Times New Roman" w:eastAsia="黑体" w:cs="Times New Roman"/>
          <w:b w:val="0"/>
          <w:bCs w:val="0"/>
          <w:sz w:val="30"/>
          <w:szCs w:val="30"/>
          <w:lang w:val="en-US" w:eastAsia="zh-CN"/>
        </w:rPr>
        <w:t>增效，构筑工业发展新格局</w:t>
      </w:r>
      <w:bookmarkEnd w:id="73"/>
      <w:bookmarkEnd w:id="74"/>
    </w:p>
    <w:p>
      <w:pPr>
        <w:keepNext w:val="0"/>
        <w:keepLines w:val="0"/>
        <w:pageBreakBefore w:val="0"/>
        <w:shd w:val="clear"/>
        <w:kinsoku/>
        <w:wordWrap/>
        <w:autoSpaceDE/>
        <w:autoSpaceDN/>
        <w:bidi w:val="0"/>
        <w:adjustRightInd w:val="0"/>
        <w:snapToGrid w:val="0"/>
        <w:spacing w:line="560" w:lineRule="exact"/>
        <w:ind w:firstLine="600" w:firstLineChars="200"/>
        <w:textAlignment w:val="auto"/>
        <w:rPr>
          <w:rFonts w:hint="eastAsia" w:eastAsia="仿宋_GB2312"/>
          <w:color w:val="auto"/>
          <w:sz w:val="30"/>
          <w:szCs w:val="30"/>
          <w:highlight w:val="none"/>
          <w:lang w:eastAsia="zh-CN"/>
        </w:rPr>
      </w:pPr>
      <w:r>
        <w:rPr>
          <w:rFonts w:hint="eastAsia" w:eastAsia="仿宋_GB2312"/>
          <w:color w:val="auto"/>
          <w:sz w:val="30"/>
          <w:szCs w:val="30"/>
          <w:highlight w:val="none"/>
        </w:rPr>
        <w:t>深入实施“工业强县”战略，</w:t>
      </w:r>
      <w:r>
        <w:rPr>
          <w:rFonts w:hint="eastAsia" w:eastAsia="仿宋_GB2312"/>
          <w:color w:val="auto"/>
          <w:kern w:val="0"/>
          <w:sz w:val="30"/>
          <w:szCs w:val="30"/>
          <w:highlight w:val="none"/>
        </w:rPr>
        <w:t>不断</w:t>
      </w:r>
      <w:r>
        <w:rPr>
          <w:rFonts w:hint="eastAsia" w:eastAsia="仿宋_GB2312"/>
          <w:color w:val="auto"/>
          <w:kern w:val="0"/>
          <w:sz w:val="30"/>
          <w:szCs w:val="30"/>
          <w:highlight w:val="none"/>
          <w:lang w:val="en-US" w:eastAsia="zh-CN"/>
        </w:rPr>
        <w:t>提升</w:t>
      </w:r>
      <w:r>
        <w:rPr>
          <w:rFonts w:hint="eastAsia" w:eastAsia="仿宋_GB2312"/>
          <w:color w:val="auto"/>
          <w:kern w:val="0"/>
          <w:sz w:val="30"/>
          <w:szCs w:val="30"/>
          <w:highlight w:val="none"/>
        </w:rPr>
        <w:t>“一区五园”功能作用，</w:t>
      </w:r>
      <w:r>
        <w:rPr>
          <w:rFonts w:hint="eastAsia" w:eastAsia="仿宋_GB2312"/>
          <w:color w:val="auto"/>
          <w:sz w:val="30"/>
          <w:szCs w:val="30"/>
          <w:highlight w:val="none"/>
        </w:rPr>
        <w:t>加快推进新型工业化，以工业园区为载体，改造</w:t>
      </w:r>
      <w:r>
        <w:rPr>
          <w:rFonts w:hint="eastAsia" w:eastAsia="仿宋_GB2312"/>
          <w:color w:val="auto"/>
          <w:sz w:val="30"/>
          <w:szCs w:val="30"/>
          <w:highlight w:val="none"/>
          <w:lang w:val="en-US" w:eastAsia="zh-CN"/>
        </w:rPr>
        <w:t>升级</w:t>
      </w:r>
      <w:r>
        <w:rPr>
          <w:rFonts w:hint="eastAsia" w:eastAsia="仿宋_GB2312"/>
          <w:color w:val="auto"/>
          <w:sz w:val="30"/>
          <w:szCs w:val="30"/>
          <w:highlight w:val="none"/>
        </w:rPr>
        <w:t>建材、服装、农副产品加工、其他轻工等传统产业，培育拓展组装加工、优势轻工、新型建材、高新技术等新兴产业，全力构筑叶城县工业发展新格局</w:t>
      </w:r>
      <w:r>
        <w:rPr>
          <w:rFonts w:hint="eastAsia" w:eastAsia="仿宋_GB2312"/>
          <w:color w:val="auto"/>
          <w:sz w:val="30"/>
          <w:szCs w:val="30"/>
          <w:highlight w:val="none"/>
          <w:lang w:eastAsia="zh-CN"/>
        </w:rPr>
        <w:t>。</w:t>
      </w:r>
    </w:p>
    <w:p>
      <w:pPr>
        <w:pStyle w:val="18"/>
        <w:keepNext w:val="0"/>
        <w:keepLines w:val="0"/>
        <w:shd w:val="clear"/>
        <w:spacing w:beforeLines="50" w:afterLines="50"/>
        <w:rPr>
          <w:rFonts w:hint="eastAsia" w:ascii="Times New Roman" w:hAnsi="Times New Roman"/>
          <w:lang w:val="en-US" w:eastAsia="zh-CN"/>
        </w:rPr>
      </w:pPr>
      <w:bookmarkStart w:id="75" w:name="_Toc25736"/>
      <w:bookmarkStart w:id="76" w:name="_Toc18793_WPSOffice_Level2"/>
      <w:bookmarkStart w:id="77" w:name="_Toc25805"/>
      <w:bookmarkStart w:id="78" w:name="_Toc275426441"/>
      <w:r>
        <w:rPr>
          <w:rFonts w:hint="eastAsia" w:ascii="Times New Roman" w:hAnsi="Times New Roman"/>
          <w:lang w:val="en-US" w:eastAsia="zh-CN"/>
        </w:rPr>
        <w:t>第一节 优化产业布局</w:t>
      </w:r>
      <w:bookmarkEnd w:id="75"/>
      <w:bookmarkEnd w:id="76"/>
      <w:bookmarkEnd w:id="77"/>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结合叶城工业产业发展现状，依托上海援疆优势，突出产业协同发展，构建叶尔羌河流域经济带，重点培育壮大纺织服装、电子加工等劳动密集型产业和核桃、石榴、畜禽等农副产品精深加工产业，形成以工业经济和物流经济为支撑的产业聚集区。引进新技术、新工艺和信息化改造提升优势传统产业，将产业优势转化为经济优势。促进农牧业与工业的深度融合，注重产品的品牌效应，培育和发展地方名牌产品。集中力量建设喀什地区乃至南疆黑色及有色金属矿产开发加工基地。大力发展高新技术产业、组装加工制造业以及战略性新兴产业。</w:t>
      </w:r>
      <w:r>
        <w:rPr>
          <w:rFonts w:hint="eastAsia" w:eastAsia="仿宋_GB2312" w:cs="Times New Roman"/>
          <w:b w:val="0"/>
          <w:bCs w:val="0"/>
          <w:color w:val="auto"/>
          <w:kern w:val="2"/>
          <w:sz w:val="30"/>
          <w:szCs w:val="30"/>
          <w:highlight w:val="none"/>
          <w:lang w:val="en-US" w:eastAsia="zh-CN" w:bidi="ar-SA"/>
        </w:rPr>
        <w:t>重点扶持美嘉乳业、爱昆实业、华凌牛业等农副产品加工骨干龙头企业，推动特色林果业、现代化畜牧业全产业链发展。</w:t>
      </w:r>
    </w:p>
    <w:p>
      <w:pPr>
        <w:pStyle w:val="18"/>
        <w:keepNext w:val="0"/>
        <w:keepLines w:val="0"/>
        <w:shd w:val="clear"/>
        <w:spacing w:beforeLines="50" w:afterLines="50"/>
        <w:rPr>
          <w:rFonts w:hint="default" w:ascii="Times New Roman" w:hAnsi="Times New Roman"/>
          <w:lang w:val="en-US" w:eastAsia="zh-CN"/>
        </w:rPr>
      </w:pPr>
      <w:bookmarkStart w:id="79" w:name="_Toc9985"/>
      <w:bookmarkStart w:id="80" w:name="_Toc17293_WPSOffice_Level2"/>
      <w:bookmarkStart w:id="81" w:name="_Toc12226"/>
      <w:r>
        <w:rPr>
          <w:rFonts w:hint="eastAsia" w:ascii="Times New Roman" w:hAnsi="Times New Roman"/>
          <w:lang w:val="en-US" w:eastAsia="zh-CN"/>
        </w:rPr>
        <w:t xml:space="preserve">第二节 </w:t>
      </w:r>
      <w:bookmarkEnd w:id="79"/>
      <w:bookmarkEnd w:id="80"/>
      <w:r>
        <w:rPr>
          <w:rFonts w:hint="eastAsia" w:ascii="Times New Roman" w:hAnsi="Times New Roman"/>
          <w:lang w:val="en-US" w:eastAsia="zh-CN"/>
        </w:rPr>
        <w:t>大力发展农产品精深加工</w:t>
      </w:r>
      <w:bookmarkEnd w:id="81"/>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加快推进现代农业全产业链发展，大力推进“六大基地”“八大体系”建设，着力补齐农畜产品生产、加工、销售等各个环节的短板，不断强化农业支撑保障能力，力争“十四五”期间</w:t>
      </w:r>
      <w:r>
        <w:rPr>
          <w:rFonts w:hint="eastAsia" w:eastAsia="仿宋_GB2312" w:cs="Times New Roman"/>
          <w:b w:val="0"/>
          <w:bCs w:val="0"/>
          <w:color w:val="auto"/>
          <w:kern w:val="2"/>
          <w:sz w:val="30"/>
          <w:szCs w:val="30"/>
          <w:highlight w:val="none"/>
          <w:lang w:val="en-US" w:eastAsia="zh-CN" w:bidi="ar-SA"/>
        </w:rPr>
        <w:t>，</w:t>
      </w:r>
      <w:r>
        <w:rPr>
          <w:rFonts w:hint="eastAsia" w:ascii="Times New Roman" w:hAnsi="Times New Roman" w:eastAsia="仿宋_GB2312" w:cs="Times New Roman"/>
          <w:b w:val="0"/>
          <w:bCs w:val="0"/>
          <w:color w:val="auto"/>
          <w:kern w:val="2"/>
          <w:sz w:val="30"/>
          <w:szCs w:val="30"/>
          <w:highlight w:val="none"/>
          <w:lang w:val="en-US" w:eastAsia="zh-CN" w:bidi="ar-SA"/>
        </w:rPr>
        <w:t>产业结构更加优化，全产业链发展形成规模，农业产业对经济增长的贡献率成倍数增长。</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02" w:firstLineChars="200"/>
        <w:textAlignment w:val="auto"/>
        <w:rPr>
          <w:rFonts w:hint="default" w:ascii="Times New Roman" w:hAnsi="Times New Roman" w:eastAsia="仿宋_GB2312" w:cs="Times New Roman"/>
          <w:b w:val="0"/>
          <w:bCs w:val="0"/>
          <w:color w:val="auto"/>
          <w:kern w:val="2"/>
          <w:sz w:val="30"/>
          <w:szCs w:val="30"/>
          <w:highlight w:val="none"/>
          <w:lang w:val="en-US" w:eastAsia="zh-CN" w:bidi="ar-SA"/>
        </w:rPr>
      </w:pPr>
      <w:r>
        <w:rPr>
          <w:rFonts w:hint="eastAsia" w:ascii="方正仿宋_GBK" w:hAnsi="方正仿宋_GBK" w:eastAsia="方正仿宋_GBK" w:cs="方正仿宋_GBK"/>
          <w:b/>
          <w:bCs/>
          <w:color w:val="auto"/>
          <w:sz w:val="30"/>
          <w:szCs w:val="30"/>
          <w:u w:val="none" w:color="auto"/>
          <w:lang w:val="en-US" w:eastAsia="zh-CN"/>
        </w:rPr>
        <w:t>做大做强农副产品精深加工业。</w:t>
      </w:r>
      <w:r>
        <w:rPr>
          <w:rFonts w:hint="eastAsia" w:ascii="Times New Roman" w:hAnsi="Times New Roman" w:eastAsia="仿宋_GB2312" w:cs="Times New Roman"/>
          <w:b w:val="0"/>
          <w:bCs w:val="0"/>
          <w:color w:val="auto"/>
          <w:kern w:val="2"/>
          <w:sz w:val="30"/>
          <w:szCs w:val="30"/>
          <w:highlight w:val="none"/>
          <w:lang w:val="en-US" w:eastAsia="zh-CN" w:bidi="ar-SA"/>
        </w:rPr>
        <w:t>着力提高农产品附加值、延伸农业产业链，加快发展农副产品加工产业，</w:t>
      </w:r>
      <w:r>
        <w:rPr>
          <w:rFonts w:hint="default" w:ascii="Times New Roman" w:hAnsi="Times New Roman" w:eastAsia="仿宋_GB2312" w:cs="Times New Roman"/>
          <w:b w:val="0"/>
          <w:bCs w:val="0"/>
          <w:color w:val="auto"/>
          <w:kern w:val="2"/>
          <w:sz w:val="30"/>
          <w:szCs w:val="30"/>
          <w:highlight w:val="none"/>
          <w:lang w:val="en-US" w:eastAsia="zh-CN" w:bidi="ar-SA"/>
        </w:rPr>
        <w:t>到2025年，农副产品加工率达到</w:t>
      </w:r>
      <w:r>
        <w:rPr>
          <w:rFonts w:hint="eastAsia" w:eastAsia="仿宋_GB2312" w:cs="Times New Roman"/>
          <w:b w:val="0"/>
          <w:bCs w:val="0"/>
          <w:color w:val="auto"/>
          <w:kern w:val="2"/>
          <w:sz w:val="30"/>
          <w:szCs w:val="30"/>
          <w:highlight w:val="none"/>
          <w:lang w:val="en-US" w:eastAsia="zh-CN" w:bidi="ar-SA"/>
        </w:rPr>
        <w:t>50</w:t>
      </w:r>
      <w:r>
        <w:rPr>
          <w:rFonts w:hint="default" w:ascii="Times New Roman" w:hAnsi="Times New Roman" w:eastAsia="仿宋_GB2312" w:cs="Times New Roman"/>
          <w:b w:val="0"/>
          <w:bCs w:val="0"/>
          <w:color w:val="auto"/>
          <w:kern w:val="2"/>
          <w:sz w:val="30"/>
          <w:szCs w:val="30"/>
          <w:highlight w:val="none"/>
          <w:lang w:val="en-US" w:eastAsia="zh-CN" w:bidi="ar-SA"/>
        </w:rPr>
        <w:t>%以</w:t>
      </w:r>
      <w:r>
        <w:rPr>
          <w:rFonts w:hint="eastAsia" w:ascii="Times New Roman" w:hAnsi="Times New Roman" w:eastAsia="仿宋_GB2312" w:cs="Times New Roman"/>
          <w:b w:val="0"/>
          <w:bCs w:val="0"/>
          <w:color w:val="auto"/>
          <w:kern w:val="2"/>
          <w:sz w:val="30"/>
          <w:szCs w:val="30"/>
          <w:highlight w:val="none"/>
          <w:lang w:val="en-US" w:eastAsia="zh-CN" w:bidi="ar-SA"/>
        </w:rPr>
        <w:t>上。继续实施农产品加工业提升行动，统筹推进农产品初加工、精深加工、综合利用加工，形成林果、畜禽、粮油、区域特色农产品等精深加工优势产业。加强标准化生产基地建设，引进培育一</w:t>
      </w:r>
      <w:r>
        <w:rPr>
          <w:rFonts w:hint="eastAsia" w:eastAsia="仿宋_GB2312" w:cs="Times New Roman"/>
          <w:b w:val="0"/>
          <w:bCs w:val="0"/>
          <w:color w:val="auto"/>
          <w:kern w:val="2"/>
          <w:sz w:val="30"/>
          <w:szCs w:val="30"/>
          <w:highlight w:val="none"/>
          <w:lang w:val="en-US" w:eastAsia="zh-CN" w:bidi="ar-SA"/>
        </w:rPr>
        <w:t>批</w:t>
      </w:r>
      <w:r>
        <w:rPr>
          <w:rFonts w:hint="eastAsia" w:ascii="Times New Roman" w:hAnsi="Times New Roman" w:eastAsia="仿宋_GB2312" w:cs="Times New Roman"/>
          <w:b w:val="0"/>
          <w:bCs w:val="0"/>
          <w:color w:val="auto"/>
          <w:kern w:val="2"/>
          <w:sz w:val="30"/>
          <w:szCs w:val="30"/>
          <w:highlight w:val="none"/>
          <w:lang w:val="en-US" w:eastAsia="zh-CN" w:bidi="ar-SA"/>
        </w:rPr>
        <w:t>农业产业化龙头企业。加快推动特色林果加工业标准化、规范化、产业化、品牌化发展，大力开发核桃、红枣、石榴等产品的制粉、饮料、功能性成分提取等精深加工产品，不断提高林果加工产品附加值。依托羊、牛、鸽等畜禽资源，大力发展各类特色肉制品、奶制品等精深加工，打造集养殖、繁殖、加工、销售于一体的畜禽制品产业链。继续推动粮油加工向专用化、高营养化方向发展，加强企业技术升级改造，拓展精深加工领域，重点开发小麦淀粉、磷脂、植物蛋白等精深加工产品及加工副产物的综合利用。加大培育马铃薯、红薯、蔬菜等特色农产品加工，推动蔬菜脱水、制干、制酱等，加快推进马铃薯等薯类产品主食化，促进产销一体化。建设高起点、高水平现代农副产品加工业，开展农产品精深加工，拉长产业链。积极发展农产品精深加工业。依托叶城核桃、杏子、石榴等优质农产品资源优势，着力推进核桃粉、核桃油、活性炭、核桃休闲食品等核桃深加工业；依托果木果枝资源，发展食用菌种植及高密度压缩板加工业；依托特色畜禽资源，发展牦牛、上树鸡、鸭、鹅等特色畜禽食品精深加工业，建设完善的屠宰、冷藏、保鲜、肉食品精深加工、分割、真空包装产业链条。积极支持培育和引进龙头企业。培育和引进一批实力雄厚、技术先进、带动能力强的大企业、大集团龙头企业，力争“十四五”末，申报国家级种植业龙头企业1家，自治区级龙头企业3家，地区级龙头企业7家。畜牧业龙头企业由1家增加到5家，其中肉食品深加工2家、肉羊养殖繁育1家、鸽子养殖繁育1家、循环有机农产品生产加工1家。林果业加工龙头企业由2家发展到3-5家，规上工业企业</w:t>
      </w:r>
      <w:r>
        <w:rPr>
          <w:rFonts w:hint="eastAsia" w:eastAsia="仿宋_GB2312" w:cs="Times New Roman"/>
          <w:b w:val="0"/>
          <w:bCs w:val="0"/>
          <w:color w:val="auto"/>
          <w:kern w:val="2"/>
          <w:sz w:val="30"/>
          <w:szCs w:val="30"/>
          <w:highlight w:val="none"/>
          <w:lang w:val="en-US" w:eastAsia="zh-CN" w:bidi="ar-SA"/>
        </w:rPr>
        <w:t>年均</w:t>
      </w:r>
      <w:r>
        <w:rPr>
          <w:rFonts w:hint="eastAsia" w:ascii="Times New Roman" w:hAnsi="Times New Roman" w:eastAsia="仿宋_GB2312" w:cs="Times New Roman"/>
          <w:b w:val="0"/>
          <w:bCs w:val="0"/>
          <w:color w:val="auto"/>
          <w:kern w:val="2"/>
          <w:sz w:val="30"/>
          <w:szCs w:val="30"/>
          <w:highlight w:val="none"/>
          <w:lang w:val="en-US" w:eastAsia="zh-CN" w:bidi="ar-SA"/>
        </w:rPr>
        <w:t>增长6%。</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left="0" w:leftChars="0" w:firstLine="602" w:firstLineChars="200"/>
        <w:textAlignment w:val="auto"/>
        <w:rPr>
          <w:rFonts w:hint="default"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bCs/>
          <w:color w:val="auto"/>
          <w:kern w:val="2"/>
          <w:sz w:val="30"/>
          <w:szCs w:val="30"/>
          <w:highlight w:val="none"/>
          <w:lang w:val="en-US" w:eastAsia="zh-CN" w:bidi="ar-SA"/>
        </w:rPr>
        <w:t>培育壮大以馕为主的特色食品加工业。</w:t>
      </w:r>
      <w:r>
        <w:rPr>
          <w:rFonts w:hint="eastAsia" w:ascii="Times New Roman" w:hAnsi="Times New Roman" w:eastAsia="仿宋_GB2312" w:cs="Times New Roman"/>
          <w:b w:val="0"/>
          <w:bCs w:val="0"/>
          <w:color w:val="auto"/>
          <w:kern w:val="2"/>
          <w:sz w:val="30"/>
          <w:szCs w:val="30"/>
          <w:highlight w:val="none"/>
          <w:lang w:val="en-US" w:eastAsia="zh-CN" w:bidi="ar-SA"/>
        </w:rPr>
        <w:t>形成从小麦到面粉，馕、糕点、面食等食品加工体系。引进和培育大型小麦加工龙头企业，整合、淘汰面粉加工小作坊，加快推进小麦从种植到餐桌的全产业链发展。</w:t>
      </w:r>
      <w:r>
        <w:rPr>
          <w:rFonts w:hint="eastAsia" w:eastAsia="仿宋_GB2312" w:cs="Times New Roman"/>
          <w:b w:val="0"/>
          <w:bCs w:val="0"/>
          <w:color w:val="auto"/>
          <w:kern w:val="2"/>
          <w:sz w:val="30"/>
          <w:szCs w:val="30"/>
          <w:highlight w:val="none"/>
          <w:lang w:val="en-US" w:eastAsia="zh-CN" w:bidi="ar-SA"/>
        </w:rPr>
        <w:t>壮大以馕为主的特色食品加工业，形成从小麦到面粉，</w:t>
      </w:r>
      <w:r>
        <w:rPr>
          <w:rFonts w:hint="eastAsia" w:ascii="Times New Roman" w:hAnsi="Times New Roman" w:eastAsia="仿宋_GB2312" w:cs="Times New Roman"/>
          <w:b w:val="0"/>
          <w:bCs w:val="0"/>
          <w:color w:val="auto"/>
          <w:kern w:val="2"/>
          <w:sz w:val="30"/>
          <w:szCs w:val="30"/>
          <w:highlight w:val="none"/>
          <w:lang w:val="en-US" w:eastAsia="zh-CN" w:bidi="ar-SA"/>
        </w:rPr>
        <w:t>馕、</w:t>
      </w:r>
      <w:r>
        <w:rPr>
          <w:rFonts w:hint="eastAsia" w:eastAsia="仿宋_GB2312" w:cs="Times New Roman"/>
          <w:b w:val="0"/>
          <w:bCs w:val="0"/>
          <w:color w:val="auto"/>
          <w:kern w:val="2"/>
          <w:sz w:val="30"/>
          <w:szCs w:val="30"/>
          <w:highlight w:val="none"/>
          <w:lang w:val="en-US" w:eastAsia="zh-CN" w:bidi="ar-SA"/>
        </w:rPr>
        <w:t>糕点、面食等食品</w:t>
      </w:r>
      <w:r>
        <w:rPr>
          <w:rFonts w:hint="eastAsia" w:ascii="Times New Roman" w:hAnsi="Times New Roman" w:eastAsia="仿宋_GB2312" w:cs="Times New Roman"/>
          <w:b w:val="0"/>
          <w:bCs w:val="0"/>
          <w:color w:val="auto"/>
          <w:kern w:val="2"/>
          <w:sz w:val="30"/>
          <w:szCs w:val="30"/>
          <w:highlight w:val="none"/>
          <w:lang w:val="en-US" w:eastAsia="zh-CN" w:bidi="ar-SA"/>
        </w:rPr>
        <w:t>加工</w:t>
      </w:r>
      <w:r>
        <w:rPr>
          <w:rFonts w:hint="eastAsia" w:eastAsia="仿宋_GB2312" w:cs="Times New Roman"/>
          <w:b w:val="0"/>
          <w:bCs w:val="0"/>
          <w:color w:val="auto"/>
          <w:kern w:val="2"/>
          <w:sz w:val="30"/>
          <w:szCs w:val="30"/>
          <w:highlight w:val="none"/>
          <w:lang w:val="en-US" w:eastAsia="zh-CN" w:bidi="ar-SA"/>
        </w:rPr>
        <w:t>体系</w:t>
      </w:r>
      <w:r>
        <w:rPr>
          <w:rFonts w:hint="eastAsia" w:ascii="Times New Roman" w:hAnsi="Times New Roman" w:eastAsia="仿宋_GB2312" w:cs="Times New Roman"/>
          <w:b w:val="0"/>
          <w:bCs w:val="0"/>
          <w:color w:val="auto"/>
          <w:kern w:val="2"/>
          <w:sz w:val="30"/>
          <w:szCs w:val="30"/>
          <w:highlight w:val="none"/>
          <w:lang w:val="en-US" w:eastAsia="zh-CN" w:bidi="ar-SA"/>
        </w:rPr>
        <w:t>。</w:t>
      </w:r>
      <w:r>
        <w:rPr>
          <w:rFonts w:hint="eastAsia" w:ascii="仿宋_GB2312" w:hAnsi="仿宋_GB2312" w:eastAsia="仿宋_GB2312" w:cs="仿宋_GB2312"/>
          <w:b w:val="0"/>
          <w:bCs w:val="0"/>
          <w:color w:val="auto"/>
          <w:kern w:val="2"/>
          <w:sz w:val="30"/>
          <w:szCs w:val="30"/>
          <w:highlight w:val="none"/>
          <w:lang w:val="en-US" w:eastAsia="zh-CN" w:bidi="ar-SA"/>
        </w:rPr>
        <w:t>力争“十四五”末，</w:t>
      </w:r>
      <w:r>
        <w:rPr>
          <w:rFonts w:hint="default" w:ascii="Times New Roman" w:hAnsi="Times New Roman" w:eastAsia="仿宋_GB2312" w:cs="Times New Roman"/>
          <w:b w:val="0"/>
          <w:bCs w:val="0"/>
          <w:color w:val="auto"/>
          <w:kern w:val="2"/>
          <w:sz w:val="30"/>
          <w:szCs w:val="30"/>
          <w:highlight w:val="none"/>
          <w:lang w:val="en-US" w:eastAsia="zh-CN" w:bidi="ar-SA"/>
        </w:rPr>
        <w:t>馕产业产值达到</w:t>
      </w:r>
      <w:r>
        <w:rPr>
          <w:rFonts w:hint="eastAsia" w:eastAsia="仿宋_GB2312" w:cs="Times New Roman"/>
          <w:b w:val="0"/>
          <w:bCs w:val="0"/>
          <w:color w:val="auto"/>
          <w:kern w:val="2"/>
          <w:sz w:val="30"/>
          <w:szCs w:val="30"/>
          <w:highlight w:val="none"/>
          <w:lang w:val="en-US" w:eastAsia="zh-CN" w:bidi="ar-SA"/>
        </w:rPr>
        <w:t>8</w:t>
      </w:r>
      <w:r>
        <w:rPr>
          <w:rFonts w:hint="default" w:ascii="Times New Roman" w:hAnsi="Times New Roman" w:eastAsia="仿宋_GB2312" w:cs="Times New Roman"/>
          <w:b w:val="0"/>
          <w:bCs w:val="0"/>
          <w:color w:val="auto"/>
          <w:kern w:val="2"/>
          <w:sz w:val="30"/>
          <w:szCs w:val="30"/>
          <w:highlight w:val="none"/>
          <w:lang w:val="en-US" w:eastAsia="zh-CN" w:bidi="ar-SA"/>
        </w:rPr>
        <w:t>亿</w:t>
      </w:r>
      <w:r>
        <w:rPr>
          <w:rFonts w:hint="eastAsia" w:ascii="Times New Roman" w:hAnsi="Times New Roman" w:eastAsia="仿宋_GB2312" w:cs="Times New Roman"/>
          <w:b w:val="0"/>
          <w:bCs w:val="0"/>
          <w:color w:val="auto"/>
          <w:kern w:val="2"/>
          <w:sz w:val="30"/>
          <w:szCs w:val="30"/>
          <w:highlight w:val="none"/>
          <w:lang w:val="en-US" w:eastAsia="zh-CN" w:bidi="ar-SA"/>
        </w:rPr>
        <w:t>元以上。</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专栏2：农产品加工“六大基地”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依托35万亩小麦做大做强粮油食品加工基地，培育壮大面粉生产企业，根据疆内外、周边国家不同市场需求发展馕、列巴、烘焙、方便食品加工，力争“十四五”末，馕产业产值达8亿元以上。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依托30万亩蔬菜和2.5万亩温室大棚做大做强外向型设施蔬菜出口和反季节蔬菜生产基地，补齐本地冬生产蔬菜短板，推动制干、脱水、制酱等深加工业发展。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依托60万亩核桃、石榴、杏子等做大做强特色瓜果精深加工，提高产品附加值，带动延伸配套产业发展。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依托年出栏145万头（只）畜、100万只（羽）禽做大做强畜禽产品加工，着力推动现代良繁、育肥、屠宰、分割、冷藏、肉奶加工全产业链规模化发展。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依托种业良种基地，对小麦良种繁育基地建设实施土地平整、土壤改良、高效节水、以及小麦良种收储、加工等。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楷体简体" w:hAnsi="方正楷体简体" w:eastAsia="方正楷体简体" w:cs="方正楷体简体"/>
                <w:b/>
                <w:bCs/>
                <w:color w:val="auto"/>
                <w:szCs w:val="32"/>
                <w:u w:val="none" w:color="auto"/>
                <w:vertAlign w:val="baseline"/>
                <w:lang w:val="en-US" w:eastAsia="zh-CN"/>
              </w:rPr>
            </w:pPr>
            <w:r>
              <w:rPr>
                <w:rFonts w:hint="eastAsia" w:ascii="楷体" w:hAnsi="楷体" w:eastAsia="楷体" w:cs="楷体"/>
                <w:sz w:val="28"/>
                <w:szCs w:val="28"/>
                <w:lang w:val="en-US" w:eastAsia="zh-CN"/>
              </w:rPr>
              <w:t>依托饲草料基地，种植103亩优质饲草巨菌草进行技术推广。</w:t>
            </w:r>
          </w:p>
        </w:tc>
      </w:tr>
    </w:tbl>
    <w:p>
      <w:pPr>
        <w:pStyle w:val="18"/>
        <w:keepNext w:val="0"/>
        <w:keepLines w:val="0"/>
        <w:shd w:val="clear"/>
        <w:spacing w:beforeLines="50" w:afterLines="50"/>
        <w:rPr>
          <w:rFonts w:hint="default" w:ascii="Times New Roman" w:hAnsi="Times New Roman"/>
          <w:lang w:val="en-US" w:eastAsia="zh-CN"/>
        </w:rPr>
      </w:pPr>
      <w:bookmarkStart w:id="82" w:name="_Toc25552_WPSOffice_Level2"/>
      <w:bookmarkStart w:id="83" w:name="_Toc5065"/>
      <w:bookmarkStart w:id="84" w:name="_Toc18757"/>
      <w:r>
        <w:rPr>
          <w:rFonts w:hint="eastAsia" w:ascii="Times New Roman" w:hAnsi="Times New Roman"/>
          <w:lang w:val="en-US" w:eastAsia="zh-CN"/>
        </w:rPr>
        <w:t>第三节 大力发展劳动密集型产业</w:t>
      </w:r>
      <w:bookmarkEnd w:id="82"/>
      <w:bookmarkEnd w:id="83"/>
      <w:bookmarkEnd w:id="84"/>
    </w:p>
    <w:p>
      <w:pPr>
        <w:keepNext w:val="0"/>
        <w:keepLines w:val="0"/>
        <w:pageBreakBefore w:val="0"/>
        <w:widowControl w:val="0"/>
        <w:shd w:val="clear"/>
        <w:kinsoku/>
        <w:wordWrap/>
        <w:overflowPunct/>
        <w:topLinePunct w:val="0"/>
        <w:autoSpaceDE/>
        <w:autoSpaceDN/>
        <w:bidi w:val="0"/>
        <w:adjustRightInd/>
        <w:snapToGrid w:val="0"/>
        <w:spacing w:after="410" w:afterLines="100" w:line="600" w:lineRule="exact"/>
        <w:ind w:firstLine="600" w:firstLineChars="200"/>
        <w:textAlignment w:val="auto"/>
        <w:rPr>
          <w:rFonts w:hint="eastAsia" w:ascii="仿宋_GB2312" w:hAnsi="仿宋_GB2312" w:eastAsia="仿宋_GB2312" w:cs="仿宋_GB2312"/>
          <w:bCs/>
          <w:color w:val="auto"/>
          <w:sz w:val="30"/>
          <w:szCs w:val="30"/>
          <w:highlight w:val="yellow"/>
        </w:rPr>
      </w:pPr>
      <w:r>
        <w:rPr>
          <w:rFonts w:hint="eastAsia" w:ascii="仿宋_GB2312" w:hAnsi="仿宋_GB2312" w:eastAsia="仿宋_GB2312" w:cs="仿宋_GB2312"/>
          <w:color w:val="auto"/>
          <w:sz w:val="30"/>
          <w:szCs w:val="30"/>
          <w:u w:val="none" w:color="auto"/>
          <w:lang w:val="en-US" w:eastAsia="zh-CN"/>
        </w:rPr>
        <w:t>用足用好国家和自治区支持南疆纺织服装业发展的各项优惠政策，以促就业保民生为重点，推动纺织服装业高质量发展，提高产业吸纳就业能</w:t>
      </w:r>
      <w:r>
        <w:rPr>
          <w:rFonts w:hint="default" w:ascii="Times New Roman" w:hAnsi="Times New Roman" w:eastAsia="仿宋_GB2312" w:cs="Times New Roman"/>
          <w:color w:val="auto"/>
          <w:sz w:val="30"/>
          <w:szCs w:val="30"/>
          <w:u w:val="none" w:color="auto"/>
          <w:lang w:val="en-US" w:eastAsia="zh-CN"/>
        </w:rPr>
        <w:t>力，到2025年，力争纺织服装产业带动就业3.5万人。大力支持家纺和服装制品业发展，着力引进培育各类家纺制品和成衣加工类</w:t>
      </w:r>
      <w:r>
        <w:rPr>
          <w:rFonts w:hint="eastAsia" w:ascii="仿宋_GB2312" w:hAnsi="仿宋_GB2312" w:eastAsia="仿宋_GB2312" w:cs="仿宋_GB2312"/>
          <w:color w:val="auto"/>
          <w:sz w:val="30"/>
          <w:szCs w:val="30"/>
          <w:u w:val="none" w:color="auto"/>
          <w:lang w:val="en-US" w:eastAsia="zh-CN"/>
        </w:rPr>
        <w:t>企业，重点发展床上用品、布艺、毛巾、壁毯地毯等家用纺织品和民族服饰、品牌服装、订制服装等服装类制品。落实支持纺织服装配套产业发展相关政策，支持发展拉链、纽扣、辅料等服饰类辅料生产企业发展，吸引更多内地劳动密集型企业来叶投资。大力培育发展应用于生态、环保、应急防护等产业用纺织品，开发健康舒适、绿色安全、易护理等功能性纺织品。加强纺织服装业数字化转型和智能化重塑，打造智能制造产业链示范车间及设备展示服务平台，鼓励信息化技术在纺织生产、研发、管理、仓储、物流等各环节广泛运用。借助对口援疆和产业援疆平台，积极承接东部产业转移，突出工业园区核心地位，大力发展电子元器件、小家电、电采暖等产品及其配件，进一步扩大电子产品加工组装业规模，丰富加工组装产品，加快产业集聚。统筹发展生产、生活类消费品生产加工产业，发展玩具、假发、鞋业、箱包、</w:t>
      </w:r>
      <w:r>
        <w:rPr>
          <w:rFonts w:hint="eastAsia" w:ascii="仿宋_GB2312" w:hAnsi="仿宋_GB2312" w:eastAsia="仿宋_GB2312" w:cs="仿宋_GB2312"/>
          <w:bCs/>
          <w:color w:val="auto"/>
          <w:sz w:val="30"/>
          <w:szCs w:val="30"/>
          <w:highlight w:val="none"/>
        </w:rPr>
        <w:t>医用床单、被面、防护服、防护口罩、隔离衣、手套、消毒纸巾、创可贴等医用卫生材料</w:t>
      </w:r>
      <w:r>
        <w:rPr>
          <w:rFonts w:hint="eastAsia" w:ascii="仿宋_GB2312" w:hAnsi="仿宋_GB2312" w:eastAsia="仿宋_GB2312" w:cs="仿宋_GB2312"/>
          <w:bCs/>
          <w:color w:val="auto"/>
          <w:sz w:val="30"/>
          <w:szCs w:val="30"/>
          <w:highlight w:val="none"/>
          <w:lang w:val="en-US" w:eastAsia="zh-CN"/>
        </w:rPr>
        <w:t>以及</w:t>
      </w:r>
      <w:r>
        <w:rPr>
          <w:rFonts w:hint="eastAsia" w:ascii="仿宋_GB2312" w:hAnsi="仿宋_GB2312" w:eastAsia="仿宋_GB2312" w:cs="仿宋_GB2312"/>
          <w:bCs/>
          <w:color w:val="auto"/>
          <w:sz w:val="30"/>
          <w:szCs w:val="30"/>
          <w:highlight w:val="none"/>
        </w:rPr>
        <w:t>高档地毯</w:t>
      </w:r>
      <w:r>
        <w:rPr>
          <w:rFonts w:hint="eastAsia" w:ascii="仿宋_GB2312" w:hAnsi="仿宋_GB2312" w:eastAsia="仿宋_GB2312" w:cs="仿宋_GB2312"/>
          <w:color w:val="auto"/>
          <w:sz w:val="30"/>
          <w:szCs w:val="30"/>
          <w:u w:val="none" w:color="auto"/>
          <w:lang w:val="en-US" w:eastAsia="zh-CN"/>
        </w:rPr>
        <w:t>等轻工制品和特色食品、民族手工业、旅游品加工业等劳动密集型产业发展，扩大就业容量。进一步推进建筑安装产业发展。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00" w:lineRule="atLeas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专栏3：劳动密集型产业</w:t>
            </w:r>
          </w:p>
          <w:p>
            <w:pPr>
              <w:keepNext w:val="0"/>
              <w:keepLines w:val="0"/>
              <w:pageBreakBefore w:val="0"/>
              <w:widowControl w:val="0"/>
              <w:shd w:val="clear"/>
              <w:kinsoku/>
              <w:wordWrap/>
              <w:overflowPunct/>
              <w:topLinePunct w:val="0"/>
              <w:autoSpaceDE/>
              <w:autoSpaceDN/>
              <w:bidi w:val="0"/>
              <w:adjustRightInd/>
              <w:snapToGrid/>
              <w:spacing w:line="500" w:lineRule="atLeast"/>
              <w:ind w:firstLine="562"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纺织服装：</w:t>
            </w:r>
            <w:r>
              <w:rPr>
                <w:rFonts w:hint="eastAsia" w:ascii="楷体" w:hAnsi="楷体" w:eastAsia="楷体" w:cs="楷体"/>
                <w:color w:val="auto"/>
                <w:kern w:val="2"/>
                <w:sz w:val="28"/>
                <w:szCs w:val="28"/>
                <w:highlight w:val="none"/>
                <w:lang w:val="en-US" w:eastAsia="zh-CN" w:bidi="ar-SA"/>
              </w:rPr>
              <w:t>发展制衣、家纺、刺绣、手工编织等；大力发展生产性服务业等。</w:t>
            </w:r>
          </w:p>
          <w:p>
            <w:pPr>
              <w:keepNext w:val="0"/>
              <w:keepLines w:val="0"/>
              <w:pageBreakBefore w:val="0"/>
              <w:widowControl w:val="0"/>
              <w:shd w:val="clear"/>
              <w:kinsoku/>
              <w:wordWrap/>
              <w:overflowPunct/>
              <w:topLinePunct w:val="0"/>
              <w:autoSpaceDE/>
              <w:autoSpaceDN/>
              <w:bidi w:val="0"/>
              <w:adjustRightInd/>
              <w:snapToGrid/>
              <w:spacing w:line="500" w:lineRule="atLeast"/>
              <w:ind w:firstLine="562"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电子产品组装：</w:t>
            </w:r>
            <w:r>
              <w:rPr>
                <w:rFonts w:hint="eastAsia" w:ascii="楷体" w:hAnsi="楷体" w:eastAsia="楷体" w:cs="楷体"/>
                <w:color w:val="auto"/>
                <w:kern w:val="2"/>
                <w:sz w:val="28"/>
                <w:szCs w:val="28"/>
                <w:highlight w:val="none"/>
                <w:lang w:val="en-US" w:eastAsia="zh-CN" w:bidi="ar-SA"/>
              </w:rPr>
              <w:t>发展智能手表、手环、耳机、音响等电子产品组装，承接东部电子产业梯度转移。</w:t>
            </w:r>
          </w:p>
          <w:p>
            <w:pPr>
              <w:keepNext w:val="0"/>
              <w:keepLines w:val="0"/>
              <w:pageBreakBefore w:val="0"/>
              <w:widowControl w:val="0"/>
              <w:shd w:val="clear"/>
              <w:kinsoku/>
              <w:wordWrap/>
              <w:overflowPunct/>
              <w:topLinePunct w:val="0"/>
              <w:autoSpaceDE/>
              <w:autoSpaceDN/>
              <w:bidi w:val="0"/>
              <w:adjustRightInd/>
              <w:snapToGrid/>
              <w:spacing w:line="500" w:lineRule="atLeast"/>
              <w:ind w:firstLine="562" w:firstLineChars="200"/>
              <w:jc w:val="left"/>
              <w:textAlignment w:val="auto"/>
              <w:rPr>
                <w:rFonts w:hint="eastAsia" w:ascii="楷体" w:hAnsi="楷体" w:eastAsia="楷体" w:cs="楷体"/>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生活消费品生产：</w:t>
            </w:r>
            <w:r>
              <w:rPr>
                <w:rFonts w:hint="eastAsia" w:ascii="楷体" w:hAnsi="楷体" w:eastAsia="楷体" w:cs="楷体"/>
                <w:color w:val="auto"/>
                <w:kern w:val="2"/>
                <w:sz w:val="28"/>
                <w:szCs w:val="28"/>
                <w:highlight w:val="none"/>
                <w:lang w:val="en-US" w:eastAsia="zh-CN" w:bidi="ar-SA"/>
              </w:rPr>
              <w:t>扩大假发、鞋子、衣帽、箱包、玩具等生产消费品生产。培育叶城县库丝妮假发制品有限公司年产100万件工发制品项目，华腾工艺品有限公司年产120万件工艺发制品项目，加大五金、日化、日用百货、家具制造、教辅用具等产品生产。</w:t>
            </w:r>
          </w:p>
          <w:p>
            <w:pPr>
              <w:keepNext w:val="0"/>
              <w:keepLines w:val="0"/>
              <w:pageBreakBefore w:val="0"/>
              <w:widowControl w:val="0"/>
              <w:shd w:val="clear"/>
              <w:kinsoku/>
              <w:wordWrap/>
              <w:overflowPunct/>
              <w:topLinePunct w:val="0"/>
              <w:autoSpaceDE/>
              <w:autoSpaceDN/>
              <w:bidi w:val="0"/>
              <w:adjustRightInd/>
              <w:snapToGrid/>
              <w:spacing w:line="500" w:lineRule="atLeast"/>
              <w:ind w:firstLine="562" w:firstLineChars="200"/>
              <w:jc w:val="left"/>
              <w:textAlignment w:val="auto"/>
              <w:rPr>
                <w:rFonts w:hint="eastAsia" w:ascii="方正楷体简体" w:hAnsi="方正楷体简体" w:eastAsia="方正楷体简体" w:cs="方正楷体简体"/>
                <w:b/>
                <w:bCs/>
                <w:color w:val="auto"/>
                <w:sz w:val="32"/>
                <w:szCs w:val="32"/>
                <w:u w:val="none" w:color="auto"/>
                <w:vertAlign w:val="baseline"/>
                <w:lang w:val="en-US" w:eastAsia="zh-CN"/>
              </w:rPr>
            </w:pPr>
            <w:r>
              <w:rPr>
                <w:rFonts w:hint="eastAsia" w:ascii="楷体" w:hAnsi="楷体" w:eastAsia="楷体" w:cs="楷体"/>
                <w:b/>
                <w:bCs/>
                <w:color w:val="auto"/>
                <w:kern w:val="2"/>
                <w:sz w:val="28"/>
                <w:szCs w:val="28"/>
                <w:highlight w:val="none"/>
                <w:lang w:val="en-US" w:eastAsia="zh-CN" w:bidi="ar-SA"/>
              </w:rPr>
              <w:t>建筑安装：</w:t>
            </w:r>
            <w:r>
              <w:rPr>
                <w:rFonts w:hint="eastAsia" w:ascii="楷体" w:hAnsi="楷体" w:eastAsia="楷体" w:cs="楷体"/>
                <w:color w:val="auto"/>
                <w:kern w:val="2"/>
                <w:sz w:val="28"/>
                <w:szCs w:val="28"/>
                <w:highlight w:val="none"/>
                <w:lang w:val="en-US" w:eastAsia="zh-CN" w:bidi="ar-SA"/>
              </w:rPr>
              <w:t>做好传统建材的技改，大力发展新型墙体材料，特别是装配式建筑。加大新型墙体材料技术研发、应用，推动已有新型墙体材料产品向轻质、高强、自保温方向发展。重点发展墙材、装配式建筑、优化发展石材深加工。</w:t>
            </w:r>
          </w:p>
        </w:tc>
      </w:tr>
    </w:tbl>
    <w:p>
      <w:pPr>
        <w:bidi w:val="0"/>
        <w:rPr>
          <w:rFonts w:hint="eastAsia"/>
          <w:lang w:val="en-US" w:eastAsia="zh-CN"/>
        </w:rPr>
      </w:pPr>
      <w:bookmarkStart w:id="85" w:name="_Toc9259_WPSOffice_Level2"/>
    </w:p>
    <w:p>
      <w:pPr>
        <w:pStyle w:val="18"/>
        <w:keepNext w:val="0"/>
        <w:keepLines w:val="0"/>
        <w:shd w:val="clear"/>
        <w:spacing w:beforeLines="50" w:afterLines="50"/>
        <w:rPr>
          <w:rFonts w:hint="eastAsia" w:ascii="Times New Roman" w:hAnsi="Times New Roman"/>
          <w:lang w:val="en-US" w:eastAsia="zh-CN"/>
        </w:rPr>
      </w:pPr>
      <w:bookmarkStart w:id="86" w:name="_Toc15561"/>
      <w:bookmarkStart w:id="87" w:name="_Toc10186"/>
      <w:r>
        <w:rPr>
          <w:rFonts w:hint="eastAsia" w:ascii="Times New Roman" w:hAnsi="Times New Roman"/>
          <w:lang w:val="en-US" w:eastAsia="zh-CN"/>
        </w:rPr>
        <w:t>第四节 培育发展战略性新兴产业</w:t>
      </w:r>
      <w:bookmarkEnd w:id="85"/>
      <w:bookmarkEnd w:id="86"/>
      <w:bookmarkEnd w:id="87"/>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firstLine="600" w:firstLineChars="200"/>
        <w:textAlignment w:val="auto"/>
        <w:rPr>
          <w:rFonts w:hint="eastAsia" w:ascii="仿宋_GB2312" w:hAnsi="仿宋_GB2312" w:eastAsia="仿宋_GB2312" w:cs="仿宋_GB2312"/>
          <w:color w:val="auto"/>
          <w:sz w:val="30"/>
          <w:szCs w:val="30"/>
          <w:u w:val="none" w:color="auto"/>
          <w:lang w:val="en-US" w:eastAsia="zh-CN"/>
        </w:rPr>
      </w:pPr>
      <w:r>
        <w:rPr>
          <w:rFonts w:hint="eastAsia" w:ascii="仿宋_GB2312" w:hAnsi="仿宋_GB2312" w:eastAsia="仿宋_GB2312" w:cs="仿宋_GB2312"/>
          <w:color w:val="auto"/>
          <w:sz w:val="30"/>
          <w:szCs w:val="30"/>
          <w:u w:val="none" w:color="auto"/>
          <w:lang w:val="en-US" w:eastAsia="zh-CN"/>
        </w:rPr>
        <w:t>围绕建设现代化生态科技园区定位，着眼国内国外两个市场，加快推进智慧城市建设，</w:t>
      </w:r>
      <w:r>
        <w:rPr>
          <w:rFonts w:hint="default" w:ascii="Times New Roman" w:hAnsi="Times New Roman" w:eastAsia="仿宋_GB2312" w:cs="Times New Roman"/>
          <w:color w:val="auto"/>
          <w:sz w:val="30"/>
          <w:szCs w:val="30"/>
          <w:u w:val="none" w:color="auto"/>
          <w:lang w:val="en-US" w:eastAsia="zh-CN"/>
        </w:rPr>
        <w:t>突出5G</w:t>
      </w:r>
      <w:r>
        <w:rPr>
          <w:rFonts w:hint="eastAsia" w:ascii="仿宋_GB2312" w:hAnsi="仿宋_GB2312" w:eastAsia="仿宋_GB2312" w:cs="仿宋_GB2312"/>
          <w:color w:val="auto"/>
          <w:sz w:val="30"/>
          <w:szCs w:val="30"/>
          <w:u w:val="none" w:color="auto"/>
          <w:lang w:val="en-US" w:eastAsia="zh-CN"/>
        </w:rPr>
        <w:t>，培育壮大资源综合利用型产业，加快环境服务业发展。重点培育实施绿色高端产品研制基地、物流产业基地、精细化工材料等一批大项目，努力让先进装备制造及服务业、新能源新材料、生物科技三大主导产业迅速呈现集聚发展态势，力争在主导产业集聚、园区功能完善、自主创新提升、发展环境优化、投融资体系建设等方面实现新突破。将高新技术产业园建设成为叶城的高新技术产业转化区、科技创新先行区、新型工业化示范区。</w:t>
      </w:r>
    </w:p>
    <w:p>
      <w:pPr>
        <w:pStyle w:val="14"/>
        <w:rPr>
          <w:rFonts w:hint="eastAsia"/>
          <w:lang w:val="en-US" w:eastAsia="zh-CN"/>
        </w:rPr>
      </w:pP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专栏4：高新技术和战略新兴产业</w:t>
            </w:r>
          </w:p>
          <w:p>
            <w:pPr>
              <w:keepNext w:val="0"/>
              <w:keepLines w:val="0"/>
              <w:pageBreakBefore w:val="0"/>
              <w:widowControl w:val="0"/>
              <w:shd w:val="clear"/>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color w:val="auto"/>
                <w:sz w:val="28"/>
                <w:szCs w:val="28"/>
                <w:u w:val="none" w:color="auto"/>
                <w:lang w:val="en-US" w:eastAsia="zh-CN"/>
              </w:rPr>
            </w:pPr>
            <w:r>
              <w:rPr>
                <w:rFonts w:hint="eastAsia" w:ascii="楷体" w:hAnsi="楷体" w:eastAsia="楷体" w:cs="楷体"/>
                <w:b/>
                <w:bCs/>
                <w:color w:val="auto"/>
                <w:sz w:val="28"/>
                <w:szCs w:val="28"/>
                <w:u w:val="none" w:color="auto"/>
                <w:vertAlign w:val="baseline"/>
                <w:lang w:val="en-US" w:eastAsia="zh-CN"/>
              </w:rPr>
              <w:t>新一代信息技术：</w:t>
            </w:r>
            <w:r>
              <w:rPr>
                <w:rFonts w:hint="eastAsia" w:ascii="楷体" w:hAnsi="楷体" w:eastAsia="楷体" w:cs="楷体"/>
                <w:color w:val="auto"/>
                <w:sz w:val="28"/>
                <w:szCs w:val="28"/>
                <w:u w:val="none" w:color="auto"/>
                <w:lang w:val="en-US" w:eastAsia="zh-CN"/>
              </w:rPr>
              <w:t>发展大数据、云计算、5G、物联网等。</w:t>
            </w:r>
          </w:p>
          <w:p>
            <w:pPr>
              <w:keepNext w:val="0"/>
              <w:keepLines w:val="0"/>
              <w:pageBreakBefore w:val="0"/>
              <w:widowControl w:val="0"/>
              <w:shd w:val="clear"/>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color w:val="auto"/>
                <w:sz w:val="28"/>
                <w:szCs w:val="28"/>
                <w:u w:val="none" w:color="auto"/>
                <w:lang w:val="en-US" w:eastAsia="zh-CN"/>
              </w:rPr>
            </w:pPr>
            <w:r>
              <w:rPr>
                <w:rFonts w:hint="eastAsia" w:ascii="楷体" w:hAnsi="楷体" w:eastAsia="楷体" w:cs="楷体"/>
                <w:b/>
                <w:bCs/>
                <w:color w:val="auto"/>
                <w:sz w:val="28"/>
                <w:szCs w:val="28"/>
                <w:u w:val="none" w:color="auto"/>
                <w:vertAlign w:val="baseline"/>
                <w:lang w:val="en-US" w:eastAsia="zh-CN"/>
              </w:rPr>
              <w:t>新材料：</w:t>
            </w:r>
            <w:r>
              <w:rPr>
                <w:rFonts w:hint="eastAsia" w:ascii="楷体" w:hAnsi="楷体" w:eastAsia="楷体" w:cs="楷体"/>
                <w:color w:val="auto"/>
                <w:sz w:val="28"/>
                <w:szCs w:val="28"/>
                <w:u w:val="none" w:color="auto"/>
                <w:lang w:val="en-US" w:eastAsia="zh-CN"/>
              </w:rPr>
              <w:t>发展复合材料、炭黑、碳纳米管等新材料。鼓励、引导大型光伏电池和组件制造企业进入叶城，补全光伏产业链条。加强新型墙材的研发和生产，努力发展面向抗震、节能住宅的新型建筑材料，重点支持建筑保温节能防火材料的开发及产业化。积极促进新材料产业保持快速和创新发展。实施</w:t>
            </w:r>
            <w:r>
              <w:rPr>
                <w:rFonts w:hint="eastAsia" w:ascii="楷体" w:hAnsi="楷体" w:eastAsia="楷体" w:cs="楷体"/>
                <w:sz w:val="28"/>
                <w:szCs w:val="28"/>
                <w:lang w:val="en-US" w:eastAsia="zh-CN"/>
              </w:rPr>
              <w:t>叶城县新疆护翼新材料科技有限公司高性能纤维及复合材料生产基地—8000吨/年天然气催化裂解制备碳纳米管项目等。</w:t>
            </w:r>
          </w:p>
          <w:p>
            <w:pPr>
              <w:keepNext w:val="0"/>
              <w:keepLines w:val="0"/>
              <w:pageBreakBefore w:val="0"/>
              <w:widowControl w:val="0"/>
              <w:shd w:val="clear"/>
              <w:kinsoku/>
              <w:wordWrap/>
              <w:overflowPunct/>
              <w:topLinePunct w:val="0"/>
              <w:autoSpaceDE/>
              <w:autoSpaceDN/>
              <w:bidi w:val="0"/>
              <w:adjustRightInd/>
              <w:snapToGrid/>
              <w:spacing w:line="500" w:lineRule="exact"/>
              <w:ind w:firstLine="562" w:firstLineChars="200"/>
              <w:textAlignment w:val="auto"/>
              <w:rPr>
                <w:rFonts w:hint="default" w:ascii="方正楷体简体" w:hAnsi="方正楷体简体" w:eastAsia="方正楷体简体" w:cs="方正楷体简体"/>
                <w:b/>
                <w:bCs/>
                <w:color w:val="auto"/>
                <w:sz w:val="32"/>
                <w:szCs w:val="32"/>
                <w:u w:val="none" w:color="auto"/>
                <w:vertAlign w:val="baseline"/>
                <w:lang w:val="en-US" w:eastAsia="zh-CN"/>
              </w:rPr>
            </w:pPr>
            <w:r>
              <w:rPr>
                <w:rFonts w:hint="eastAsia" w:ascii="楷体" w:hAnsi="楷体" w:eastAsia="楷体" w:cs="楷体"/>
                <w:b/>
                <w:bCs/>
                <w:color w:val="auto"/>
                <w:sz w:val="28"/>
                <w:szCs w:val="28"/>
                <w:u w:val="none" w:color="auto"/>
                <w:vertAlign w:val="baseline"/>
                <w:lang w:val="en-US" w:eastAsia="zh-CN"/>
              </w:rPr>
              <w:t>节能环保装备：</w:t>
            </w:r>
            <w:r>
              <w:rPr>
                <w:rFonts w:hint="eastAsia" w:ascii="楷体" w:hAnsi="楷体" w:eastAsia="楷体" w:cs="楷体"/>
                <w:color w:val="auto"/>
                <w:sz w:val="28"/>
                <w:szCs w:val="28"/>
                <w:u w:val="none" w:color="auto"/>
                <w:lang w:val="en-US" w:eastAsia="zh-CN"/>
              </w:rPr>
              <w:t>高效节能、工业固废综合利用、余能循环利用、节水净水、盐渍化处理、盐碱地改造以及空气净化、除尘、降噪设备。</w:t>
            </w:r>
          </w:p>
        </w:tc>
      </w:tr>
    </w:tbl>
    <w:p>
      <w:pPr>
        <w:pStyle w:val="18"/>
        <w:keepNext w:val="0"/>
        <w:keepLines w:val="0"/>
        <w:pageBreakBefore w:val="0"/>
        <w:widowControl w:val="0"/>
        <w:shd w:val="clear"/>
        <w:kinsoku/>
        <w:wordWrap/>
        <w:overflowPunct/>
        <w:topLinePunct w:val="0"/>
        <w:autoSpaceDE/>
        <w:autoSpaceDN/>
        <w:bidi w:val="0"/>
        <w:adjustRightInd/>
        <w:snapToGrid/>
        <w:spacing w:beforeLines="50" w:afterLines="50"/>
        <w:textAlignment w:val="auto"/>
        <w:outlineLvl w:val="9"/>
        <w:rPr>
          <w:rFonts w:hint="eastAsia" w:ascii="Times New Roman" w:hAnsi="Times New Roman"/>
          <w:lang w:val="en-US" w:eastAsia="zh-CN"/>
        </w:rPr>
      </w:pPr>
      <w:bookmarkStart w:id="88" w:name="_Toc12448_WPSOffice_Level2"/>
      <w:bookmarkStart w:id="89" w:name="_Toc4078"/>
    </w:p>
    <w:p>
      <w:pPr>
        <w:pStyle w:val="18"/>
        <w:keepNext w:val="0"/>
        <w:keepLines w:val="0"/>
        <w:shd w:val="clear"/>
        <w:spacing w:beforeLines="50" w:afterLines="50"/>
        <w:rPr>
          <w:rFonts w:hint="default" w:ascii="Times New Roman" w:hAnsi="Times New Roman"/>
          <w:lang w:val="en-US" w:eastAsia="zh-CN"/>
        </w:rPr>
      </w:pPr>
      <w:bookmarkStart w:id="90" w:name="_Toc31874"/>
      <w:r>
        <w:rPr>
          <w:rFonts w:hint="eastAsia" w:ascii="Times New Roman" w:hAnsi="Times New Roman"/>
          <w:lang w:val="en-US" w:eastAsia="zh-CN"/>
        </w:rPr>
        <w:t>第五节 提高矿产资源开发加工水平</w:t>
      </w:r>
      <w:bookmarkEnd w:id="88"/>
      <w:bookmarkEnd w:id="89"/>
      <w:bookmarkEnd w:id="90"/>
    </w:p>
    <w:bookmarkEnd w:id="78"/>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410" w:afterLines="100" w:line="560" w:lineRule="exact"/>
        <w:ind w:firstLine="600" w:firstLineChars="200"/>
        <w:textAlignment w:val="auto"/>
        <w:rPr>
          <w:rFonts w:hint="default"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依托叶城地处新疆、西藏两区，喀什、和田、阿里三地的区位优势，着力建设集采矿、选矿、冶炼为一体的矿产资源开发利用体系，打造全国重要的能源化工基地。着力培育矿业龙头企业。引进落地以锂矿加工为核心的锂产品大型企业，培育壮大化工园区。集中打造硼化工基地。拓展延伸下游产业，着力扩大硼化工产能。利用叶城及周边铅锌矿等矿产优势，坚持绿色、低碳、循环发展方向，发展铅锌冶炼，壮大本地铅锌精深加工企业，强化企业污水和废气排放管理，将环境影响降到最低。积极推进特色矿业开发。推进铁、煤等矿产资源的勘探和开发利用；加快新探明的石油、天然气等优势矿区资源的开发利用，尽快形成区域新的能源产业发展高地；培育全国重要的矿产、玉石深加工基地。加快重点项目落地实施。</w:t>
      </w:r>
      <w:r>
        <w:rPr>
          <w:rFonts w:hint="eastAsia" w:eastAsia="仿宋_GB2312" w:cs="Times New Roman"/>
          <w:b w:val="0"/>
          <w:bCs w:val="0"/>
          <w:color w:val="auto"/>
          <w:kern w:val="2"/>
          <w:sz w:val="30"/>
          <w:szCs w:val="30"/>
          <w:highlight w:val="none"/>
          <w:lang w:val="en-US" w:eastAsia="zh-CN" w:bidi="ar-SA"/>
        </w:rPr>
        <w:t>推进阿里-叶城矿产加工产业园区建设，提高矿产资源利用率。</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专栏5：矿产资源开发项目</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91" w:name="_Toc6018"/>
            <w:bookmarkStart w:id="92" w:name="_Toc30198"/>
            <w:bookmarkStart w:id="93" w:name="_Toc19288"/>
            <w:r>
              <w:rPr>
                <w:rFonts w:hint="eastAsia" w:ascii="楷体" w:hAnsi="楷体" w:eastAsia="楷体" w:cs="楷体"/>
                <w:b w:val="0"/>
                <w:bCs w:val="0"/>
                <w:color w:val="auto"/>
                <w:kern w:val="2"/>
                <w:sz w:val="28"/>
                <w:szCs w:val="28"/>
                <w:highlight w:val="none"/>
                <w:lang w:val="en-US" w:eastAsia="zh-CN" w:bidi="ar-SA"/>
              </w:rPr>
              <w:t>建设喀-阿产业园建设项目。</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楷体" w:hAnsi="楷体" w:eastAsia="楷体" w:cs="楷体"/>
                <w:b w:val="0"/>
                <w:bCs w:val="0"/>
                <w:color w:val="auto"/>
                <w:kern w:val="2"/>
                <w:sz w:val="28"/>
                <w:szCs w:val="28"/>
                <w:highlight w:val="none"/>
                <w:lang w:val="en-US" w:eastAsia="zh-CN" w:bidi="ar-SA"/>
              </w:rPr>
              <w:t>重点推进石墨碳纳米管复合材料、等离子法制取乙炔等矿产品及固体废弃物回收项目、有色金属仓储及深加工项目和新型建材生产项目等重点项目落地实施。</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楷体" w:hAnsi="楷体" w:eastAsia="楷体" w:cs="楷体"/>
                <w:b w:val="0"/>
                <w:bCs w:val="0"/>
                <w:color w:val="auto"/>
                <w:kern w:val="2"/>
                <w:sz w:val="28"/>
                <w:szCs w:val="28"/>
                <w:highlight w:val="none"/>
                <w:lang w:val="en-US" w:eastAsia="zh-CN" w:bidi="ar-SA"/>
              </w:rPr>
              <w:t>推进硼酸盐晶须、硼铁、高纯硼化物、氮化硼、碳化硼精细微粉、高纯氧化硼、氟硼酸盐项目。加快锂电池生产项目实施。</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楷体" w:hAnsi="楷体" w:eastAsia="楷体" w:cs="楷体"/>
                <w:b w:val="0"/>
                <w:bCs w:val="0"/>
                <w:color w:val="auto"/>
                <w:kern w:val="2"/>
                <w:sz w:val="28"/>
                <w:szCs w:val="28"/>
                <w:highlight w:val="none"/>
                <w:lang w:val="en-US" w:eastAsia="zh-CN" w:bidi="ar-SA"/>
              </w:rPr>
              <w:t>力争优势资源非金属矿（石灰岩、石英岩、大理岩、花岗岩等）及特色资源玉石矿项目实施。</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lang w:val="en-US" w:eastAsia="zh-CN"/>
              </w:rPr>
            </w:pPr>
            <w:r>
              <w:rPr>
                <w:rFonts w:hint="eastAsia" w:ascii="楷体" w:hAnsi="楷体" w:eastAsia="楷体" w:cs="楷体"/>
                <w:b w:val="0"/>
                <w:bCs w:val="0"/>
                <w:color w:val="auto"/>
                <w:kern w:val="2"/>
                <w:sz w:val="28"/>
                <w:szCs w:val="28"/>
                <w:highlight w:val="none"/>
                <w:lang w:val="en-US" w:eastAsia="zh-CN" w:bidi="ar-SA"/>
              </w:rPr>
              <w:t>实施浩德环保科技有限公司新建年处理7.2万吨含油岩屑项目。</w:t>
            </w:r>
            <w:bookmarkEnd w:id="91"/>
            <w:bookmarkEnd w:id="92"/>
            <w:bookmarkEnd w:id="93"/>
          </w:p>
        </w:tc>
      </w:tr>
    </w:tbl>
    <w:p>
      <w:pPr>
        <w:pStyle w:val="18"/>
        <w:keepNext w:val="0"/>
        <w:keepLines w:val="0"/>
        <w:shd w:val="clear"/>
        <w:spacing w:beforeLines="50" w:afterLines="50"/>
        <w:rPr>
          <w:rFonts w:hint="eastAsia" w:ascii="Times New Roman" w:hAnsi="Times New Roman"/>
          <w:lang w:val="en-US" w:eastAsia="zh-CN"/>
        </w:rPr>
      </w:pPr>
      <w:bookmarkStart w:id="94" w:name="_Toc31595"/>
      <w:bookmarkStart w:id="95" w:name="_Toc6453"/>
      <w:bookmarkStart w:id="96" w:name="_Toc27894_WPSOffice_Level2"/>
      <w:r>
        <w:rPr>
          <w:rFonts w:hint="eastAsia" w:ascii="Times New Roman" w:hAnsi="Times New Roman"/>
          <w:lang w:val="en-US" w:eastAsia="zh-CN"/>
        </w:rPr>
        <w:t>第六节 加大再生资源回收利用</w:t>
      </w:r>
      <w:bookmarkEnd w:id="94"/>
      <w:bookmarkEnd w:id="95"/>
      <w:bookmarkEnd w:id="96"/>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仿宋_GB2312"/>
          <w:b w:val="0"/>
          <w:bCs w:val="0"/>
          <w:color w:val="auto"/>
          <w:sz w:val="30"/>
          <w:szCs w:val="30"/>
          <w:u w:val="none" w:color="auto"/>
          <w:shd w:val="clear" w:color="auto" w:fill="auto"/>
          <w:lang w:val="en-US" w:eastAsia="zh-CN"/>
        </w:rPr>
      </w:pPr>
      <w:r>
        <w:rPr>
          <w:rFonts w:hint="eastAsia" w:ascii="Times New Roman" w:hAnsi="Times New Roman" w:eastAsia="仿宋_GB2312" w:cs="仿宋_GB2312"/>
          <w:b w:val="0"/>
          <w:bCs w:val="0"/>
          <w:color w:val="auto"/>
          <w:sz w:val="30"/>
          <w:szCs w:val="30"/>
          <w:u w:val="none" w:color="auto"/>
          <w:shd w:val="clear" w:color="auto" w:fill="auto"/>
          <w:lang w:val="en-US" w:eastAsia="zh-CN"/>
        </w:rPr>
        <w:t>坚持市场导向、政府引导的发展原则，以绿色化发展加强废旧物资回收利用，从回收程序各个环节严格执行环保、安全、卫生、劳动保护及质量标准。以循环化发展推进产业循环组合，加快废弃物处理产业化，促进废弃物转化为可利用资源，坚持突出重点，分类施策的发展原则，以专业化发展提高资源综合利用率。加大镉镍电池、铅酸蓄电池、锂电池等废旧电池回收处理，废旧家用电器、电脑、手机及其他电子废弃物回收利用，医疗垃圾、塑料制品回收处理和再利用。以高值化发展促进产品结构升级，不断提高再生资源利用效率，在确保质量安全的同时在加强再生资源深加工转化上发力，不断提升产品附加值，避免“只循环不经济”。不断加强法规制度、技术引进、管理模式、政策支持、基础设施建设等保障措施，促进再生资源行业持续发展壮大。</w:t>
      </w:r>
    </w:p>
    <w:p>
      <w:pPr>
        <w:pStyle w:val="14"/>
        <w:rPr>
          <w:rFonts w:hint="eastAsia" w:ascii="Times New Roman" w:hAnsi="Times New Roman"/>
          <w:lang w:val="en-US" w:eastAsia="zh-CN"/>
        </w:rPr>
      </w:pPr>
    </w:p>
    <w:p>
      <w:pPr>
        <w:pStyle w:val="18"/>
        <w:keepNext w:val="0"/>
        <w:keepLines w:val="0"/>
        <w:shd w:val="clear"/>
        <w:spacing w:beforeLines="50" w:afterLines="50"/>
        <w:rPr>
          <w:rFonts w:hint="eastAsia" w:ascii="Times New Roman" w:hAnsi="Times New Roman"/>
          <w:lang w:val="zh-CN" w:eastAsia="zh-CN"/>
        </w:rPr>
      </w:pPr>
      <w:bookmarkStart w:id="97" w:name="_Toc28539"/>
      <w:bookmarkStart w:id="98" w:name="_Toc9906"/>
      <w:r>
        <w:rPr>
          <w:rFonts w:hint="eastAsia" w:ascii="Times New Roman" w:hAnsi="Times New Roman"/>
          <w:lang w:val="zh-CN" w:eastAsia="zh-CN"/>
        </w:rPr>
        <w:t>第七节 强化工业园区集聚效能</w:t>
      </w:r>
      <w:bookmarkEnd w:id="97"/>
      <w:bookmarkEnd w:id="98"/>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0" w:firstLineChars="200"/>
        <w:textAlignment w:val="auto"/>
        <w:rPr>
          <w:rFonts w:hint="default" w:ascii="Times New Roman" w:hAnsi="Times New Roman" w:eastAsia="仿宋_GB2312" w:cs="仿宋_GB2312"/>
          <w:b w:val="0"/>
          <w:bCs w:val="0"/>
          <w:color w:val="auto"/>
          <w:sz w:val="30"/>
          <w:szCs w:val="30"/>
          <w:u w:val="none" w:color="auto"/>
          <w:shd w:val="clear" w:color="auto" w:fill="auto"/>
          <w:lang w:val="en-US" w:eastAsia="zh-CN"/>
        </w:rPr>
      </w:pPr>
      <w:r>
        <w:rPr>
          <w:rFonts w:hint="eastAsia" w:ascii="Times New Roman" w:hAnsi="Times New Roman" w:eastAsia="仿宋_GB2312" w:cs="仿宋_GB2312"/>
          <w:b w:val="0"/>
          <w:bCs w:val="0"/>
          <w:color w:val="auto"/>
          <w:sz w:val="30"/>
          <w:szCs w:val="30"/>
          <w:u w:val="none" w:color="auto"/>
          <w:shd w:val="clear" w:color="auto" w:fill="auto"/>
          <w:lang w:val="en-US" w:eastAsia="zh-CN"/>
        </w:rPr>
        <w:t>加快形成布局合理、特色鲜明、优势互补的产业发展格局，推进优势产业关联、成链、集群发展，向产业园区集中，突出园区主导产业。明确园区产业发展方向，提升园区产业集群发展水平，打造特色鲜明、产业关联度高、辐射带动力强、布局结构合理、设施功能配套、集群效能强、优势特色明显、整体发展协调的工业园区新格局。进一步加大园区水、电、道路、通信管网、天然气、排污处理等基础设施建设，提高园区“七通一平”建设水平。提升园区核心竞争力，优化园区产业布局，制定和完善园区准入标准，提升土地管理水平，依法依规对闲置的工业用地予以收回，清理“僵尸企业”，加大闲置厂房租赁，推动新增建设用地工业项目投资密度、投入产出率、科技含量等大幅提升。促进园区循环经济发展，大力推进园区污水处理和固废处理基础设施建设，坚决淘汰和严禁引进不符合产业导向、环保要求的落后产能，强化重点企业环保在线监测。加强智慧园区建设，加快园区信息公共平台建设，提升园区整体信息化管理水平。强化招商引资质量，在建链、补链、强链上下功夫，围绕产业的前伸后延，引进一批符合产业定位的龙头骨干企业和项目。优化专业招商引资、融资、技术、园区运营管理等各类人才队伍建设，提升园区运营管理水平。加大高新技术产业培育，加强园区招才引智、招所引院，培育发展潜能、增强产业动能、提升造血功能，着力引进人才、培育企业、打造品牌、带动产业。“十四五”期间，力争</w:t>
      </w:r>
      <w:r>
        <w:rPr>
          <w:rFonts w:hint="eastAsia" w:eastAsia="仿宋_GB2312" w:cs="仿宋_GB2312"/>
          <w:b w:val="0"/>
          <w:bCs w:val="0"/>
          <w:color w:val="auto"/>
          <w:sz w:val="30"/>
          <w:szCs w:val="30"/>
          <w:u w:val="none" w:color="auto"/>
          <w:shd w:val="clear" w:color="auto" w:fill="auto"/>
          <w:lang w:val="en-US" w:eastAsia="zh-CN"/>
        </w:rPr>
        <w:t>新增中小微企业200家、小生规企业25家、“个转企”50家，全县规上企业达到65家。</w:t>
      </w:r>
      <w:r>
        <w:rPr>
          <w:rFonts w:hint="eastAsia" w:ascii="Times New Roman" w:hAnsi="Times New Roman" w:eastAsia="仿宋_GB2312" w:cs="仿宋_GB2312"/>
          <w:b w:val="0"/>
          <w:bCs w:val="0"/>
          <w:color w:val="auto"/>
          <w:sz w:val="30"/>
          <w:szCs w:val="30"/>
          <w:u w:val="none" w:color="auto"/>
          <w:shd w:val="clear" w:color="auto" w:fill="auto"/>
          <w:lang w:val="en-US" w:eastAsia="zh-CN"/>
        </w:rPr>
        <w:t>力争</w:t>
      </w:r>
      <w:r>
        <w:rPr>
          <w:rFonts w:hint="eastAsia" w:eastAsia="仿宋_GB2312" w:cs="仿宋_GB2312"/>
          <w:b w:val="0"/>
          <w:bCs w:val="0"/>
          <w:color w:val="auto"/>
          <w:sz w:val="30"/>
          <w:szCs w:val="30"/>
          <w:u w:val="none" w:color="auto"/>
          <w:shd w:val="clear" w:color="auto" w:fill="auto"/>
          <w:lang w:val="en-US" w:eastAsia="zh-CN"/>
        </w:rPr>
        <w:t>培育</w:t>
      </w:r>
      <w:r>
        <w:rPr>
          <w:rFonts w:hint="eastAsia" w:ascii="Times New Roman" w:hAnsi="Times New Roman" w:eastAsia="仿宋_GB2312" w:cs="仿宋_GB2312"/>
          <w:b w:val="0"/>
          <w:bCs w:val="0"/>
          <w:color w:val="auto"/>
          <w:sz w:val="30"/>
          <w:szCs w:val="30"/>
          <w:u w:val="none" w:color="auto"/>
          <w:shd w:val="clear" w:color="auto" w:fill="auto"/>
          <w:lang w:val="en-US" w:eastAsia="zh-CN"/>
        </w:rPr>
        <w:t>一家上市企业。</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bookmarkStart w:id="99" w:name="_Toc275426446"/>
            <w:bookmarkStart w:id="100" w:name="_Toc275426442"/>
            <w:bookmarkStart w:id="101" w:name="_Toc275426448"/>
            <w:r>
              <w:rPr>
                <w:rFonts w:hint="eastAsia" w:ascii="黑体" w:hAnsi="黑体" w:eastAsia="黑体" w:cs="黑体"/>
                <w:b w:val="0"/>
                <w:bCs w:val="0"/>
                <w:kern w:val="2"/>
                <w:sz w:val="28"/>
                <w:szCs w:val="28"/>
                <w:lang w:val="en-US" w:eastAsia="zh-CN" w:bidi="ar-SA"/>
              </w:rPr>
              <w:t>专栏6：园区基础设施项目</w:t>
            </w:r>
          </w:p>
          <w:p>
            <w:pPr>
              <w:pStyle w:val="2"/>
              <w:keepNext/>
              <w:keepLines/>
              <w:pageBreakBefore w:val="0"/>
              <w:widowControl w:val="0"/>
              <w:shd w:val="clear"/>
              <w:kinsoku/>
              <w:wordWrap/>
              <w:overflowPunct/>
              <w:topLinePunct w:val="0"/>
              <w:autoSpaceDE/>
              <w:autoSpaceDN/>
              <w:bidi w:val="0"/>
              <w:adjustRightInd/>
              <w:snapToGrid/>
              <w:spacing w:before="0" w:after="0" w:line="560" w:lineRule="exact"/>
              <w:ind w:firstLine="560" w:firstLineChars="200"/>
              <w:jc w:val="left"/>
              <w:textAlignment w:val="auto"/>
              <w:rPr>
                <w:rFonts w:hint="eastAsia"/>
                <w:u w:val="none" w:color="auto"/>
                <w:lang w:val="en-US" w:eastAsia="zh-CN"/>
              </w:rPr>
            </w:pPr>
            <w:bookmarkStart w:id="102" w:name="_Toc12151"/>
            <w:bookmarkStart w:id="103" w:name="_Toc2827"/>
            <w:bookmarkStart w:id="104" w:name="_Toc2703"/>
            <w:r>
              <w:rPr>
                <w:rFonts w:hint="eastAsia" w:ascii="楷体" w:hAnsi="楷体" w:eastAsia="楷体" w:cs="楷体"/>
                <w:b w:val="0"/>
                <w:bCs w:val="0"/>
                <w:color w:val="auto"/>
                <w:kern w:val="2"/>
                <w:sz w:val="28"/>
                <w:szCs w:val="28"/>
                <w:highlight w:val="none"/>
                <w:lang w:val="en-US" w:eastAsia="zh-CN" w:bidi="ar-SA"/>
              </w:rPr>
              <w:t>飞地园区建设项目；主要实施喀什经济开发区城北转化加工区叶城园区的道路、供排水、暖气管网、绿化、亮化、电力设施以及厂房、综合服务中心等</w:t>
            </w:r>
            <w:bookmarkEnd w:id="102"/>
            <w:bookmarkEnd w:id="103"/>
            <w:bookmarkEnd w:id="104"/>
            <w:r>
              <w:rPr>
                <w:rFonts w:hint="eastAsia" w:ascii="楷体" w:hAnsi="楷体" w:eastAsia="楷体" w:cs="楷体"/>
                <w:b w:val="0"/>
                <w:bCs w:val="0"/>
                <w:color w:val="auto"/>
                <w:kern w:val="2"/>
                <w:sz w:val="28"/>
                <w:szCs w:val="28"/>
                <w:highlight w:val="none"/>
                <w:lang w:val="en-US" w:eastAsia="zh-CN" w:bidi="ar-SA"/>
              </w:rPr>
              <w:t>。</w:t>
            </w:r>
          </w:p>
        </w:tc>
      </w:tr>
      <w:bookmarkEnd w:id="99"/>
      <w:bookmarkEnd w:id="100"/>
      <w:bookmarkEnd w:id="101"/>
    </w:tbl>
    <w:p>
      <w:pPr>
        <w:pStyle w:val="3"/>
        <w:keepNext w:val="0"/>
        <w:keepLines w:val="0"/>
        <w:pageBreakBefore w:val="0"/>
        <w:widowControl w:val="0"/>
        <w:shd w:val="clear"/>
        <w:kinsoku/>
        <w:wordWrap/>
        <w:overflowPunct/>
        <w:topLinePunct w:val="0"/>
        <w:autoSpaceDE/>
        <w:autoSpaceDN/>
        <w:bidi w:val="0"/>
        <w:adjustRightInd/>
        <w:snapToGrid/>
        <w:spacing w:before="818" w:beforeLines="200" w:afterLines="100" w:line="560" w:lineRule="exact"/>
        <w:jc w:val="center"/>
        <w:textAlignment w:val="auto"/>
        <w:rPr>
          <w:rFonts w:hint="eastAsia" w:ascii="Times New Roman" w:hAnsi="Times New Roman" w:eastAsia="黑体" w:cs="Times New Roman"/>
          <w:b w:val="0"/>
          <w:bCs w:val="0"/>
          <w:sz w:val="30"/>
          <w:szCs w:val="30"/>
          <w:lang w:val="en-US" w:eastAsia="zh-CN"/>
        </w:rPr>
      </w:pPr>
      <w:bookmarkStart w:id="105" w:name="_Toc10729"/>
      <w:bookmarkStart w:id="106" w:name="_Toc12472"/>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六</w:t>
      </w:r>
      <w:r>
        <w:rPr>
          <w:rFonts w:hint="eastAsia" w:ascii="Times New Roman" w:hAnsi="Times New Roman" w:eastAsia="黑体" w:cs="Times New Roman"/>
          <w:b w:val="0"/>
          <w:bCs w:val="0"/>
          <w:sz w:val="30"/>
          <w:szCs w:val="30"/>
          <w:lang w:val="en-US" w:eastAsia="zh-CN"/>
        </w:rPr>
        <w:t xml:space="preserve">章 </w:t>
      </w:r>
      <w:r>
        <w:rPr>
          <w:rFonts w:hint="eastAsia" w:eastAsia="黑体" w:cs="Times New Roman"/>
          <w:b w:val="0"/>
          <w:bCs w:val="0"/>
          <w:sz w:val="30"/>
          <w:szCs w:val="30"/>
          <w:lang w:val="en-US" w:eastAsia="zh-CN"/>
        </w:rPr>
        <w:t>大力推动</w:t>
      </w:r>
      <w:r>
        <w:rPr>
          <w:rFonts w:hint="eastAsia" w:ascii="Times New Roman" w:hAnsi="Times New Roman" w:eastAsia="黑体" w:cs="Times New Roman"/>
          <w:b w:val="0"/>
          <w:bCs w:val="0"/>
          <w:sz w:val="30"/>
          <w:szCs w:val="30"/>
          <w:lang w:val="en-US" w:eastAsia="zh-CN"/>
        </w:rPr>
        <w:t>现代服务业</w:t>
      </w:r>
      <w:r>
        <w:rPr>
          <w:rFonts w:hint="eastAsia" w:eastAsia="黑体" w:cs="Times New Roman"/>
          <w:b w:val="0"/>
          <w:bCs w:val="0"/>
          <w:sz w:val="30"/>
          <w:szCs w:val="30"/>
          <w:lang w:val="en-US" w:eastAsia="zh-CN"/>
        </w:rPr>
        <w:t>发展</w:t>
      </w:r>
      <w:r>
        <w:rPr>
          <w:rFonts w:hint="eastAsia" w:ascii="Times New Roman" w:hAnsi="Times New Roman" w:eastAsia="黑体" w:cs="Times New Roman"/>
          <w:b w:val="0"/>
          <w:bCs w:val="0"/>
          <w:sz w:val="30"/>
          <w:szCs w:val="30"/>
          <w:lang w:val="en-US" w:eastAsia="zh-CN"/>
        </w:rPr>
        <w:t>，增强服务业核心服务功能</w:t>
      </w:r>
      <w:bookmarkEnd w:id="105"/>
      <w:bookmarkEnd w:id="106"/>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围绕现代物流、商贸服务、文化旅游、</w:t>
      </w:r>
      <w:r>
        <w:rPr>
          <w:rFonts w:hint="eastAsia" w:eastAsia="仿宋_GB2312"/>
          <w:color w:val="auto"/>
          <w:sz w:val="30"/>
          <w:szCs w:val="30"/>
          <w:highlight w:val="none"/>
          <w:lang w:val="en-US" w:eastAsia="zh-CN"/>
        </w:rPr>
        <w:t>电子商务</w:t>
      </w:r>
      <w:r>
        <w:rPr>
          <w:rFonts w:hint="eastAsia" w:eastAsia="仿宋_GB2312"/>
          <w:color w:val="auto"/>
          <w:sz w:val="30"/>
          <w:szCs w:val="30"/>
          <w:highlight w:val="none"/>
        </w:rPr>
        <w:t>、现代金融等优势产业，大力发展区域需求型产业，扩大服务供给</w:t>
      </w:r>
      <w:r>
        <w:rPr>
          <w:rFonts w:hint="eastAsia" w:eastAsia="仿宋_GB2312"/>
          <w:color w:val="auto"/>
          <w:sz w:val="30"/>
          <w:szCs w:val="30"/>
          <w:highlight w:val="none"/>
          <w:lang w:eastAsia="zh-CN"/>
        </w:rPr>
        <w:t>，</w:t>
      </w:r>
      <w:r>
        <w:rPr>
          <w:rFonts w:hint="eastAsia" w:eastAsia="仿宋_GB2312"/>
          <w:color w:val="auto"/>
          <w:sz w:val="30"/>
          <w:szCs w:val="30"/>
          <w:highlight w:val="none"/>
        </w:rPr>
        <w:t>形成</w:t>
      </w:r>
      <w:r>
        <w:rPr>
          <w:rFonts w:hint="eastAsia" w:eastAsia="仿宋_GB2312"/>
          <w:color w:val="auto"/>
          <w:sz w:val="30"/>
          <w:szCs w:val="30"/>
          <w:highlight w:val="none"/>
          <w:lang w:val="en-US" w:eastAsia="zh-CN"/>
        </w:rPr>
        <w:t>具有鲜明叶城特色的</w:t>
      </w:r>
      <w:r>
        <w:rPr>
          <w:rFonts w:hint="eastAsia" w:eastAsia="仿宋_GB2312"/>
          <w:color w:val="auto"/>
          <w:sz w:val="30"/>
          <w:szCs w:val="30"/>
          <w:highlight w:val="none"/>
        </w:rPr>
        <w:t>现代服务业产业链、创新链、服务链、市场链、资金链，推动县域经济健康快速发展。</w:t>
      </w:r>
    </w:p>
    <w:p>
      <w:pPr>
        <w:pStyle w:val="18"/>
        <w:keepNext w:val="0"/>
        <w:keepLines w:val="0"/>
        <w:shd w:val="clear"/>
        <w:spacing w:beforeLines="50" w:afterLines="50"/>
        <w:rPr>
          <w:rFonts w:hint="eastAsia" w:ascii="Times New Roman" w:hAnsi="Times New Roman"/>
          <w:lang w:val="zh-CN" w:eastAsia="zh-CN"/>
        </w:rPr>
      </w:pPr>
      <w:bookmarkStart w:id="107" w:name="_Toc11843"/>
      <w:bookmarkStart w:id="108" w:name="_Toc1349"/>
      <w:r>
        <w:rPr>
          <w:rFonts w:hint="eastAsia" w:ascii="Times New Roman" w:hAnsi="Times New Roman"/>
          <w:lang w:val="zh-CN" w:eastAsia="zh-CN"/>
        </w:rPr>
        <w:t>第一节 强化商贸物流枢纽功能</w:t>
      </w:r>
      <w:bookmarkEnd w:id="107"/>
      <w:bookmarkEnd w:id="108"/>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b w:val="0"/>
          <w:bCs w:val="0"/>
          <w:color w:val="auto"/>
          <w:sz w:val="30"/>
          <w:szCs w:val="30"/>
          <w:highlight w:val="none"/>
        </w:rPr>
      </w:pPr>
      <w:r>
        <w:rPr>
          <w:rFonts w:hint="eastAsia" w:eastAsia="仿宋_GB2312"/>
          <w:b/>
          <w:color w:val="auto"/>
          <w:sz w:val="30"/>
          <w:szCs w:val="30"/>
          <w:highlight w:val="none"/>
        </w:rPr>
        <w:t>打造南疆物流枢纽。</w:t>
      </w:r>
      <w:r>
        <w:rPr>
          <w:rFonts w:hint="eastAsia" w:eastAsia="仿宋_GB2312"/>
          <w:color w:val="auto"/>
          <w:sz w:val="30"/>
          <w:szCs w:val="30"/>
          <w:highlight w:val="none"/>
        </w:rPr>
        <w:t>立足叶城及喀什地区辐射南疆地区，以建设藏疆物流大动脉为目标，主动融入国家“一带一路”、中巴经济走廊建设，积极推进商贸物流、电子商务、对外贸易发展，以多式联运为基础，以零公里为中心，以G315和G219为轴心，重点完善集散、仓储、分拨、转运设施，着力打造现</w:t>
      </w:r>
      <w:r>
        <w:rPr>
          <w:rFonts w:hint="eastAsia" w:eastAsia="仿宋_GB2312"/>
          <w:b w:val="0"/>
          <w:bCs w:val="0"/>
          <w:color w:val="auto"/>
          <w:sz w:val="30"/>
          <w:szCs w:val="30"/>
          <w:highlight w:val="none"/>
        </w:rPr>
        <w:t>代</w:t>
      </w:r>
      <w:r>
        <w:rPr>
          <w:rFonts w:hint="eastAsia" w:eastAsia="仿宋_GB2312"/>
          <w:color w:val="auto"/>
          <w:sz w:val="30"/>
          <w:szCs w:val="30"/>
          <w:highlight w:val="none"/>
        </w:rPr>
        <w:t>商贸物流产业基地，打造南疆地区领先的物流相关性服务业集聚平</w:t>
      </w:r>
      <w:r>
        <w:rPr>
          <w:rFonts w:hint="eastAsia" w:eastAsia="仿宋_GB2312"/>
          <w:b w:val="0"/>
          <w:bCs w:val="0"/>
          <w:color w:val="auto"/>
          <w:sz w:val="30"/>
          <w:szCs w:val="30"/>
          <w:highlight w:val="none"/>
        </w:rPr>
        <w:t>台、综合性物流产业发展示范区、南疆地区物流网络中转枢纽，建设国内一流的现代物流综合服务园区。</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建设“铁公机联运”物流园。</w:t>
      </w:r>
      <w:r>
        <w:rPr>
          <w:rFonts w:hint="eastAsia" w:eastAsia="仿宋_GB2312"/>
          <w:color w:val="auto"/>
          <w:sz w:val="30"/>
          <w:szCs w:val="30"/>
          <w:highlight w:val="none"/>
        </w:rPr>
        <w:t>规划建设铁路东货站和支线机场，在喀和铁路洛克乡东侧新建货站，围绕高速东立交与铁路货站、支线机场、国道相衔接，形成“铁、公、机”交融交汇的</w:t>
      </w:r>
      <w:r>
        <w:rPr>
          <w:rFonts w:hint="eastAsia" w:eastAsia="仿宋_GB2312"/>
          <w:color w:val="auto"/>
          <w:sz w:val="30"/>
          <w:szCs w:val="30"/>
          <w:highlight w:val="none"/>
          <w:lang w:val="en-US" w:eastAsia="zh-CN"/>
        </w:rPr>
        <w:t>良好发展格局</w:t>
      </w:r>
      <w:r>
        <w:rPr>
          <w:rFonts w:hint="eastAsia" w:eastAsia="仿宋_GB2312"/>
          <w:color w:val="auto"/>
          <w:sz w:val="30"/>
          <w:szCs w:val="30"/>
          <w:highlight w:val="none"/>
        </w:rPr>
        <w:t>，着力提高铁路集货编组能力和公铁联运转换效率。</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构建智慧物流体系。</w:t>
      </w:r>
      <w:r>
        <w:rPr>
          <w:rFonts w:hint="eastAsia" w:eastAsia="仿宋_GB2312"/>
          <w:color w:val="auto"/>
          <w:sz w:val="30"/>
          <w:szCs w:val="30"/>
          <w:highlight w:val="none"/>
        </w:rPr>
        <w:t>发挥叶城-若羌-格尔木铁路作用，聚焦打造“通道+枢纽+网络”物流运行体系，促进流通信息化、标准化、集约化、智慧化，积极对接外贸产品、移动终端、社交网络为重点的现代化电子商务物流需求，实现物流业的转型升级。支持建设一批物流电子交易平台，促进物流公共信息服务平台发展。鼓励物流企业之间的数据资源共享。制定标准化的物流信息平台接口规范，建立物流数据信息采集、交换和共享机制，推进商贸物流与生产、批零等企业物流业，实现数据信息共享。</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bookmarkStart w:id="109" w:name="_Toc42605644"/>
      <w:r>
        <w:rPr>
          <w:rFonts w:hint="eastAsia" w:eastAsia="仿宋_GB2312"/>
          <w:b/>
          <w:color w:val="auto"/>
          <w:sz w:val="30"/>
          <w:szCs w:val="30"/>
          <w:highlight w:val="none"/>
        </w:rPr>
        <w:t>加快多功能物流体系建设</w:t>
      </w:r>
      <w:bookmarkEnd w:id="109"/>
      <w:r>
        <w:rPr>
          <w:rFonts w:hint="eastAsia" w:eastAsia="仿宋_GB2312"/>
          <w:b/>
          <w:color w:val="auto"/>
          <w:sz w:val="30"/>
          <w:szCs w:val="30"/>
          <w:highlight w:val="none"/>
        </w:rPr>
        <w:t>。</w:t>
      </w:r>
      <w:r>
        <w:rPr>
          <w:rFonts w:hint="eastAsia" w:eastAsia="仿宋_GB2312"/>
          <w:color w:val="auto"/>
          <w:sz w:val="30"/>
          <w:szCs w:val="30"/>
          <w:highlight w:val="none"/>
        </w:rPr>
        <w:t>优化商贸物流设施布局，构建以重点商贸物流园区、配送中心和末端配送点为支点的城市物流配送网络。强化各类批发零售市场的物流服务功能，建设集交易、仓储、配送等功能</w:t>
      </w:r>
      <w:r>
        <w:rPr>
          <w:rFonts w:hint="eastAsia" w:eastAsia="仿宋_GB2312"/>
          <w:color w:val="auto"/>
          <w:sz w:val="30"/>
          <w:szCs w:val="30"/>
          <w:highlight w:val="none"/>
          <w:lang w:val="en-US" w:eastAsia="zh-CN"/>
        </w:rPr>
        <w:t>于</w:t>
      </w:r>
      <w:r>
        <w:rPr>
          <w:rFonts w:hint="eastAsia" w:eastAsia="仿宋_GB2312"/>
          <w:color w:val="auto"/>
          <w:sz w:val="30"/>
          <w:szCs w:val="30"/>
          <w:highlight w:val="none"/>
        </w:rPr>
        <w:t>一体的多功能商贸物流园及物流配送终端。促进现有运输、仓储、外贸、邮政、批发企业的服务延伸和功能整合，推动有条件的运输、仓储和代理等企业向第三方物流企业发展。逐步培育一批服务水平高、竞争力强的现代专业物流龙头企业和骨干企业。</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bookmarkStart w:id="110" w:name="_Toc42605645"/>
      <w:r>
        <w:rPr>
          <w:rFonts w:hint="eastAsia" w:eastAsia="仿宋_GB2312"/>
          <w:b/>
          <w:color w:val="auto"/>
          <w:sz w:val="30"/>
          <w:szCs w:val="30"/>
          <w:highlight w:val="none"/>
        </w:rPr>
        <w:t>提高物流配送标准化水平</w:t>
      </w:r>
      <w:bookmarkEnd w:id="110"/>
      <w:r>
        <w:rPr>
          <w:rFonts w:hint="eastAsia" w:eastAsia="仿宋_GB2312"/>
          <w:b/>
          <w:color w:val="auto"/>
          <w:sz w:val="30"/>
          <w:szCs w:val="30"/>
          <w:highlight w:val="none"/>
        </w:rPr>
        <w:t>。</w:t>
      </w:r>
      <w:r>
        <w:rPr>
          <w:rFonts w:hint="eastAsia" w:eastAsia="仿宋_GB2312"/>
          <w:color w:val="auto"/>
          <w:sz w:val="30"/>
          <w:szCs w:val="30"/>
          <w:highlight w:val="none"/>
        </w:rPr>
        <w:t>通过中欧班列的辐射带动作用，提升区域物流规范化水平，促进物流行业持续健康快速发展。落实现代物流业发展规划，优化商贸市场布局，重点建立覆盖仓储、车辆、服务等配送领域的体系。促进相关配套设施设备的标准化管理。提升现有专业市场的功能和档次，努力强化物流企业的竞争力、吸引力和辐射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推进各类商贸物流重点项目落地。</w:t>
      </w:r>
      <w:r>
        <w:rPr>
          <w:rFonts w:hint="eastAsia" w:eastAsia="仿宋_GB2312"/>
          <w:color w:val="auto"/>
          <w:sz w:val="30"/>
          <w:szCs w:val="30"/>
          <w:highlight w:val="none"/>
        </w:rPr>
        <w:t>积极推进现代化物流园区</w:t>
      </w:r>
      <w:r>
        <w:rPr>
          <w:rFonts w:hint="eastAsia" w:eastAsia="仿宋_GB2312"/>
          <w:color w:val="auto"/>
          <w:sz w:val="30"/>
          <w:szCs w:val="30"/>
          <w:highlight w:val="none"/>
          <w:lang w:eastAsia="zh-CN"/>
        </w:rPr>
        <w:t>、</w:t>
      </w:r>
      <w:r>
        <w:rPr>
          <w:rFonts w:hint="eastAsia" w:eastAsia="仿宋_GB2312"/>
          <w:color w:val="auto"/>
          <w:sz w:val="30"/>
          <w:szCs w:val="30"/>
          <w:highlight w:val="none"/>
        </w:rPr>
        <w:t>物流枢纽</w:t>
      </w:r>
      <w:r>
        <w:rPr>
          <w:rFonts w:hint="eastAsia" w:eastAsia="仿宋_GB2312"/>
          <w:color w:val="auto"/>
          <w:sz w:val="30"/>
          <w:szCs w:val="30"/>
          <w:highlight w:val="none"/>
          <w:lang w:val="en-US" w:eastAsia="zh-CN"/>
        </w:rPr>
        <w:t>和</w:t>
      </w:r>
      <w:r>
        <w:rPr>
          <w:rFonts w:hint="eastAsia" w:eastAsia="仿宋_GB2312"/>
          <w:color w:val="auto"/>
          <w:sz w:val="30"/>
          <w:szCs w:val="30"/>
          <w:highlight w:val="none"/>
        </w:rPr>
        <w:t>运营项目建设，积极谋划建设现代化大型煤炭、矿石储运中心及交易市场建设项目</w:t>
      </w:r>
      <w:r>
        <w:rPr>
          <w:rFonts w:hint="eastAsia" w:eastAsia="仿宋_GB2312"/>
          <w:color w:val="auto"/>
          <w:sz w:val="30"/>
          <w:szCs w:val="30"/>
          <w:highlight w:val="none"/>
          <w:lang w:eastAsia="zh-CN"/>
        </w:rPr>
        <w:t>、叶城矿产品加工储运集散中心、</w:t>
      </w:r>
      <w:r>
        <w:rPr>
          <w:rFonts w:hint="eastAsia" w:eastAsia="仿宋_GB2312"/>
          <w:color w:val="auto"/>
          <w:sz w:val="30"/>
          <w:szCs w:val="30"/>
          <w:highlight w:val="none"/>
        </w:rPr>
        <w:t>大型农产品储运中心和交易市场建设项目；健全县乡村物流配送体系，完善乡村物流站点设施，打造叶城乡村物流体系。确保“十四五”末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县、乡、村三级物流站点覆盖，城区智能终端建设达到领先水平，引领南疆现代物流发展。</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2" w:firstLineChars="200"/>
        <w:textAlignment w:val="auto"/>
        <w:rPr>
          <w:rFonts w:hint="eastAsia" w:eastAsia="仿宋_GB2312"/>
          <w:color w:val="auto"/>
          <w:sz w:val="30"/>
          <w:szCs w:val="30"/>
          <w:highlight w:val="none"/>
          <w:lang w:eastAsia="zh-CN"/>
        </w:rPr>
      </w:pPr>
      <w:r>
        <w:rPr>
          <w:rFonts w:hint="eastAsia" w:eastAsia="仿宋_GB2312"/>
          <w:b/>
          <w:color w:val="auto"/>
          <w:sz w:val="30"/>
          <w:szCs w:val="30"/>
          <w:highlight w:val="none"/>
          <w:lang w:val="en-US" w:eastAsia="zh-CN"/>
        </w:rPr>
        <w:t>完善</w:t>
      </w:r>
      <w:r>
        <w:rPr>
          <w:rFonts w:hint="eastAsia" w:eastAsia="仿宋_GB2312"/>
          <w:b/>
          <w:color w:val="auto"/>
          <w:sz w:val="30"/>
          <w:szCs w:val="30"/>
          <w:highlight w:val="none"/>
        </w:rPr>
        <w:t>物流中心建设基础。</w:t>
      </w:r>
      <w:r>
        <w:rPr>
          <w:rFonts w:hint="eastAsia" w:eastAsia="仿宋_GB2312"/>
          <w:color w:val="auto"/>
          <w:sz w:val="30"/>
          <w:szCs w:val="30"/>
          <w:highlight w:val="none"/>
        </w:rPr>
        <w:t>完善资金支撑体系，建立健全财政扶持商贸物流发展体制机制。促进资本市场金融，引导民间资本投入重点产业市场。加强政府投资管理，提高管理水平和财政资金的使用效率。加快人才培养体系建设，重点培养创新型科技人才。完善土地统筹配套体系。</w:t>
      </w:r>
      <w:r>
        <w:rPr>
          <w:rFonts w:hint="eastAsia" w:eastAsia="仿宋_GB2312"/>
          <w:color w:val="auto"/>
          <w:sz w:val="30"/>
          <w:szCs w:val="30"/>
          <w:highlight w:val="none"/>
          <w:lang w:eastAsia="zh-CN"/>
        </w:rPr>
        <w:t>积极构筑丝绸之路大通道，构建开放</w:t>
      </w:r>
      <w:r>
        <w:rPr>
          <w:rFonts w:hint="eastAsia" w:eastAsia="仿宋_GB2312"/>
          <w:color w:val="auto"/>
          <w:sz w:val="30"/>
          <w:szCs w:val="30"/>
          <w:highlight w:val="none"/>
          <w:lang w:val="en-US" w:eastAsia="zh-CN"/>
        </w:rPr>
        <w:t>型</w:t>
      </w:r>
      <w:r>
        <w:rPr>
          <w:rFonts w:hint="eastAsia" w:eastAsia="仿宋_GB2312"/>
          <w:color w:val="auto"/>
          <w:sz w:val="30"/>
          <w:szCs w:val="30"/>
          <w:highlight w:val="none"/>
          <w:lang w:eastAsia="zh-CN"/>
        </w:rPr>
        <w:t>经济体系，鼓励企业走出去引进来。</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专栏7：商贸物流重点建设项目</w:t>
            </w:r>
          </w:p>
          <w:p>
            <w:pPr>
              <w:pStyle w:val="2"/>
              <w:keepNext/>
              <w:keepLines/>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560" w:firstLineChars="200"/>
              <w:jc w:val="left"/>
              <w:textAlignment w:val="auto"/>
              <w:rPr>
                <w:rFonts w:hint="eastAsia" w:ascii="方正仿宋_GBK" w:hAnsi="方正仿宋_GBK" w:eastAsia="方正仿宋_GBK" w:cs="方正仿宋_GBK"/>
                <w:sz w:val="24"/>
                <w:szCs w:val="24"/>
                <w:u w:val="none" w:color="auto"/>
                <w:lang w:val="en-US" w:eastAsia="zh-CN"/>
              </w:rPr>
            </w:pPr>
            <w:bookmarkStart w:id="111" w:name="_Toc31919"/>
            <w:bookmarkStart w:id="112" w:name="_Toc28745"/>
            <w:bookmarkStart w:id="113" w:name="_Toc10590"/>
            <w:r>
              <w:rPr>
                <w:rFonts w:hint="eastAsia" w:ascii="楷体" w:hAnsi="楷体" w:eastAsia="楷体" w:cs="楷体"/>
                <w:b w:val="0"/>
                <w:bCs w:val="0"/>
                <w:color w:val="auto"/>
                <w:kern w:val="2"/>
                <w:sz w:val="28"/>
                <w:szCs w:val="28"/>
                <w:highlight w:val="none"/>
                <w:lang w:val="en-US" w:eastAsia="zh-CN" w:bidi="ar-SA"/>
              </w:rPr>
              <w:t>面向国内国际双循环：推进丝绸之路南通道（叶城）集散中心项目建设，实施叶城县219线现代化冷链仓储物流、矿产品加工储运集散中心、冷库及冷链物流、叶城-阿里矿产品加工产业园等建设项目。</w:t>
            </w:r>
            <w:bookmarkEnd w:id="111"/>
            <w:bookmarkEnd w:id="112"/>
            <w:bookmarkEnd w:id="113"/>
          </w:p>
        </w:tc>
      </w:tr>
    </w:tbl>
    <w:p>
      <w:pPr>
        <w:pStyle w:val="14"/>
        <w:rPr>
          <w:rFonts w:hint="eastAsia"/>
          <w:lang w:eastAsia="zh-CN"/>
        </w:rPr>
      </w:pPr>
    </w:p>
    <w:p>
      <w:pPr>
        <w:pStyle w:val="18"/>
        <w:keepNext w:val="0"/>
        <w:keepLines w:val="0"/>
        <w:shd w:val="clear"/>
        <w:spacing w:beforeLines="50" w:afterLines="50"/>
        <w:rPr>
          <w:rFonts w:hint="eastAsia" w:ascii="Times New Roman" w:hAnsi="Times New Roman"/>
          <w:lang w:val="zh-CN" w:eastAsia="zh-CN"/>
        </w:rPr>
      </w:pPr>
      <w:bookmarkStart w:id="114" w:name="_Toc20865"/>
      <w:bookmarkStart w:id="115" w:name="_Toc10025"/>
      <w:r>
        <w:rPr>
          <w:rFonts w:hint="eastAsia" w:ascii="Times New Roman" w:hAnsi="Times New Roman"/>
          <w:lang w:val="zh-CN" w:eastAsia="zh-CN"/>
        </w:rPr>
        <w:t>第二节 促进文化旅游深度融合</w:t>
      </w:r>
      <w:bookmarkEnd w:id="114"/>
      <w:bookmarkEnd w:id="115"/>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促进文化旅游深度融合。</w:t>
      </w:r>
      <w:r>
        <w:rPr>
          <w:rFonts w:hint="eastAsia" w:eastAsia="仿宋_GB2312"/>
          <w:color w:val="auto"/>
          <w:sz w:val="30"/>
          <w:szCs w:val="30"/>
          <w:highlight w:val="none"/>
        </w:rPr>
        <w:t>深入实施“旅游强县”战略，围绕“吃住行游购娱”六要素，切实提升“体验式”旅游服务水平。按照“一景区、一方案、一特色、一热点”的运营管理思路，促进资源优势转化为产业优势、经济优势。着力推进以新藏线和乔戈里峰为代表的边境探险游，以宗郎灵泉和坡陇原始森林为代表的自然风光游，以锡提亚迷城为代表的人文历史游，以核桃七仙园为代表的特色产业游、以烈士陵园和邓瓒先纪念馆为代表的经典红色游等五大旅游品牌建设。规划精品旅游线路，构建以新藏线“探险游”和核桃七仙园“产业游”两大品牌</w:t>
      </w:r>
      <w:r>
        <w:rPr>
          <w:rFonts w:hint="eastAsia" w:eastAsia="仿宋_GB2312"/>
          <w:color w:val="auto"/>
          <w:sz w:val="30"/>
          <w:szCs w:val="30"/>
          <w:highlight w:val="none"/>
          <w:lang w:val="en-US" w:eastAsia="zh-CN"/>
        </w:rPr>
        <w:t>为</w:t>
      </w:r>
      <w:r>
        <w:rPr>
          <w:rFonts w:hint="eastAsia" w:eastAsia="仿宋_GB2312"/>
          <w:color w:val="auto"/>
          <w:sz w:val="30"/>
          <w:szCs w:val="30"/>
          <w:highlight w:val="none"/>
        </w:rPr>
        <w:t>核心</w:t>
      </w:r>
      <w:r>
        <w:rPr>
          <w:rFonts w:hint="eastAsia" w:eastAsia="仿宋_GB2312"/>
          <w:color w:val="auto"/>
          <w:sz w:val="30"/>
          <w:szCs w:val="30"/>
          <w:highlight w:val="none"/>
          <w:lang w:val="en-US" w:eastAsia="zh-CN"/>
        </w:rPr>
        <w:t>的</w:t>
      </w:r>
      <w:r>
        <w:rPr>
          <w:rFonts w:hint="eastAsia" w:eastAsia="仿宋_GB2312"/>
          <w:color w:val="auto"/>
          <w:sz w:val="30"/>
          <w:szCs w:val="30"/>
          <w:highlight w:val="none"/>
        </w:rPr>
        <w:t>全域旅游目的地格局</w:t>
      </w:r>
      <w:r>
        <w:rPr>
          <w:rFonts w:hint="eastAsia" w:eastAsia="仿宋_GB2312"/>
          <w:color w:val="auto"/>
          <w:sz w:val="30"/>
          <w:szCs w:val="30"/>
          <w:highlight w:val="none"/>
          <w:lang w:eastAsia="zh-CN"/>
        </w:rPr>
        <w:t>。</w:t>
      </w:r>
      <w:r>
        <w:rPr>
          <w:rFonts w:hint="eastAsia" w:eastAsia="仿宋_GB2312"/>
          <w:color w:val="auto"/>
          <w:sz w:val="30"/>
          <w:szCs w:val="30"/>
          <w:highlight w:val="none"/>
        </w:rPr>
        <w:t>推进旅游业与其他产业的深度融合，充分发挥“旅游+文化、农业、体育、生态、教育、互联网”的综合带动效应，全方位、多渠道进行宣传推介，持续开展上海包机游和“叶城人游叶城”活动。</w:t>
      </w:r>
      <w:r>
        <w:rPr>
          <w:rFonts w:hint="eastAsia" w:eastAsia="仿宋_GB2312" w:cs="仿宋"/>
          <w:color w:val="auto"/>
          <w:sz w:val="30"/>
          <w:szCs w:val="30"/>
          <w:highlight w:val="none"/>
        </w:rPr>
        <w:t>力争将叶城县创建为国家全域旅游示范区和世界级旅游目的地。</w:t>
      </w:r>
    </w:p>
    <w:p>
      <w:pPr>
        <w:keepNext w:val="0"/>
        <w:keepLines w:val="0"/>
        <w:pageBreakBefore w:val="0"/>
        <w:shd w:val="clear"/>
        <w:kinsoku/>
        <w:wordWrap/>
        <w:autoSpaceDE/>
        <w:autoSpaceDN/>
        <w:bidi w:val="0"/>
        <w:spacing w:line="560" w:lineRule="exact"/>
        <w:ind w:firstLine="602" w:firstLineChars="200"/>
        <w:textAlignment w:val="auto"/>
        <w:rPr>
          <w:rFonts w:hint="default" w:eastAsia="仿宋_GB2312"/>
          <w:color w:val="auto"/>
          <w:sz w:val="30"/>
          <w:szCs w:val="30"/>
          <w:highlight w:val="none"/>
          <w:lang w:val="en-US" w:eastAsia="zh-CN"/>
        </w:rPr>
      </w:pPr>
      <w:r>
        <w:rPr>
          <w:rFonts w:hint="eastAsia" w:eastAsia="仿宋_GB2312"/>
          <w:b/>
          <w:color w:val="auto"/>
          <w:sz w:val="30"/>
          <w:szCs w:val="30"/>
          <w:highlight w:val="none"/>
        </w:rPr>
        <w:t>打造成新藏线旅游大本营。</w:t>
      </w:r>
      <w:r>
        <w:rPr>
          <w:rFonts w:hint="eastAsia" w:eastAsia="仿宋_GB2312" w:cs="仿宋"/>
          <w:color w:val="auto"/>
          <w:sz w:val="30"/>
          <w:szCs w:val="30"/>
          <w:highlight w:val="none"/>
        </w:rPr>
        <w:t>重点打造世界顶级旅游资源—新藏线和乔戈里峰，</w:t>
      </w:r>
      <w:r>
        <w:rPr>
          <w:rFonts w:hint="eastAsia" w:eastAsia="仿宋_GB2312"/>
          <w:color w:val="auto"/>
          <w:sz w:val="30"/>
          <w:szCs w:val="30"/>
          <w:highlight w:val="none"/>
        </w:rPr>
        <w:t>发挥新藏线“两个世界级”名片，培育乔戈里峰大本营，完成5个新藏驿站和4G通信基站建设，打造昆仑山居“民宿”，解决好“三难一不畅”问题。建设游客集散服务中心，</w:t>
      </w:r>
      <w:r>
        <w:rPr>
          <w:rFonts w:hint="eastAsia" w:eastAsia="仿宋_GB2312" w:cs="仿宋"/>
          <w:color w:val="auto"/>
          <w:sz w:val="30"/>
          <w:szCs w:val="30"/>
          <w:highlight w:val="none"/>
        </w:rPr>
        <w:t>打造以“</w:t>
      </w:r>
      <w:r>
        <w:rPr>
          <w:rFonts w:hint="eastAsia" w:eastAsia="仿宋_GB2312"/>
          <w:color w:val="auto"/>
          <w:sz w:val="30"/>
          <w:szCs w:val="30"/>
          <w:highlight w:val="none"/>
        </w:rPr>
        <w:t>锡提亚迷城</w:t>
      </w:r>
      <w:r>
        <w:rPr>
          <w:rFonts w:hint="eastAsia" w:eastAsia="仿宋_GB2312" w:cs="仿宋"/>
          <w:color w:val="auto"/>
          <w:sz w:val="30"/>
          <w:szCs w:val="30"/>
          <w:highlight w:val="none"/>
        </w:rPr>
        <w:t>”景区为核心的新藏线大本营建设，将叶城县打造成新藏线大本营和“不夜城”，满足外地客群的食宿、停车、户外露营等需求。报请自治区及国家层面助推新藏线文旅项目，促进喀什、和田、阿里三地在地区层面的协调合作，将新藏线打造成国家级风景文旅大道。组织新藏线汽摩赛，</w:t>
      </w:r>
      <w:r>
        <w:rPr>
          <w:rFonts w:hint="eastAsia" w:eastAsia="仿宋_GB2312"/>
          <w:color w:val="auto"/>
          <w:sz w:val="30"/>
          <w:szCs w:val="30"/>
          <w:highlight w:val="none"/>
        </w:rPr>
        <w:t>打造国内外越野、自驾旅游理想地，深入推进自驾车</w:t>
      </w:r>
      <w:r>
        <w:rPr>
          <w:rFonts w:hint="eastAsia" w:eastAsia="仿宋_GB2312"/>
          <w:color w:val="auto"/>
          <w:sz w:val="30"/>
          <w:szCs w:val="30"/>
          <w:highlight w:val="none"/>
          <w:lang w:eastAsia="zh-CN"/>
        </w:rPr>
        <w:t>、</w:t>
      </w:r>
      <w:r>
        <w:rPr>
          <w:rFonts w:hint="eastAsia" w:eastAsia="仿宋_GB2312"/>
          <w:color w:val="auto"/>
          <w:sz w:val="30"/>
          <w:szCs w:val="30"/>
          <w:highlight w:val="none"/>
        </w:rPr>
        <w:t>房车营地服务体系建设，完善营地基础设施与配套服务。加快构建三级旅游集散体系建设，完善租车、包车、车票预订等功能。</w:t>
      </w:r>
      <w:r>
        <w:rPr>
          <w:rFonts w:hint="eastAsia" w:eastAsia="仿宋_GB2312" w:cs="仿宋"/>
          <w:color w:val="auto"/>
          <w:sz w:val="30"/>
          <w:szCs w:val="30"/>
          <w:highlight w:val="none"/>
        </w:rPr>
        <w:t>将坡陇原始森林景区建设为4A级景区，</w:t>
      </w:r>
      <w:r>
        <w:rPr>
          <w:rFonts w:hint="eastAsia" w:eastAsia="仿宋_GB2312"/>
          <w:color w:val="auto"/>
          <w:sz w:val="30"/>
          <w:szCs w:val="30"/>
          <w:highlight w:val="none"/>
        </w:rPr>
        <w:t>柯克亚5村打造成旅游示范村，打造成最美</w:t>
      </w:r>
      <w:r>
        <w:rPr>
          <w:rFonts w:hint="eastAsia" w:ascii="仿宋_GB2312" w:hAnsi="仿宋_GB2312" w:eastAsia="仿宋_GB2312" w:cs="仿宋_GB2312"/>
          <w:color w:val="auto"/>
          <w:sz w:val="30"/>
          <w:szCs w:val="30"/>
          <w:highlight w:val="none"/>
        </w:rPr>
        <w:t>星空观景瞭望站</w:t>
      </w:r>
      <w:r>
        <w:rPr>
          <w:rFonts w:hint="eastAsia" w:eastAsia="仿宋_GB2312"/>
          <w:color w:val="auto"/>
          <w:sz w:val="30"/>
          <w:szCs w:val="30"/>
          <w:highlight w:val="none"/>
        </w:rPr>
        <w:t>，塑造</w:t>
      </w:r>
      <w:r>
        <w:rPr>
          <w:rFonts w:hint="eastAsia" w:eastAsia="仿宋_GB2312" w:cs="仿宋"/>
          <w:bCs/>
          <w:color w:val="auto"/>
          <w:sz w:val="30"/>
          <w:szCs w:val="30"/>
          <w:highlight w:val="none"/>
        </w:rPr>
        <w:t>新藏公路219国道的歇憩港湾和精神部落形象</w:t>
      </w:r>
      <w:r>
        <w:rPr>
          <w:rFonts w:hint="eastAsia" w:eastAsia="仿宋_GB2312" w:cs="Times New Roman"/>
          <w:bCs w:val="0"/>
          <w:color w:val="auto"/>
          <w:sz w:val="30"/>
          <w:szCs w:val="30"/>
          <w:highlight w:val="none"/>
        </w:rPr>
        <w:t>。</w:t>
      </w:r>
      <w:r>
        <w:rPr>
          <w:rFonts w:hint="eastAsia" w:eastAsia="仿宋_GB2312" w:cs="Times New Roman"/>
          <w:bCs w:val="0"/>
          <w:color w:val="auto"/>
          <w:sz w:val="30"/>
          <w:szCs w:val="30"/>
          <w:highlight w:val="none"/>
          <w:lang w:eastAsia="zh-CN"/>
        </w:rPr>
        <w:t>升级</w:t>
      </w:r>
      <w:r>
        <w:rPr>
          <w:rFonts w:hint="eastAsia" w:eastAsia="仿宋_GB2312" w:cs="Times New Roman"/>
          <w:bCs w:val="0"/>
          <w:color w:val="auto"/>
          <w:sz w:val="30"/>
          <w:szCs w:val="30"/>
          <w:highlight w:val="none"/>
          <w:lang w:val="en-US" w:eastAsia="zh-CN"/>
        </w:rPr>
        <w:t>改造</w:t>
      </w:r>
      <w:r>
        <w:rPr>
          <w:rFonts w:hint="eastAsia" w:eastAsia="仿宋_GB2312" w:cs="Times New Roman"/>
          <w:bCs w:val="0"/>
          <w:color w:val="auto"/>
          <w:sz w:val="30"/>
          <w:szCs w:val="30"/>
          <w:highlight w:val="none"/>
          <w:lang w:eastAsia="zh-CN"/>
        </w:rPr>
        <w:t>宗朗灵泉等景区，</w:t>
      </w:r>
      <w:r>
        <w:rPr>
          <w:rFonts w:hint="eastAsia" w:eastAsia="仿宋_GB2312" w:cs="Times New Roman"/>
          <w:bCs w:val="0"/>
          <w:color w:val="auto"/>
          <w:sz w:val="30"/>
          <w:szCs w:val="30"/>
          <w:highlight w:val="none"/>
          <w:lang w:val="en-US" w:eastAsia="zh-CN"/>
        </w:rPr>
        <w:t>将</w:t>
      </w:r>
      <w:r>
        <w:rPr>
          <w:rFonts w:hint="eastAsia" w:eastAsia="仿宋_GB2312" w:cs="Times New Roman"/>
          <w:bCs w:val="0"/>
          <w:color w:val="auto"/>
          <w:sz w:val="30"/>
          <w:szCs w:val="30"/>
          <w:highlight w:val="none"/>
          <w:lang w:eastAsia="zh-CN"/>
        </w:rPr>
        <w:t>棋盘千佛洞打造成</w:t>
      </w:r>
      <w:r>
        <w:rPr>
          <w:rFonts w:hint="eastAsia" w:eastAsia="仿宋_GB2312" w:cs="Times New Roman"/>
          <w:bCs w:val="0"/>
          <w:color w:val="auto"/>
          <w:sz w:val="30"/>
          <w:szCs w:val="30"/>
          <w:highlight w:val="none"/>
          <w:lang w:val="en-US" w:eastAsia="zh-CN"/>
        </w:rPr>
        <w:t>3A级</w:t>
      </w:r>
      <w:r>
        <w:rPr>
          <w:rFonts w:hint="eastAsia" w:eastAsia="仿宋_GB2312" w:cs="Times New Roman"/>
          <w:bCs w:val="0"/>
          <w:color w:val="auto"/>
          <w:sz w:val="30"/>
          <w:szCs w:val="30"/>
          <w:highlight w:val="none"/>
          <w:lang w:eastAsia="zh-CN"/>
        </w:rPr>
        <w:t>景区</w:t>
      </w:r>
      <w:r>
        <w:rPr>
          <w:rFonts w:hint="eastAsia" w:eastAsia="仿宋_GB2312" w:cs="Times New Roman"/>
          <w:bCs w:val="0"/>
          <w:color w:val="auto"/>
          <w:sz w:val="30"/>
          <w:szCs w:val="30"/>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rPr>
        <w:t>扩大旅游影响力。</w:t>
      </w:r>
      <w:r>
        <w:rPr>
          <w:rFonts w:hint="eastAsia" w:eastAsia="仿宋_GB2312"/>
          <w:color w:val="auto"/>
          <w:sz w:val="30"/>
          <w:szCs w:val="30"/>
          <w:highlight w:val="none"/>
        </w:rPr>
        <w:t>强化整体旅游品牌形象的塑造，提高并强化叶城旅游在援疆省市和疆内外的认知度、美誉度和吸引力。加强与对口援疆省市的旅游宣传营销合作，共同举办文化节庆、体育赛事和大型跨区域特种旅游活动等，联合开展旅游目的地形象宣传推广活动，整合营销、创新营销方式，完善营销网络，依托乔戈里峰的认知度</w:t>
      </w:r>
      <w:r>
        <w:rPr>
          <w:rFonts w:hint="eastAsia" w:eastAsia="仿宋_GB2312"/>
          <w:color w:val="auto"/>
          <w:sz w:val="30"/>
          <w:szCs w:val="30"/>
          <w:highlight w:val="none"/>
          <w:lang w:eastAsia="zh-CN"/>
        </w:rPr>
        <w:t>，</w:t>
      </w:r>
      <w:r>
        <w:rPr>
          <w:rFonts w:hint="eastAsia" w:eastAsia="仿宋_GB2312"/>
          <w:color w:val="auto"/>
          <w:sz w:val="30"/>
          <w:szCs w:val="30"/>
          <w:highlight w:val="none"/>
        </w:rPr>
        <w:t>共同打造旅游品牌。充分利用现代媒体，提高公众对“叶城旅游”的关注度，大力提升叶城·新藏线知名度，强化叶城旅游资源，通过举办节会促进文旅产业发展，结合每年开展</w:t>
      </w:r>
      <w:r>
        <w:rPr>
          <w:rFonts w:hint="eastAsia" w:eastAsia="仿宋_GB2312"/>
          <w:color w:val="auto"/>
          <w:sz w:val="30"/>
          <w:szCs w:val="30"/>
          <w:highlight w:val="none"/>
          <w:lang w:eastAsia="zh-CN"/>
        </w:rPr>
        <w:t>“</w:t>
      </w:r>
      <w:r>
        <w:rPr>
          <w:rFonts w:hint="eastAsia" w:eastAsia="仿宋_GB2312"/>
          <w:color w:val="auto"/>
          <w:sz w:val="30"/>
          <w:szCs w:val="30"/>
          <w:highlight w:val="none"/>
        </w:rPr>
        <w:t>5·19</w:t>
      </w:r>
      <w:r>
        <w:rPr>
          <w:rFonts w:hint="eastAsia" w:eastAsia="仿宋_GB2312"/>
          <w:color w:val="auto"/>
          <w:sz w:val="30"/>
          <w:szCs w:val="30"/>
          <w:highlight w:val="none"/>
          <w:lang w:eastAsia="zh-CN"/>
        </w:rPr>
        <w:t>”</w:t>
      </w:r>
      <w:r>
        <w:rPr>
          <w:rFonts w:hint="eastAsia" w:eastAsia="仿宋_GB2312"/>
          <w:color w:val="auto"/>
          <w:sz w:val="30"/>
          <w:szCs w:val="30"/>
          <w:highlight w:val="none"/>
        </w:rPr>
        <w:t>系列旅游日活动，充分展示叶城旅游发展成果，加大乡村旅游商品研发培育力度，打响叶城旅游品牌。瞄准目标市场，丰富营销手段，利用好“叶城零距离”及融媒体等传统媒体和互联网、微信等新兴媒体，做好品牌宣传，强化精准营销，为旅游企业提供精准化、个性化服务，不断拓展叶城旅游产业的</w:t>
      </w:r>
      <w:r>
        <w:rPr>
          <w:rFonts w:hint="eastAsia" w:eastAsia="仿宋_GB2312"/>
          <w:color w:val="auto"/>
          <w:sz w:val="30"/>
          <w:szCs w:val="30"/>
          <w:highlight w:val="none"/>
          <w:lang w:val="en-US" w:eastAsia="zh-CN"/>
        </w:rPr>
        <w:t>市场</w:t>
      </w:r>
      <w:r>
        <w:rPr>
          <w:rFonts w:hint="eastAsia" w:eastAsia="仿宋_GB2312"/>
          <w:color w:val="auto"/>
          <w:sz w:val="30"/>
          <w:szCs w:val="30"/>
          <w:highlight w:val="none"/>
        </w:rPr>
        <w:t>占有率和知名度。</w:t>
      </w:r>
    </w:p>
    <w:tbl>
      <w:tblPr>
        <w:tblStyle w:val="1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492"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专栏8：旅游重点工程建设项目</w:t>
            </w:r>
          </w:p>
          <w:p>
            <w:pPr>
              <w:pStyle w:val="2"/>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u w:val="none" w:color="auto"/>
                <w:lang w:val="en-US" w:eastAsia="zh-CN"/>
              </w:rPr>
            </w:pPr>
            <w:bookmarkStart w:id="116" w:name="_Toc3365"/>
            <w:bookmarkStart w:id="117" w:name="_Toc14066"/>
            <w:bookmarkStart w:id="118" w:name="_Toc21384"/>
            <w:r>
              <w:rPr>
                <w:rFonts w:hint="eastAsia" w:ascii="楷体" w:hAnsi="楷体" w:eastAsia="楷体" w:cs="楷体"/>
                <w:b w:val="0"/>
                <w:bCs w:val="0"/>
                <w:color w:val="auto"/>
                <w:kern w:val="2"/>
                <w:sz w:val="28"/>
                <w:szCs w:val="28"/>
                <w:highlight w:val="none"/>
                <w:lang w:val="en-US" w:eastAsia="zh-CN" w:bidi="ar-SA"/>
              </w:rPr>
              <w:t>实施丝绸之路经济带（叶城）国际文化交流中心、叶城县文博中心（文化馆、图书馆、非物质文化遗产、博物馆、展览馆、美术馆）、乔戈里峰大本营游客接待中心、锡提亚谜城景区智能化提升、叶城恰其库木国家沙漠公园建设项目、叶城县杏花村游客接待中心等项目。</w:t>
            </w:r>
            <w:bookmarkEnd w:id="116"/>
            <w:bookmarkEnd w:id="117"/>
            <w:bookmarkEnd w:id="118"/>
          </w:p>
        </w:tc>
      </w:tr>
    </w:tbl>
    <w:p>
      <w:pPr>
        <w:pStyle w:val="14"/>
      </w:pPr>
    </w:p>
    <w:p>
      <w:pPr>
        <w:pStyle w:val="18"/>
        <w:keepNext w:val="0"/>
        <w:keepLines w:val="0"/>
        <w:shd w:val="clear"/>
        <w:spacing w:beforeLines="50" w:afterLines="50"/>
        <w:rPr>
          <w:rFonts w:hint="eastAsia" w:ascii="Times New Roman" w:hAnsi="Times New Roman"/>
          <w:lang w:val="zh-CN" w:eastAsia="zh-CN"/>
        </w:rPr>
      </w:pPr>
      <w:bookmarkStart w:id="119" w:name="_Toc5911"/>
      <w:bookmarkStart w:id="120" w:name="_Toc30479"/>
      <w:r>
        <w:rPr>
          <w:rFonts w:hint="eastAsia" w:ascii="Times New Roman" w:hAnsi="Times New Roman"/>
          <w:lang w:val="zh-CN" w:eastAsia="zh-CN"/>
        </w:rPr>
        <w:t>第三节 完善电子商务服务体系</w:t>
      </w:r>
      <w:bookmarkEnd w:id="119"/>
      <w:bookmarkEnd w:id="120"/>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加快电子商务平台和公共服务平台建设，完善叶城电商物流产业园建设。创新发展“互联网+贸易、制造业、批发零售、旅游、住宿餐饮”等模式，着力推进电子商务高质量发展。扩大农业农村电子商务应用，围绕叶城核桃、杏子、石榴、牦牛、上树鸡等特色农产品，构建连接农家店、农产品龙头企业、批发市场的电子商务服务体系，实现农产品进城和工业品下乡的双向流通。发展旅游电子商务服务，开展新藏线游交通、住宿、餐饮、票务、商品、信息等商务服务，逐步实现与国内外旅游行业电子商务的对接。</w:t>
      </w:r>
      <w:r>
        <w:rPr>
          <w:rFonts w:hint="eastAsia" w:eastAsia="仿宋_GB2312"/>
          <w:color w:val="auto"/>
          <w:sz w:val="30"/>
          <w:szCs w:val="30"/>
          <w:highlight w:val="none"/>
          <w:lang w:val="en-US" w:eastAsia="zh-CN"/>
        </w:rPr>
        <w:t>到</w:t>
      </w:r>
      <w:r>
        <w:rPr>
          <w:rFonts w:hint="eastAsia" w:eastAsia="仿宋_GB2312"/>
          <w:color w:val="auto"/>
          <w:sz w:val="30"/>
          <w:szCs w:val="30"/>
          <w:highlight w:val="none"/>
        </w:rPr>
        <w:t>“十四五”末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实现</w:t>
      </w:r>
      <w:r>
        <w:rPr>
          <w:rFonts w:hint="eastAsia" w:eastAsia="仿宋_GB2312"/>
          <w:color w:val="auto"/>
          <w:sz w:val="30"/>
          <w:szCs w:val="30"/>
          <w:highlight w:val="none"/>
          <w:lang w:eastAsia="zh-CN"/>
        </w:rPr>
        <w:t>电商运营体系</w:t>
      </w:r>
      <w:r>
        <w:rPr>
          <w:rFonts w:hint="eastAsia" w:eastAsia="仿宋_GB2312"/>
          <w:color w:val="auto"/>
          <w:sz w:val="30"/>
          <w:szCs w:val="30"/>
          <w:highlight w:val="none"/>
        </w:rPr>
        <w:t>营销农产品年销售额达全部农产品销售</w:t>
      </w:r>
      <w:r>
        <w:rPr>
          <w:rFonts w:hint="eastAsia" w:eastAsia="仿宋_GB2312"/>
          <w:color w:val="auto"/>
          <w:sz w:val="30"/>
          <w:szCs w:val="30"/>
          <w:highlight w:val="none"/>
          <w:lang w:val="en-US" w:eastAsia="zh-CN"/>
        </w:rPr>
        <w:t>额</w:t>
      </w:r>
      <w:r>
        <w:rPr>
          <w:rFonts w:hint="eastAsia" w:eastAsia="仿宋_GB2312"/>
          <w:color w:val="auto"/>
          <w:sz w:val="30"/>
          <w:szCs w:val="30"/>
          <w:highlight w:val="none"/>
        </w:rPr>
        <w:t>的60%以上。</w:t>
      </w:r>
    </w:p>
    <w:p>
      <w:pPr>
        <w:pStyle w:val="18"/>
        <w:keepNext w:val="0"/>
        <w:keepLines w:val="0"/>
        <w:shd w:val="clear"/>
        <w:spacing w:beforeLines="50" w:afterLines="50"/>
        <w:rPr>
          <w:rFonts w:hint="eastAsia" w:ascii="Times New Roman" w:hAnsi="Times New Roman"/>
          <w:color w:val="auto"/>
          <w:lang w:val="zh-CN" w:eastAsia="zh-CN"/>
        </w:rPr>
      </w:pPr>
      <w:bookmarkStart w:id="121" w:name="_Toc29348"/>
      <w:bookmarkStart w:id="122" w:name="_Toc28576"/>
      <w:r>
        <w:rPr>
          <w:rFonts w:hint="eastAsia" w:ascii="Times New Roman" w:hAnsi="Times New Roman"/>
          <w:color w:val="auto"/>
          <w:lang w:val="zh-CN" w:eastAsia="zh-CN"/>
        </w:rPr>
        <w:t>第四节 培育发展现代金融服务</w:t>
      </w:r>
      <w:bookmarkEnd w:id="121"/>
      <w:bookmarkEnd w:id="122"/>
    </w:p>
    <w:p>
      <w:pPr>
        <w:keepNext w:val="0"/>
        <w:keepLines w:val="0"/>
        <w:pageBreakBefore w:val="0"/>
        <w:shd w:val="clear"/>
        <w:kinsoku/>
        <w:wordWrap/>
        <w:autoSpaceDE/>
        <w:autoSpaceDN/>
        <w:bidi w:val="0"/>
        <w:adjustRightInd w:val="0"/>
        <w:snapToGrid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lang w:val="en-US" w:eastAsia="zh-CN"/>
        </w:rPr>
        <w:t>不断</w:t>
      </w:r>
      <w:r>
        <w:rPr>
          <w:rFonts w:hint="eastAsia" w:eastAsia="仿宋_GB2312"/>
          <w:color w:val="auto"/>
          <w:sz w:val="30"/>
          <w:szCs w:val="30"/>
          <w:highlight w:val="none"/>
        </w:rPr>
        <w:t>提升金融业整体实力和竞争力，更好地支持县域经济结构调整和产业升</w:t>
      </w:r>
      <w:r>
        <w:rPr>
          <w:rFonts w:hint="eastAsia" w:eastAsia="仿宋_GB2312"/>
          <w:b w:val="0"/>
          <w:bCs w:val="0"/>
          <w:color w:val="auto"/>
          <w:sz w:val="30"/>
          <w:szCs w:val="30"/>
          <w:highlight w:val="none"/>
        </w:rPr>
        <w:t>级。</w:t>
      </w:r>
      <w:r>
        <w:rPr>
          <w:rFonts w:hint="eastAsia" w:eastAsia="仿宋_GB2312"/>
          <w:b w:val="0"/>
          <w:bCs w:val="0"/>
          <w:color w:val="auto"/>
          <w:sz w:val="30"/>
          <w:szCs w:val="30"/>
          <w:highlight w:val="none"/>
          <w:lang w:val="en-US" w:eastAsia="zh-CN"/>
        </w:rPr>
        <w:t>提高金融服务水平。</w:t>
      </w:r>
      <w:r>
        <w:rPr>
          <w:rFonts w:hint="eastAsia" w:eastAsia="仿宋_GB2312"/>
          <w:b w:val="0"/>
          <w:bCs w:val="0"/>
          <w:color w:val="auto"/>
          <w:sz w:val="30"/>
          <w:szCs w:val="30"/>
          <w:highlight w:val="none"/>
        </w:rPr>
        <w:t>大力宣传推广金融服务产品，不断提高全社会的金融意识，加大金融服务方面的资金投入，解决取款难等农村金融服务问题</w:t>
      </w:r>
      <w:r>
        <w:rPr>
          <w:rFonts w:hint="eastAsia" w:eastAsia="仿宋_GB2312"/>
          <w:b w:val="0"/>
          <w:bCs w:val="0"/>
          <w:color w:val="auto"/>
          <w:sz w:val="30"/>
          <w:szCs w:val="30"/>
          <w:highlight w:val="none"/>
          <w:lang w:eastAsia="zh-CN"/>
        </w:rPr>
        <w:t>，</w:t>
      </w:r>
      <w:r>
        <w:rPr>
          <w:rFonts w:hint="eastAsia" w:eastAsia="仿宋_GB2312"/>
          <w:b w:val="0"/>
          <w:bCs w:val="0"/>
          <w:color w:val="auto"/>
          <w:sz w:val="30"/>
          <w:szCs w:val="30"/>
          <w:highlight w:val="none"/>
        </w:rPr>
        <w:t>力争到2025年，金融机构服务网点、智慧柜员机、自助设备、村级助农金融服务点等覆盖所有行政村。加强对农村服务人员的培训工作，开展助农取款服务机具操作、反假货币知识和金融消费者权益保护等方面的知识培训，提高风险意识和服务水平。</w:t>
      </w:r>
      <w:r>
        <w:rPr>
          <w:rFonts w:hint="eastAsia" w:eastAsia="仿宋_GB2312" w:cs="Times New Roman"/>
          <w:b w:val="0"/>
          <w:bCs w:val="0"/>
          <w:color w:val="auto"/>
          <w:sz w:val="30"/>
          <w:szCs w:val="30"/>
          <w:highlight w:val="none"/>
        </w:rPr>
        <w:t>切实做好风险防范</w:t>
      </w:r>
      <w:r>
        <w:rPr>
          <w:rFonts w:hint="eastAsia" w:eastAsia="仿宋_GB2312" w:cs="Times New Roman"/>
          <w:b w:val="0"/>
          <w:bCs w:val="0"/>
          <w:color w:val="auto"/>
          <w:sz w:val="30"/>
          <w:szCs w:val="30"/>
          <w:highlight w:val="none"/>
          <w:lang w:eastAsia="zh-CN"/>
        </w:rPr>
        <w:t>。</w:t>
      </w:r>
      <w:r>
        <w:rPr>
          <w:rFonts w:hint="eastAsia" w:eastAsia="仿宋_GB2312" w:cs="Times New Roman"/>
          <w:b w:val="0"/>
          <w:bCs w:val="0"/>
          <w:color w:val="auto"/>
          <w:sz w:val="30"/>
          <w:szCs w:val="30"/>
          <w:highlight w:val="none"/>
        </w:rPr>
        <w:t>将金融服务点纳入当地社会治安重点保护对象，增强安防能力，防范盗抢，充分利用科技手段，加强远程监控管理，加强交</w:t>
      </w:r>
      <w:r>
        <w:rPr>
          <w:rFonts w:hint="eastAsia" w:eastAsia="仿宋_GB2312" w:cs="Times New Roman"/>
          <w:color w:val="auto"/>
          <w:sz w:val="30"/>
          <w:szCs w:val="30"/>
          <w:highlight w:val="none"/>
        </w:rPr>
        <w:t>易资金监管。</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123" w:name="_Toc27926"/>
      <w:bookmarkStart w:id="124" w:name="_Toc12693"/>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七</w:t>
      </w:r>
      <w:r>
        <w:rPr>
          <w:rFonts w:hint="eastAsia" w:ascii="Times New Roman" w:hAnsi="Times New Roman" w:eastAsia="黑体" w:cs="Times New Roman"/>
          <w:b w:val="0"/>
          <w:bCs w:val="0"/>
          <w:sz w:val="30"/>
          <w:szCs w:val="30"/>
          <w:lang w:val="en-US" w:eastAsia="zh-CN"/>
        </w:rPr>
        <w:t xml:space="preserve">章 </w:t>
      </w:r>
      <w:r>
        <w:rPr>
          <w:rFonts w:hint="eastAsia" w:eastAsia="黑体" w:cs="Times New Roman"/>
          <w:b w:val="0"/>
          <w:bCs w:val="0"/>
          <w:sz w:val="30"/>
          <w:szCs w:val="30"/>
          <w:lang w:val="en-US" w:eastAsia="zh-CN"/>
        </w:rPr>
        <w:t>培育发展</w:t>
      </w:r>
      <w:r>
        <w:rPr>
          <w:rFonts w:hint="eastAsia" w:ascii="Times New Roman" w:hAnsi="Times New Roman" w:eastAsia="黑体" w:cs="Times New Roman"/>
          <w:b w:val="0"/>
          <w:bCs w:val="0"/>
          <w:sz w:val="30"/>
          <w:szCs w:val="30"/>
          <w:lang w:val="en-US" w:eastAsia="zh-CN"/>
        </w:rPr>
        <w:t>信息化产业，</w:t>
      </w:r>
      <w:r>
        <w:rPr>
          <w:rFonts w:hint="eastAsia" w:eastAsia="黑体" w:cs="Times New Roman"/>
          <w:b w:val="0"/>
          <w:bCs w:val="0"/>
          <w:sz w:val="30"/>
          <w:szCs w:val="30"/>
          <w:lang w:val="en-US" w:eastAsia="zh-CN"/>
        </w:rPr>
        <w:t>加快建设</w:t>
      </w:r>
      <w:r>
        <w:rPr>
          <w:rFonts w:hint="eastAsia" w:ascii="Times New Roman" w:hAnsi="Times New Roman" w:eastAsia="黑体" w:cs="Times New Roman"/>
          <w:b w:val="0"/>
          <w:bCs w:val="0"/>
          <w:sz w:val="30"/>
          <w:szCs w:val="30"/>
          <w:lang w:val="en-US" w:eastAsia="zh-CN"/>
        </w:rPr>
        <w:t>“智慧叶城”</w:t>
      </w:r>
      <w:bookmarkEnd w:id="123"/>
      <w:bookmarkEnd w:id="124"/>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实施“互联网+”行动计划和大数据战略，推进工业化和信息化“两化融合”工程，打造信息产业新高地。建设信息共享平台，着力深化电子政务建设，全面推动社会信息化，为建成“智慧叶城”奠定坚实基础。</w:t>
      </w:r>
    </w:p>
    <w:p>
      <w:pPr>
        <w:pStyle w:val="18"/>
        <w:keepNext w:val="0"/>
        <w:keepLines w:val="0"/>
        <w:shd w:val="clear"/>
        <w:spacing w:beforeLines="50" w:afterLines="50"/>
        <w:rPr>
          <w:rFonts w:hint="eastAsia" w:ascii="Times New Roman" w:hAnsi="Times New Roman"/>
          <w:lang w:val="zh-CN" w:eastAsia="zh-CN"/>
        </w:rPr>
      </w:pPr>
      <w:bookmarkStart w:id="125" w:name="_Toc29369"/>
      <w:bookmarkStart w:id="126" w:name="_Toc10906"/>
      <w:r>
        <w:rPr>
          <w:rFonts w:hint="eastAsia" w:ascii="Times New Roman" w:hAnsi="Times New Roman"/>
          <w:lang w:val="zh-CN" w:eastAsia="zh-CN"/>
        </w:rPr>
        <w:t>第一节 打造</w:t>
      </w:r>
      <w:r>
        <w:rPr>
          <w:rFonts w:hint="eastAsia" w:ascii="Times New Roman" w:hAnsi="Times New Roman"/>
          <w:lang w:val="en-US" w:eastAsia="zh-CN"/>
        </w:rPr>
        <w:t>区域</w:t>
      </w:r>
      <w:r>
        <w:rPr>
          <w:rFonts w:hint="eastAsia" w:ascii="Times New Roman" w:hAnsi="Times New Roman"/>
          <w:lang w:val="zh-CN" w:eastAsia="zh-CN"/>
        </w:rPr>
        <w:t>数字经济示范基地</w:t>
      </w:r>
      <w:bookmarkEnd w:id="125"/>
      <w:bookmarkEnd w:id="126"/>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lang w:val="en-US" w:eastAsia="zh-CN"/>
        </w:rPr>
        <w:t>按照</w:t>
      </w:r>
      <w:r>
        <w:rPr>
          <w:rFonts w:hint="eastAsia" w:eastAsia="仿宋_GB2312"/>
          <w:color w:val="auto"/>
          <w:sz w:val="30"/>
          <w:szCs w:val="30"/>
          <w:highlight w:val="none"/>
        </w:rPr>
        <w:t>集聚化、特色化标准，建设以数字经济特色小镇、传统行业数字化转型发展示范园区和特色景区</w:t>
      </w:r>
      <w:r>
        <w:rPr>
          <w:rFonts w:hint="eastAsia" w:eastAsia="仿宋_GB2312"/>
          <w:b w:val="0"/>
          <w:bCs w:val="0"/>
          <w:color w:val="auto"/>
          <w:sz w:val="30"/>
          <w:szCs w:val="30"/>
          <w:highlight w:val="none"/>
        </w:rPr>
        <w:t>、数字经济创新孵化器和创新空间等为代表的一批数字经济发展示范基地。发展技术型数字经济，打造信息产业新高地。加快推进智能终端产品、软件开发、信息系统集成、网络通信服务、数字安全等领域产业发展，夯实数字经济发展的技术基础和产业基础。发展融合型数字经济，激发转型升级新动能。大力发展智能制造、数字农业、智慧能源等新型业态，促进产业资源优化配置，推动实体经济的数字化、智能化转型，形成数字融合型经济新增长极。发展服务型数字经济，培育数字应用新业态。积极培育数字化、网络</w:t>
      </w:r>
      <w:r>
        <w:rPr>
          <w:rFonts w:hint="eastAsia" w:eastAsia="仿宋_GB2312"/>
          <w:color w:val="auto"/>
          <w:sz w:val="30"/>
          <w:szCs w:val="30"/>
          <w:highlight w:val="none"/>
        </w:rPr>
        <w:t>化的现代服务产业新业态，着力提升服务水平和服务质量，探索建设服务型数字经济先行先试区。</w:t>
      </w:r>
      <w:r>
        <w:rPr>
          <w:rFonts w:hint="eastAsia" w:eastAsia="仿宋_GB2312"/>
          <w:color w:val="auto"/>
          <w:sz w:val="30"/>
          <w:szCs w:val="30"/>
          <w:highlight w:val="none"/>
          <w:lang w:val="en-US" w:eastAsia="zh-CN"/>
        </w:rPr>
        <w:t>到</w:t>
      </w:r>
      <w:r>
        <w:rPr>
          <w:rFonts w:hint="eastAsia" w:eastAsia="仿宋_GB2312"/>
          <w:color w:val="auto"/>
          <w:sz w:val="30"/>
          <w:szCs w:val="30"/>
          <w:highlight w:val="none"/>
        </w:rPr>
        <w:t>“十四五”末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全县企业信息技术应用率达到80%以上，新型农业信息服务覆盖率达92%以上。企业成套设备智能化率达65%，传统产业整机产品智能化率达65%，电子商务应用率达60%，信息技术应用率达95%。</w:t>
      </w:r>
    </w:p>
    <w:p>
      <w:pPr>
        <w:pStyle w:val="18"/>
        <w:keepNext w:val="0"/>
        <w:keepLines w:val="0"/>
        <w:shd w:val="clear"/>
        <w:spacing w:beforeLines="50" w:afterLines="50"/>
        <w:rPr>
          <w:rFonts w:hint="eastAsia" w:ascii="Times New Roman" w:hAnsi="Times New Roman"/>
          <w:lang w:val="zh-CN" w:eastAsia="zh-CN"/>
        </w:rPr>
      </w:pPr>
      <w:bookmarkStart w:id="127" w:name="_Toc20020"/>
      <w:bookmarkStart w:id="128" w:name="_Toc7475"/>
      <w:r>
        <w:rPr>
          <w:rFonts w:hint="eastAsia" w:ascii="Times New Roman" w:hAnsi="Times New Roman"/>
          <w:lang w:val="zh-CN" w:eastAsia="zh-CN"/>
        </w:rPr>
        <w:t>第二节 推动两化深度融合发展</w:t>
      </w:r>
      <w:bookmarkEnd w:id="127"/>
      <w:bookmarkEnd w:id="128"/>
    </w:p>
    <w:p>
      <w:pPr>
        <w:keepNext w:val="0"/>
        <w:keepLines w:val="0"/>
        <w:pageBreakBefore w:val="0"/>
        <w:shd w:val="clear"/>
        <w:kinsoku/>
        <w:wordWrap/>
        <w:autoSpaceDE/>
        <w:autoSpaceDN/>
        <w:bidi w:val="0"/>
        <w:spacing w:line="560" w:lineRule="exact"/>
        <w:ind w:firstLine="600" w:firstLineChars="200"/>
        <w:jc w:val="both"/>
        <w:textAlignment w:val="auto"/>
        <w:rPr>
          <w:rFonts w:hint="eastAsia" w:eastAsia="仿宋_GB2312"/>
          <w:color w:val="auto"/>
          <w:sz w:val="30"/>
          <w:szCs w:val="30"/>
          <w:highlight w:val="none"/>
          <w:lang w:val="zh-CN"/>
        </w:rPr>
      </w:pPr>
      <w:r>
        <w:rPr>
          <w:rFonts w:hint="eastAsia" w:eastAsia="仿宋_GB2312"/>
          <w:color w:val="auto"/>
          <w:sz w:val="30"/>
          <w:szCs w:val="30"/>
          <w:highlight w:val="none"/>
          <w:lang w:val="zh-CN"/>
        </w:rPr>
        <w:t>围绕“新基建”，全力推进5G、“互联网+”工程，全面推进信息技术在产品开发、生产控制、经营管理和商业模式创新中的深度应用。</w:t>
      </w:r>
    </w:p>
    <w:p>
      <w:pPr>
        <w:keepNext w:val="0"/>
        <w:keepLines w:val="0"/>
        <w:pageBreakBefore w:val="0"/>
        <w:shd w:val="clear"/>
        <w:kinsoku/>
        <w:wordWrap/>
        <w:autoSpaceDE/>
        <w:autoSpaceDN/>
        <w:bidi w:val="0"/>
        <w:spacing w:line="560" w:lineRule="exact"/>
        <w:ind w:firstLine="602" w:firstLineChars="200"/>
        <w:jc w:val="both"/>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加快融入新型基础设施建设。</w:t>
      </w:r>
      <w:r>
        <w:rPr>
          <w:rFonts w:hint="eastAsia" w:eastAsia="仿宋_GB2312"/>
          <w:color w:val="auto"/>
          <w:sz w:val="30"/>
          <w:szCs w:val="30"/>
          <w:highlight w:val="none"/>
          <w:lang w:val="zh-CN"/>
        </w:rPr>
        <w:t>积极贯彻国家的部署，加大5G、城际动车铁路、大数据中心、人工智能、工业互联网、物联网等领域建设。做好“新基建”的顶层设计，对“新基建”投资、建设和运营进行系统性、规律性研究，做好统筹规划，明确发展重点和次序。出台财税、金融、产业等方面的政策，发挥好政府性投资“四两拨千斤”的作用，打造集约高效、经济适用、智能绿色、安全可靠的现代化基础设施体系，推动物联网、下一代互联网、区块链等技术和产业创新发展。</w:t>
      </w:r>
    </w:p>
    <w:p>
      <w:pPr>
        <w:keepNext w:val="0"/>
        <w:keepLines w:val="0"/>
        <w:pageBreakBefore w:val="0"/>
        <w:shd w:val="clear"/>
        <w:kinsoku/>
        <w:wordWrap/>
        <w:autoSpaceDE/>
        <w:autoSpaceDN/>
        <w:bidi w:val="0"/>
        <w:spacing w:line="560" w:lineRule="exact"/>
        <w:ind w:firstLine="602" w:firstLineChars="200"/>
        <w:jc w:val="both"/>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推动企业“两化”融合进程。</w:t>
      </w:r>
      <w:r>
        <w:rPr>
          <w:rFonts w:hint="eastAsia" w:eastAsia="仿宋_GB2312"/>
          <w:color w:val="auto"/>
          <w:sz w:val="30"/>
          <w:szCs w:val="30"/>
          <w:highlight w:val="none"/>
          <w:lang w:val="zh-CN"/>
        </w:rPr>
        <w:t>加速传统产业的“两化”深度融合。加大在电力、热力、建材、钢铁、轻工等传统工业中信息技术应用程度。大力发展工业APP，持续推动企业资源计划（ERP）、制造执行系统（MES）、客户关系管理系统（CRM）等信息系统在企业研发、生产、管理、流通环节的广泛应用。建立工业云平台，强化重点行业、重点企业开展智能工厂应用示范，打造协同研发、协同供应链管理和网络制造。充分挖掘信息技术改造传统产业的潜力，推动叶城传统产业转型升级。加快实施“互联网+”先进制造行动计划，培育基于互联网的新产品、新业态、新模式。加速培育工业互联网新产品。培育基于互联网的个性化定制、众包设计、云制造等新型制造模式。加快构建“大数据、大支撑、大安全”安全生产平台，推动安全生产监管监察动态化、实时化，以及事故预判和风险防控自动化、智能化。</w:t>
      </w:r>
    </w:p>
    <w:p>
      <w:pPr>
        <w:keepNext w:val="0"/>
        <w:keepLines w:val="0"/>
        <w:pageBreakBefore w:val="0"/>
        <w:shd w:val="clear"/>
        <w:kinsoku/>
        <w:wordWrap/>
        <w:autoSpaceDE/>
        <w:autoSpaceDN/>
        <w:bidi w:val="0"/>
        <w:spacing w:line="560" w:lineRule="exact"/>
        <w:ind w:firstLine="602" w:firstLineChars="200"/>
        <w:jc w:val="both"/>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大力发展“数字”经济。</w:t>
      </w:r>
      <w:r>
        <w:rPr>
          <w:rFonts w:hint="eastAsia" w:eastAsia="仿宋_GB2312"/>
          <w:color w:val="auto"/>
          <w:sz w:val="30"/>
          <w:szCs w:val="30"/>
          <w:highlight w:val="none"/>
          <w:lang w:val="zh-CN"/>
        </w:rPr>
        <w:t>高效配置数据要素，促进数据要素联动，优化经济治理基础数据库，加快推动各部门间数据共享交换。支持构建农业、工业、交通、教育、安防、城市管理、公共资源交易等领域规范化数据开发利用的场景，提升社会数据资源价值。强化科技支撑，深度融合数字经济与实体经济，推动智慧农业、工业、服务业的数字化升级。同时，加强专业人才培养，为发展数字经济筑牢人才支撑。</w:t>
      </w:r>
    </w:p>
    <w:p>
      <w:pPr>
        <w:keepNext w:val="0"/>
        <w:keepLines w:val="0"/>
        <w:pageBreakBefore w:val="0"/>
        <w:shd w:val="clear"/>
        <w:kinsoku/>
        <w:wordWrap/>
        <w:autoSpaceDE/>
        <w:autoSpaceDN/>
        <w:bidi w:val="0"/>
        <w:spacing w:line="560" w:lineRule="exact"/>
        <w:ind w:firstLine="602" w:firstLineChars="200"/>
        <w:jc w:val="both"/>
        <w:textAlignment w:val="auto"/>
        <w:rPr>
          <w:rFonts w:hint="eastAsia" w:eastAsia="仿宋_GB2312"/>
          <w:color w:val="auto"/>
          <w:sz w:val="30"/>
          <w:szCs w:val="30"/>
          <w:highlight w:val="none"/>
          <w:lang w:val="zh-CN"/>
        </w:rPr>
      </w:pPr>
      <w:r>
        <w:rPr>
          <w:rFonts w:hint="eastAsia" w:eastAsia="仿宋_GB2312"/>
          <w:b/>
          <w:bCs/>
          <w:color w:val="auto"/>
          <w:sz w:val="30"/>
          <w:szCs w:val="30"/>
          <w:highlight w:val="none"/>
          <w:lang w:val="zh-CN"/>
        </w:rPr>
        <w:t>着力培育信息产业。</w:t>
      </w:r>
      <w:r>
        <w:rPr>
          <w:rFonts w:hint="eastAsia" w:eastAsia="仿宋_GB2312"/>
          <w:color w:val="auto"/>
          <w:sz w:val="30"/>
          <w:szCs w:val="30"/>
          <w:highlight w:val="none"/>
          <w:lang w:val="zh-CN"/>
        </w:rPr>
        <w:t>因地制宜，培育电子信息产业。紧紧围绕叶城产业现状和社会需求，把握好国家建立中巴经济走廊、建设中巴光缆的重大历史机遇，发展电子信息制造业、软件服务业、电子商务等产业。依托对口援疆机制，加大招商引资力度，吸引外地企业在叶城成立分支机构，参与叶城信息化建设。加强与喀什地区等地信息技术企业合作，借力发展，提升本地信息化服务能力。充分挖掘本地廉价劳动力资源，积极引进吸纳就业能力强，技术要求不高的电子产品加工行业，逐渐形成以电子配件为基础，实现向整机产品过渡的产业格局。加快云计算产业发展，积极推进云服务的创新发展，大力促进云计算相关的软件研发、应用服务等方面的产业发展，进一步为周边区域提供云计算服务。</w:t>
      </w:r>
    </w:p>
    <w:p>
      <w:pPr>
        <w:keepNext w:val="0"/>
        <w:keepLines w:val="0"/>
        <w:pageBreakBefore w:val="0"/>
        <w:shd w:val="clear"/>
        <w:kinsoku/>
        <w:wordWrap/>
        <w:autoSpaceDE/>
        <w:autoSpaceDN/>
        <w:bidi w:val="0"/>
        <w:spacing w:line="560" w:lineRule="exact"/>
        <w:ind w:firstLine="602" w:firstLineChars="200"/>
        <w:jc w:val="both"/>
        <w:textAlignment w:val="auto"/>
        <w:rPr>
          <w:rFonts w:eastAsia="仿宋_GB2312"/>
          <w:color w:val="auto"/>
          <w:sz w:val="30"/>
          <w:szCs w:val="30"/>
          <w:highlight w:val="yellow"/>
        </w:rPr>
      </w:pPr>
      <w:r>
        <w:rPr>
          <w:rFonts w:hint="eastAsia" w:eastAsia="仿宋_GB2312"/>
          <w:b/>
          <w:bCs/>
          <w:color w:val="auto"/>
          <w:sz w:val="30"/>
          <w:szCs w:val="30"/>
          <w:highlight w:val="none"/>
          <w:lang w:val="zh-CN"/>
        </w:rPr>
        <w:t>深入推进两化融合管理体系贯标。</w:t>
      </w:r>
      <w:r>
        <w:rPr>
          <w:rFonts w:hint="eastAsia" w:eastAsia="仿宋_GB2312"/>
          <w:color w:val="auto"/>
          <w:sz w:val="30"/>
          <w:szCs w:val="30"/>
          <w:highlight w:val="none"/>
          <w:lang w:val="zh-CN"/>
        </w:rPr>
        <w:t>组织企业参加两化融合管理体系贯标试点、申报两化融合项目，促进重点企业实施生产制造数字化、产品数字化智能化、信息化促进节能减排等工程，加强示范推广，引导企业逐级提升，促进企业创新能力、劳动生产率、产品质量等核心竞争力整体提高。</w:t>
      </w:r>
    </w:p>
    <w:p>
      <w:pPr>
        <w:pStyle w:val="18"/>
        <w:keepNext w:val="0"/>
        <w:keepLines w:val="0"/>
        <w:shd w:val="clear"/>
        <w:spacing w:beforeLines="50" w:afterLines="50"/>
        <w:rPr>
          <w:rFonts w:hint="eastAsia" w:ascii="Times New Roman" w:hAnsi="Times New Roman"/>
          <w:lang w:val="zh-CN" w:eastAsia="zh-CN"/>
        </w:rPr>
      </w:pPr>
      <w:bookmarkStart w:id="129" w:name="_Toc26344"/>
      <w:bookmarkStart w:id="130" w:name="_Toc2888"/>
      <w:r>
        <w:rPr>
          <w:rFonts w:hint="eastAsia" w:ascii="Times New Roman" w:hAnsi="Times New Roman"/>
          <w:lang w:val="zh-CN" w:eastAsia="zh-CN"/>
        </w:rPr>
        <w:t>第</w:t>
      </w:r>
      <w:r>
        <w:rPr>
          <w:rFonts w:hint="eastAsia" w:ascii="Times New Roman" w:hAnsi="Times New Roman"/>
          <w:lang w:val="en-US" w:eastAsia="zh-CN"/>
        </w:rPr>
        <w:t>三</w:t>
      </w:r>
      <w:r>
        <w:rPr>
          <w:rFonts w:hint="eastAsia" w:ascii="Times New Roman" w:hAnsi="Times New Roman"/>
          <w:lang w:val="zh-CN" w:eastAsia="zh-CN"/>
        </w:rPr>
        <w:t xml:space="preserve">节 </w:t>
      </w:r>
      <w:r>
        <w:rPr>
          <w:rFonts w:hint="eastAsia" w:ascii="Times New Roman" w:hAnsi="Times New Roman"/>
          <w:lang w:val="en-US" w:eastAsia="zh-CN"/>
        </w:rPr>
        <w:t>完善</w:t>
      </w:r>
      <w:r>
        <w:rPr>
          <w:rFonts w:hint="eastAsia" w:ascii="Times New Roman" w:hAnsi="Times New Roman"/>
          <w:lang w:val="zh-CN" w:eastAsia="zh-CN"/>
        </w:rPr>
        <w:t>电子政务</w:t>
      </w:r>
      <w:r>
        <w:rPr>
          <w:rFonts w:hint="eastAsia" w:ascii="Times New Roman" w:hAnsi="Times New Roman"/>
          <w:lang w:val="en-US" w:eastAsia="zh-CN"/>
        </w:rPr>
        <w:t>平台</w:t>
      </w:r>
      <w:r>
        <w:rPr>
          <w:rFonts w:hint="eastAsia" w:ascii="Times New Roman" w:hAnsi="Times New Roman"/>
          <w:lang w:val="zh-CN" w:eastAsia="zh-CN"/>
        </w:rPr>
        <w:t>建设</w:t>
      </w:r>
      <w:bookmarkEnd w:id="129"/>
      <w:bookmarkEnd w:id="130"/>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bCs/>
          <w:color w:val="auto"/>
          <w:sz w:val="30"/>
          <w:szCs w:val="30"/>
          <w:highlight w:val="none"/>
        </w:rPr>
        <w:t>深化政府信息化建设。</w:t>
      </w:r>
      <w:r>
        <w:rPr>
          <w:rFonts w:hint="eastAsia" w:eastAsia="仿宋_GB2312"/>
          <w:color w:val="auto"/>
          <w:sz w:val="30"/>
          <w:szCs w:val="30"/>
          <w:highlight w:val="none"/>
        </w:rPr>
        <w:t>建成功能完善、管理有力、服务全面、透明高效的“网上政府”，完善和优化政府门户网站群，继续保持“中国叶城”网站在全国县级网站中领先地位。</w:t>
      </w:r>
      <w:r>
        <w:rPr>
          <w:rFonts w:hint="eastAsia" w:eastAsia="仿宋_GB2312"/>
          <w:color w:val="auto"/>
          <w:sz w:val="30"/>
          <w:szCs w:val="30"/>
          <w:highlight w:val="none"/>
          <w:lang w:eastAsia="zh-CN"/>
        </w:rPr>
        <w:t>以安可替代工程为契机，推进基于办公应用部分专网和信息系统迁移整合，实现党政机关电子公文统一归档、集中保管、规范使用。</w:t>
      </w:r>
      <w:r>
        <w:rPr>
          <w:rFonts w:hint="eastAsia" w:eastAsia="仿宋_GB2312"/>
          <w:color w:val="auto"/>
          <w:sz w:val="30"/>
          <w:szCs w:val="30"/>
          <w:highlight w:val="none"/>
        </w:rPr>
        <w:t>建立门户网站与部门业务和信息系统互动机制，建成政务综合业务平台。</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bCs/>
          <w:color w:val="auto"/>
          <w:sz w:val="30"/>
          <w:szCs w:val="30"/>
          <w:highlight w:val="none"/>
        </w:rPr>
        <w:t>完善政务公共信息服务。</w:t>
      </w:r>
      <w:r>
        <w:rPr>
          <w:rFonts w:hint="eastAsia" w:eastAsia="仿宋_GB2312"/>
          <w:color w:val="auto"/>
          <w:sz w:val="30"/>
          <w:szCs w:val="30"/>
          <w:highlight w:val="none"/>
        </w:rPr>
        <w:t>加快构建网上监察、监督体系，确保行政权力依法、透明、廉洁、高效运行。着力推动跨部门业务系统共享。加强网上行政服务，</w:t>
      </w:r>
      <w:r>
        <w:rPr>
          <w:rFonts w:hint="eastAsia" w:eastAsia="仿宋_GB2312"/>
          <w:color w:val="auto"/>
          <w:sz w:val="30"/>
          <w:szCs w:val="30"/>
          <w:highlight w:val="none"/>
          <w:lang w:eastAsia="zh-CN"/>
        </w:rPr>
        <w:t>加大“新疆公安”手机</w:t>
      </w:r>
      <w:r>
        <w:rPr>
          <w:rFonts w:hint="eastAsia" w:eastAsia="仿宋_GB2312"/>
          <w:color w:val="auto"/>
          <w:sz w:val="30"/>
          <w:szCs w:val="30"/>
          <w:highlight w:val="none"/>
          <w:lang w:val="en-US" w:eastAsia="zh-CN"/>
        </w:rPr>
        <w:t>APP宣传与普及力度，全面精简户籍流程，缩短办事时间，提高办事效率。</w:t>
      </w:r>
      <w:r>
        <w:rPr>
          <w:rFonts w:hint="eastAsia" w:eastAsia="仿宋_GB2312"/>
          <w:color w:val="auto"/>
          <w:sz w:val="30"/>
          <w:szCs w:val="30"/>
          <w:highlight w:val="none"/>
        </w:rPr>
        <w:t>完善政民互动渠道，健全群众评价机制，推动实现社会公共服务事项全流程的远程、移动办理，推进终端服务多样化。建设经济信息公共服务平台，建成面向产业和企业的信息化公共服务网上平台。</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lang w:eastAsia="zh-CN"/>
        </w:rPr>
      </w:pPr>
      <w:r>
        <w:rPr>
          <w:rFonts w:hint="eastAsia" w:eastAsia="仿宋_GB2312"/>
          <w:b/>
          <w:bCs/>
          <w:color w:val="auto"/>
          <w:sz w:val="30"/>
          <w:szCs w:val="30"/>
          <w:highlight w:val="none"/>
        </w:rPr>
        <w:t>提升突发公共事件应急指挥能力。</w:t>
      </w:r>
      <w:r>
        <w:rPr>
          <w:rFonts w:hint="eastAsia" w:eastAsia="仿宋_GB2312"/>
          <w:color w:val="auto"/>
          <w:sz w:val="30"/>
          <w:szCs w:val="30"/>
          <w:highlight w:val="none"/>
        </w:rPr>
        <w:t>依托公安指挥调度平台和政府数据交换平台，建设基于现代通信技术的安防信息化平台，打造立体化、现代化的治安防控体系。整合卫生、水利、气象、地震、公安、建设、交通、通信等相关职能部门应急信息资源，提高政府应急处置能力。</w:t>
      </w:r>
      <w:r>
        <w:rPr>
          <w:rFonts w:hint="eastAsia" w:eastAsia="仿宋_GB2312"/>
          <w:color w:val="auto"/>
          <w:sz w:val="30"/>
          <w:szCs w:val="30"/>
          <w:highlight w:val="none"/>
          <w:lang w:eastAsia="zh-CN"/>
        </w:rPr>
        <w:t>成立突发公共事件的应急指挥机构，明确职责分工，当有突发事件，第一时间统筹协调处置。加强关键基础设施和重要信息系统密码保护能力，发挥密码在保障网络安全中的核心关键作用。</w:t>
      </w:r>
    </w:p>
    <w:p>
      <w:pPr>
        <w:pStyle w:val="18"/>
        <w:keepNext w:val="0"/>
        <w:keepLines w:val="0"/>
        <w:shd w:val="clear"/>
        <w:spacing w:beforeLines="50" w:afterLines="50"/>
        <w:rPr>
          <w:rFonts w:hint="eastAsia" w:ascii="Times New Roman" w:hAnsi="Times New Roman"/>
          <w:lang w:val="en-US" w:eastAsia="zh-CN"/>
        </w:rPr>
      </w:pPr>
      <w:bookmarkStart w:id="131" w:name="_Toc4847"/>
      <w:bookmarkStart w:id="132" w:name="_Toc2683"/>
      <w:r>
        <w:rPr>
          <w:rFonts w:hint="eastAsia" w:ascii="Times New Roman" w:hAnsi="Times New Roman"/>
          <w:lang w:val="zh-CN" w:eastAsia="zh-CN"/>
        </w:rPr>
        <w:t>第</w:t>
      </w:r>
      <w:r>
        <w:rPr>
          <w:rFonts w:hint="eastAsia" w:ascii="Times New Roman" w:hAnsi="Times New Roman"/>
          <w:lang w:val="en-US" w:eastAsia="zh-CN"/>
        </w:rPr>
        <w:t>四</w:t>
      </w:r>
      <w:r>
        <w:rPr>
          <w:rFonts w:hint="eastAsia" w:ascii="Times New Roman" w:hAnsi="Times New Roman"/>
          <w:lang w:val="zh-CN" w:eastAsia="zh-CN"/>
        </w:rPr>
        <w:t xml:space="preserve">节 </w:t>
      </w:r>
      <w:r>
        <w:rPr>
          <w:rFonts w:hint="eastAsia" w:ascii="Times New Roman" w:hAnsi="Times New Roman"/>
          <w:lang w:val="en-US" w:eastAsia="zh-CN"/>
        </w:rPr>
        <w:t>加快</w:t>
      </w:r>
      <w:r>
        <w:rPr>
          <w:rFonts w:hint="eastAsia" w:ascii="Times New Roman" w:hAnsi="Times New Roman"/>
          <w:lang w:val="zh-CN" w:eastAsia="zh-CN"/>
        </w:rPr>
        <w:t>社会信息化平台</w:t>
      </w:r>
      <w:r>
        <w:rPr>
          <w:rFonts w:hint="eastAsia" w:ascii="Times New Roman" w:hAnsi="Times New Roman"/>
          <w:lang w:val="en-US" w:eastAsia="zh-CN"/>
        </w:rPr>
        <w:t>建设</w:t>
      </w:r>
      <w:bookmarkEnd w:id="131"/>
      <w:bookmarkEnd w:id="132"/>
    </w:p>
    <w:p>
      <w:pPr>
        <w:pStyle w:val="13"/>
        <w:keepNext w:val="0"/>
        <w:keepLines w:val="0"/>
        <w:pageBreakBefore w:val="0"/>
        <w:shd w:val="clear"/>
        <w:kinsoku/>
        <w:wordWrap/>
        <w:autoSpaceDE/>
        <w:autoSpaceDN/>
        <w:bidi w:val="0"/>
        <w:adjustRightInd w:val="0"/>
        <w:snapToGrid w:val="0"/>
        <w:spacing w:beforeAutospacing="0" w:afterAutospacing="0" w:line="560" w:lineRule="exact"/>
        <w:ind w:firstLine="600" w:firstLineChars="200"/>
        <w:textAlignment w:val="auto"/>
        <w:rPr>
          <w:rFonts w:ascii="Times New Roman" w:hAnsi="Times New Roman" w:eastAsia="仿宋_GB2312"/>
          <w:bCs/>
          <w:color w:val="auto"/>
          <w:sz w:val="30"/>
          <w:szCs w:val="30"/>
          <w:highlight w:val="none"/>
        </w:rPr>
      </w:pPr>
      <w:r>
        <w:rPr>
          <w:rFonts w:hint="eastAsia" w:ascii="Times New Roman" w:hAnsi="Times New Roman" w:eastAsia="仿宋_GB2312"/>
          <w:b w:val="0"/>
          <w:bCs/>
          <w:color w:val="auto"/>
          <w:sz w:val="30"/>
          <w:szCs w:val="30"/>
          <w:highlight w:val="none"/>
        </w:rPr>
        <w:t>以“新型基础设施”建设为契机，全面推动社会信息化平台建设，努力构建互联互通、充分整合、协同运作、创新发展的新型智能管理发展模式。提升县城和社区管理信息化水平。推动道路、交通管理、水利水务、物流、空间资源和土地管理、环境保护、旅游、</w:t>
      </w:r>
      <w:r>
        <w:rPr>
          <w:rFonts w:hint="eastAsia" w:ascii="Times New Roman" w:hAnsi="Times New Roman" w:eastAsia="仿宋_GB2312"/>
          <w:b w:val="0"/>
          <w:bCs/>
          <w:color w:val="auto"/>
          <w:sz w:val="30"/>
          <w:szCs w:val="30"/>
          <w:highlight w:val="none"/>
          <w:lang w:eastAsia="zh-CN"/>
        </w:rPr>
        <w:t>文化（科技馆、档案馆、文化馆等）、</w:t>
      </w:r>
      <w:r>
        <w:rPr>
          <w:rFonts w:hint="eastAsia" w:ascii="Times New Roman" w:hAnsi="Times New Roman" w:eastAsia="仿宋_GB2312"/>
          <w:b w:val="0"/>
          <w:bCs/>
          <w:color w:val="auto"/>
          <w:sz w:val="30"/>
          <w:szCs w:val="30"/>
          <w:highlight w:val="none"/>
        </w:rPr>
        <w:t>社区服务等领域信息化建设，以信息化加强城市精细化管理，完善城市智能交通体系，实施智能化城市管理系统工程。提升推动科技信息化、教育信息化、文化信息化和医疗卫生信息化，加快保障和改善民生步伐。提升农村社会管理信息化水平。加强农村信息</w:t>
      </w:r>
      <w:r>
        <w:rPr>
          <w:rFonts w:hint="eastAsia" w:ascii="Times New Roman" w:hAnsi="Times New Roman" w:eastAsia="仿宋_GB2312"/>
          <w:bCs/>
          <w:color w:val="auto"/>
          <w:sz w:val="30"/>
          <w:szCs w:val="30"/>
          <w:highlight w:val="none"/>
        </w:rPr>
        <w:t>基础设施建设，</w:t>
      </w:r>
      <w:r>
        <w:rPr>
          <w:rFonts w:hint="eastAsia" w:ascii="Times New Roman" w:hAnsi="Times New Roman" w:eastAsia="仿宋_GB2312"/>
          <w:color w:val="auto"/>
          <w:sz w:val="30"/>
          <w:szCs w:val="30"/>
          <w:highlight w:val="none"/>
        </w:rPr>
        <w:t>加强</w:t>
      </w:r>
      <w:r>
        <w:rPr>
          <w:rFonts w:hint="eastAsia" w:ascii="Times New Roman" w:hAnsi="Times New Roman" w:eastAsia="仿宋_GB2312"/>
          <w:bCs/>
          <w:color w:val="auto"/>
          <w:sz w:val="30"/>
          <w:szCs w:val="30"/>
          <w:highlight w:val="none"/>
        </w:rPr>
        <w:t>涉农信息资源开发应用，</w:t>
      </w:r>
      <w:r>
        <w:rPr>
          <w:rFonts w:hint="eastAsia" w:ascii="Times New Roman" w:hAnsi="Times New Roman" w:eastAsia="仿宋_GB2312"/>
          <w:color w:val="auto"/>
          <w:sz w:val="30"/>
          <w:szCs w:val="30"/>
          <w:highlight w:val="none"/>
        </w:rPr>
        <w:t>进一步做好农村网络平台的服务，提升信息意识和信息应用能力。“十四五”末</w:t>
      </w:r>
      <w:r>
        <w:rPr>
          <w:rFonts w:hint="eastAsia" w:ascii="Times New Roman" w:hAnsi="Times New Roman" w:eastAsia="仿宋_GB2312"/>
          <w:color w:val="auto"/>
          <w:sz w:val="30"/>
          <w:szCs w:val="30"/>
          <w:highlight w:val="none"/>
          <w:lang w:eastAsia="zh-CN"/>
        </w:rPr>
        <w:t>，</w:t>
      </w:r>
      <w:r>
        <w:rPr>
          <w:rFonts w:hint="eastAsia" w:ascii="Times New Roman" w:hAnsi="Times New Roman" w:eastAsia="仿宋_GB2312"/>
          <w:color w:val="auto"/>
          <w:sz w:val="30"/>
          <w:szCs w:val="30"/>
          <w:highlight w:val="none"/>
        </w:rPr>
        <w:t>实现电信网、广播电视网、互联网“三网融合”，</w:t>
      </w:r>
      <w:r>
        <w:rPr>
          <w:rFonts w:hint="eastAsia" w:ascii="Times New Roman" w:hAnsi="Times New Roman" w:eastAsia="仿宋_GB2312"/>
          <w:bCs/>
          <w:color w:val="auto"/>
          <w:sz w:val="30"/>
          <w:szCs w:val="30"/>
          <w:highlight w:val="none"/>
        </w:rPr>
        <w:t>5G</w:t>
      </w:r>
      <w:r>
        <w:rPr>
          <w:rFonts w:hint="eastAsia" w:ascii="Times New Roman" w:hAnsi="Times New Roman" w:eastAsia="仿宋_GB2312"/>
          <w:color w:val="auto"/>
          <w:sz w:val="30"/>
          <w:szCs w:val="30"/>
          <w:highlight w:val="none"/>
        </w:rPr>
        <w:t>用户数达到30万户，宽带用户超过10万户，信息化投入占</w:t>
      </w:r>
      <w:r>
        <w:rPr>
          <w:rFonts w:hint="eastAsia" w:ascii="Times New Roman" w:hAnsi="Times New Roman" w:eastAsia="仿宋_GB2312"/>
          <w:color w:val="auto"/>
          <w:sz w:val="30"/>
          <w:szCs w:val="30"/>
          <w:highlight w:val="none"/>
          <w:lang w:val="en-US" w:eastAsia="zh-CN"/>
        </w:rPr>
        <w:t>全</w:t>
      </w:r>
      <w:r>
        <w:rPr>
          <w:rFonts w:hint="eastAsia" w:ascii="Times New Roman" w:hAnsi="Times New Roman" w:eastAsia="仿宋_GB2312"/>
          <w:color w:val="auto"/>
          <w:sz w:val="30"/>
          <w:szCs w:val="30"/>
          <w:highlight w:val="none"/>
        </w:rPr>
        <w:t>社会固定资产总投资比重达10%以上。</w:t>
      </w:r>
    </w:p>
    <w:p>
      <w:pPr>
        <w:pStyle w:val="18"/>
        <w:keepNext w:val="0"/>
        <w:keepLines w:val="0"/>
        <w:shd w:val="clear"/>
        <w:spacing w:beforeLines="50" w:afterLines="50"/>
        <w:rPr>
          <w:rFonts w:hint="eastAsia" w:ascii="Times New Roman" w:hAnsi="Times New Roman"/>
          <w:lang w:val="zh-CN" w:eastAsia="zh-CN"/>
        </w:rPr>
      </w:pPr>
      <w:bookmarkStart w:id="133" w:name="_Toc30460"/>
      <w:bookmarkStart w:id="134" w:name="_Toc11812"/>
      <w:r>
        <w:rPr>
          <w:rFonts w:hint="eastAsia" w:ascii="Times New Roman" w:hAnsi="Times New Roman"/>
          <w:lang w:val="zh-CN" w:eastAsia="zh-CN"/>
        </w:rPr>
        <w:t>第</w:t>
      </w:r>
      <w:r>
        <w:rPr>
          <w:rFonts w:hint="eastAsia" w:ascii="Times New Roman" w:hAnsi="Times New Roman"/>
          <w:lang w:val="en-US" w:eastAsia="zh-CN"/>
        </w:rPr>
        <w:t>五</w:t>
      </w:r>
      <w:r>
        <w:rPr>
          <w:rFonts w:hint="eastAsia" w:ascii="Times New Roman" w:hAnsi="Times New Roman"/>
          <w:lang w:val="zh-CN" w:eastAsia="zh-CN"/>
        </w:rPr>
        <w:t xml:space="preserve">节 </w:t>
      </w:r>
      <w:r>
        <w:rPr>
          <w:rFonts w:hint="eastAsia" w:ascii="Times New Roman" w:hAnsi="Times New Roman"/>
          <w:lang w:val="en-US" w:eastAsia="zh-CN"/>
        </w:rPr>
        <w:t>构建</w:t>
      </w:r>
      <w:r>
        <w:rPr>
          <w:rFonts w:hint="eastAsia" w:ascii="Times New Roman" w:hAnsi="Times New Roman"/>
          <w:lang w:val="zh-CN" w:eastAsia="zh-CN"/>
        </w:rPr>
        <w:t>信息化</w:t>
      </w:r>
      <w:r>
        <w:rPr>
          <w:rFonts w:hint="eastAsia" w:ascii="Times New Roman" w:hAnsi="Times New Roman"/>
          <w:lang w:val="en-US" w:eastAsia="zh-CN"/>
        </w:rPr>
        <w:t>发展</w:t>
      </w:r>
      <w:r>
        <w:rPr>
          <w:rFonts w:hint="eastAsia" w:ascii="Times New Roman" w:hAnsi="Times New Roman"/>
          <w:lang w:val="zh-CN" w:eastAsia="zh-CN"/>
        </w:rPr>
        <w:t>长效机制</w:t>
      </w:r>
      <w:bookmarkEnd w:id="133"/>
      <w:bookmarkEnd w:id="134"/>
    </w:p>
    <w:p>
      <w:pPr>
        <w:pStyle w:val="13"/>
        <w:keepNext w:val="0"/>
        <w:keepLines w:val="0"/>
        <w:pageBreakBefore w:val="0"/>
        <w:shd w:val="clear"/>
        <w:kinsoku/>
        <w:wordWrap/>
        <w:autoSpaceDE/>
        <w:autoSpaceDN/>
        <w:bidi w:val="0"/>
        <w:adjustRightInd w:val="0"/>
        <w:snapToGrid w:val="0"/>
        <w:spacing w:beforeAutospacing="0" w:afterAutospacing="0" w:line="560" w:lineRule="exact"/>
        <w:ind w:firstLine="600" w:firstLineChars="200"/>
        <w:textAlignment w:val="auto"/>
        <w:rPr>
          <w:rFonts w:ascii="Times New Roman" w:hAnsi="Times New Roman" w:eastAsia="仿宋_GB2312"/>
          <w:b w:val="0"/>
          <w:bCs w:val="0"/>
          <w:color w:val="auto"/>
          <w:sz w:val="30"/>
          <w:szCs w:val="30"/>
          <w:highlight w:val="none"/>
        </w:rPr>
      </w:pPr>
      <w:r>
        <w:rPr>
          <w:rFonts w:hint="eastAsia" w:ascii="Times New Roman" w:hAnsi="Times New Roman" w:eastAsia="仿宋_GB2312"/>
          <w:b w:val="0"/>
          <w:bCs w:val="0"/>
          <w:color w:val="auto"/>
          <w:sz w:val="30"/>
          <w:szCs w:val="30"/>
          <w:highlight w:val="none"/>
          <w:lang w:val="en-US" w:eastAsia="zh-CN"/>
        </w:rPr>
        <w:t>建立信息化推广机制。</w:t>
      </w:r>
      <w:r>
        <w:rPr>
          <w:rFonts w:hint="eastAsia" w:ascii="Times New Roman" w:hAnsi="Times New Roman" w:eastAsia="仿宋_GB2312"/>
          <w:b w:val="0"/>
          <w:bCs w:val="0"/>
          <w:color w:val="auto"/>
          <w:sz w:val="30"/>
          <w:szCs w:val="30"/>
          <w:highlight w:val="none"/>
        </w:rPr>
        <w:t>加强信息化推进工作的组织协调、统筹规划和监督管理。建立技术引领、示范引路、着力推广、全面覆盖的信息化推广长效机制，鼓励国内外专业公司参与信息化建设，加强试点示范企业的推进和宣传推广</w:t>
      </w:r>
      <w:r>
        <w:rPr>
          <w:rFonts w:hint="eastAsia" w:ascii="Times New Roman" w:hAnsi="Times New Roman" w:eastAsia="仿宋_GB2312"/>
          <w:b w:val="0"/>
          <w:bCs w:val="0"/>
          <w:color w:val="auto"/>
          <w:sz w:val="30"/>
          <w:szCs w:val="30"/>
          <w:highlight w:val="none"/>
          <w:lang w:eastAsia="zh-CN"/>
        </w:rPr>
        <w:t>，</w:t>
      </w:r>
      <w:r>
        <w:rPr>
          <w:rFonts w:hint="eastAsia" w:ascii="Times New Roman" w:hAnsi="Times New Roman" w:eastAsia="仿宋_GB2312"/>
          <w:b w:val="0"/>
          <w:bCs w:val="0"/>
          <w:color w:val="auto"/>
          <w:sz w:val="30"/>
          <w:szCs w:val="30"/>
          <w:highlight w:val="none"/>
        </w:rPr>
        <w:t>加强信息化应用领域的基础性、关键性标准规范及关键技术的研究推广。建立信息化建设动态评估和调整机制。</w:t>
      </w:r>
      <w:r>
        <w:rPr>
          <w:rFonts w:hint="eastAsia" w:ascii="Times New Roman" w:hAnsi="Times New Roman" w:eastAsia="仿宋_GB2312"/>
          <w:b w:val="0"/>
          <w:bCs w:val="0"/>
          <w:color w:val="auto"/>
          <w:sz w:val="30"/>
          <w:szCs w:val="30"/>
          <w:highlight w:val="none"/>
          <w:lang w:val="en-US" w:eastAsia="zh-CN"/>
        </w:rPr>
        <w:t>加强信息化发展政策支持。</w:t>
      </w:r>
      <w:r>
        <w:rPr>
          <w:rFonts w:hint="eastAsia" w:ascii="Times New Roman" w:hAnsi="Times New Roman" w:eastAsia="仿宋_GB2312"/>
          <w:b w:val="0"/>
          <w:bCs w:val="0"/>
          <w:color w:val="auto"/>
          <w:sz w:val="30"/>
          <w:szCs w:val="30"/>
          <w:highlight w:val="none"/>
        </w:rPr>
        <w:t>大力支持重要信息技术产业项目建设，设立信息化发展专项基金，基金总额占工业发展基金的25%以上。进一步研究制定财政、土地、税收、政府采购等方面对信息化的专项扶持政策。优先保障公共信息基础设施和公共信息管理服务的投入，进一步加大信息化建设项目的招商引资力度。促进金融机构创新金融服务，为各类信息化项目量身定制金融产品，加大金融支持力度。</w:t>
      </w:r>
      <w:r>
        <w:rPr>
          <w:rFonts w:hint="eastAsia" w:ascii="Times New Roman" w:hAnsi="Times New Roman" w:eastAsia="仿宋_GB2312"/>
          <w:b w:val="0"/>
          <w:bCs w:val="0"/>
          <w:color w:val="auto"/>
          <w:sz w:val="30"/>
          <w:szCs w:val="30"/>
          <w:highlight w:val="none"/>
          <w:lang w:val="en-US" w:eastAsia="zh-CN"/>
        </w:rPr>
        <w:t>加快信息化人才队伍建设。</w:t>
      </w:r>
      <w:r>
        <w:rPr>
          <w:rFonts w:hint="eastAsia" w:ascii="Times New Roman" w:hAnsi="Times New Roman" w:eastAsia="仿宋_GB2312"/>
          <w:b w:val="0"/>
          <w:bCs w:val="0"/>
          <w:color w:val="auto"/>
          <w:sz w:val="30"/>
          <w:szCs w:val="30"/>
          <w:highlight w:val="none"/>
        </w:rPr>
        <w:t>普及信息技术教育，扩大信息化人才培养规模，培养多层次的信息技术人才，发展多层次的信息化教育体系，加大信息化中高层次人才和复合型人才的培养力度，引进领军人才，从管理和激励机制上解决引进人才发展问题。</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color w:val="auto"/>
          <w:sz w:val="30"/>
          <w:szCs w:val="30"/>
          <w:lang w:val="en-US" w:eastAsia="zh-CN"/>
        </w:rPr>
      </w:pPr>
      <w:bookmarkStart w:id="135" w:name="_Toc18363"/>
      <w:bookmarkStart w:id="136" w:name="_Toc20911"/>
      <w:r>
        <w:rPr>
          <w:rFonts w:hint="eastAsia" w:ascii="Times New Roman" w:hAnsi="Times New Roman" w:eastAsia="黑体" w:cs="Times New Roman"/>
          <w:b w:val="0"/>
          <w:bCs w:val="0"/>
          <w:color w:val="auto"/>
          <w:sz w:val="30"/>
          <w:szCs w:val="30"/>
          <w:lang w:val="en-US" w:eastAsia="zh-CN"/>
        </w:rPr>
        <w:t>第</w:t>
      </w:r>
      <w:r>
        <w:rPr>
          <w:rFonts w:hint="eastAsia" w:eastAsia="黑体" w:cs="Times New Roman"/>
          <w:b w:val="0"/>
          <w:bCs w:val="0"/>
          <w:color w:val="auto"/>
          <w:sz w:val="30"/>
          <w:szCs w:val="30"/>
          <w:lang w:val="en-US" w:eastAsia="zh-CN"/>
        </w:rPr>
        <w:t>八</w:t>
      </w:r>
      <w:r>
        <w:rPr>
          <w:rFonts w:hint="eastAsia" w:ascii="Times New Roman" w:hAnsi="Times New Roman" w:eastAsia="黑体" w:cs="Times New Roman"/>
          <w:b w:val="0"/>
          <w:bCs w:val="0"/>
          <w:color w:val="auto"/>
          <w:sz w:val="30"/>
          <w:szCs w:val="30"/>
          <w:lang w:val="en-US" w:eastAsia="zh-CN"/>
        </w:rPr>
        <w:t>章</w:t>
      </w:r>
      <w:r>
        <w:rPr>
          <w:rFonts w:hint="eastAsia" w:eastAsia="黑体" w:cs="Times New Roman"/>
          <w:b w:val="0"/>
          <w:bCs w:val="0"/>
          <w:color w:val="auto"/>
          <w:sz w:val="30"/>
          <w:szCs w:val="30"/>
          <w:lang w:val="en-US" w:eastAsia="zh-CN"/>
        </w:rPr>
        <w:t xml:space="preserve"> </w:t>
      </w:r>
      <w:r>
        <w:rPr>
          <w:rFonts w:hint="eastAsia" w:ascii="Times New Roman" w:hAnsi="Times New Roman" w:eastAsia="黑体" w:cs="Times New Roman"/>
          <w:b w:val="0"/>
          <w:bCs w:val="0"/>
          <w:color w:val="auto"/>
          <w:sz w:val="30"/>
          <w:szCs w:val="30"/>
          <w:lang w:val="en-US" w:eastAsia="zh-CN"/>
        </w:rPr>
        <w:t>稳步推进新型城镇化，</w:t>
      </w:r>
      <w:r>
        <w:rPr>
          <w:rFonts w:hint="eastAsia" w:eastAsia="黑体" w:cs="Times New Roman"/>
          <w:b w:val="0"/>
          <w:bCs w:val="0"/>
          <w:color w:val="auto"/>
          <w:sz w:val="30"/>
          <w:szCs w:val="30"/>
          <w:lang w:val="en-US" w:eastAsia="zh-CN"/>
        </w:rPr>
        <w:t>打造</w:t>
      </w:r>
      <w:r>
        <w:rPr>
          <w:rFonts w:hint="eastAsia" w:ascii="Times New Roman" w:hAnsi="Times New Roman" w:eastAsia="黑体" w:cs="Times New Roman"/>
          <w:b w:val="0"/>
          <w:bCs w:val="0"/>
          <w:color w:val="auto"/>
          <w:sz w:val="30"/>
          <w:szCs w:val="30"/>
          <w:lang w:val="en-US" w:eastAsia="zh-CN"/>
        </w:rPr>
        <w:t>高品质城市</w:t>
      </w:r>
      <w:bookmarkEnd w:id="135"/>
      <w:bookmarkEnd w:id="136"/>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eastAsia="仿宋_GB2312"/>
          <w:color w:val="auto"/>
          <w:sz w:val="30"/>
          <w:szCs w:val="30"/>
          <w:highlight w:val="none"/>
        </w:rPr>
      </w:pPr>
      <w:r>
        <w:rPr>
          <w:rFonts w:hint="eastAsia" w:eastAsia="仿宋_GB2312"/>
          <w:color w:val="auto"/>
          <w:sz w:val="30"/>
          <w:szCs w:val="30"/>
          <w:highlight w:val="none"/>
        </w:rPr>
        <w:t>加快新型城镇化建设，</w:t>
      </w:r>
      <w:r>
        <w:rPr>
          <w:rFonts w:hint="eastAsia" w:eastAsia="仿宋_GB2312"/>
          <w:color w:val="auto"/>
          <w:sz w:val="30"/>
          <w:szCs w:val="30"/>
          <w:highlight w:val="none"/>
          <w:lang w:eastAsia="zh-CN"/>
        </w:rPr>
        <w:t>以中心城镇国土空间规划为基础，</w:t>
      </w:r>
      <w:r>
        <w:rPr>
          <w:rFonts w:hint="eastAsia" w:eastAsia="仿宋_GB2312"/>
          <w:color w:val="auto"/>
          <w:sz w:val="30"/>
          <w:szCs w:val="30"/>
          <w:highlight w:val="none"/>
        </w:rPr>
        <w:t>围绕提升城市供水、供气、供电、供暖等基本保障能力，加快推进城市老旧小区改造、特色小城镇、城市综合管廊等项目建设，建设宜居、宜业、宜游、宜养新叶城。</w:t>
      </w:r>
    </w:p>
    <w:p>
      <w:pPr>
        <w:pStyle w:val="18"/>
        <w:keepNext w:val="0"/>
        <w:keepLines w:val="0"/>
        <w:shd w:val="clear"/>
        <w:spacing w:beforeLines="50" w:afterLines="50"/>
        <w:rPr>
          <w:rFonts w:hint="eastAsia" w:ascii="Times New Roman" w:hAnsi="Times New Roman"/>
          <w:color w:val="auto"/>
          <w:lang w:val="en-US" w:eastAsia="zh-CN"/>
        </w:rPr>
      </w:pPr>
      <w:bookmarkStart w:id="137" w:name="_Toc20070"/>
      <w:bookmarkStart w:id="138" w:name="_Toc21751"/>
      <w:bookmarkStart w:id="139" w:name="_Toc19702"/>
      <w:r>
        <w:rPr>
          <w:rFonts w:hint="eastAsia" w:ascii="Times New Roman" w:hAnsi="Times New Roman"/>
          <w:color w:val="auto"/>
          <w:lang w:val="en-US" w:eastAsia="zh-CN"/>
        </w:rPr>
        <w:t>第一节 优化城镇化空间布局</w:t>
      </w:r>
      <w:bookmarkEnd w:id="137"/>
      <w:bookmarkEnd w:id="138"/>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both"/>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优化叶城县城镇体系布局。加大“叶城撤县设市”推进力度，推进县城和小城镇建设，提高城镇规划建设水平。围绕区域丰富的农产品、民族手工艺品以及劳动力等资源优势，以特色农产品加工、手工艺品加工制造、金属采选冶、现代农牧业、纺织服装业为重点，打造统筹城乡的劳动密集型产业集聚地。围绕建设“喀什地区东部区域经济副中心”，重点发展纺织、农副产品精深加工、建材、物流等，突破兵团、地方等行政界限，打破自成体系、条块分割的局面，大力发展与农三师二牧场的融合经济，力争打造兵地融合共建的示范区域。加快推进特色小城镇（叶城县恰尔巴格镇、洛克乡）道路、市政设施、农贸市场、特色商业、文化旅游设施、公园、居住及公共服务设施建设。加大争取国家、自治区对边境地区的建设支持力度，把柯克亚乡、乌夏巴什镇打造成边境现代化发展中心，发挥辐射带动作用。</w:t>
      </w:r>
    </w:p>
    <w:p>
      <w:pPr>
        <w:pStyle w:val="18"/>
        <w:keepNext w:val="0"/>
        <w:keepLines w:val="0"/>
        <w:shd w:val="clear"/>
        <w:spacing w:beforeLines="50" w:afterLines="50"/>
        <w:rPr>
          <w:rFonts w:hint="eastAsia" w:ascii="Times New Roman" w:hAnsi="Times New Roman"/>
          <w:color w:val="auto"/>
          <w:lang w:val="zh-CN" w:eastAsia="zh-CN"/>
        </w:rPr>
      </w:pPr>
      <w:bookmarkStart w:id="140" w:name="_Toc3146"/>
      <w:bookmarkStart w:id="141" w:name="_Toc10601"/>
      <w:r>
        <w:rPr>
          <w:rFonts w:hint="eastAsia" w:ascii="Times New Roman" w:hAnsi="Times New Roman"/>
          <w:color w:val="auto"/>
          <w:lang w:val="zh-CN" w:eastAsia="zh-CN"/>
        </w:rPr>
        <w:t>第二节</w:t>
      </w:r>
      <w:r>
        <w:rPr>
          <w:rFonts w:hint="eastAsia" w:ascii="Times New Roman" w:hAnsi="Times New Roman"/>
          <w:color w:val="auto"/>
          <w:lang w:val="en-US" w:eastAsia="zh-CN"/>
        </w:rPr>
        <w:t xml:space="preserve"> </w:t>
      </w:r>
      <w:r>
        <w:rPr>
          <w:rFonts w:hint="eastAsia" w:ascii="Times New Roman" w:hAnsi="Times New Roman"/>
          <w:color w:val="auto"/>
          <w:lang w:val="zh-CN" w:eastAsia="zh-CN"/>
        </w:rPr>
        <w:t>推进以人为核心的新型城镇化</w:t>
      </w:r>
      <w:bookmarkEnd w:id="140"/>
      <w:bookmarkEnd w:id="141"/>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val="0"/>
          <w:bCs w:val="0"/>
          <w:color w:val="auto"/>
          <w:kern w:val="2"/>
          <w:sz w:val="30"/>
          <w:szCs w:val="30"/>
          <w:highlight w:val="none"/>
          <w:lang w:val="zh-CN" w:eastAsia="zh-CN" w:bidi="ar-SA"/>
        </w:rPr>
        <w:t>坚持以人为本，重点推进人的城镇化进程。着力治理居民反映强烈的上学难、入园难、看病难、娱乐难、出行难、打车难、停车难、电动车充电难和环境脏乱差等“城市病”。推动城市基础设施建设一体化进程。以高速化、网络化为重点，以信息基础设施建设为着力点，加快公共信息平台建设，积极推进通信网络一体化，实现城市和城乡互联互通；坚持电源与电网协调发展，优化电源结构，改善电网布局，形成城乡电网协调发展的一体化供电体系。进一步规范物业监管，提升服务水平，严格整治乱停乱放、占道经营。强化规划刚性约束，严禁未批先建、少批多建、违法乱建等行为。积极推进城市公共停车场建设，破解停车难问题。进一步完善城市功能设施配套建设。加强城市集中式水源地保护，抓好城市供水（配水管网）工程建设和城市生活垃圾、污水处理；加强电网改造和变电站建设，满足城市民用、商用和工业用电需求；加快城市燃气设施建设和改造，扩大城市供气管网和用气规模。</w:t>
      </w:r>
    </w:p>
    <w:p>
      <w:pPr>
        <w:pStyle w:val="18"/>
        <w:keepNext w:val="0"/>
        <w:keepLines w:val="0"/>
        <w:shd w:val="clear"/>
        <w:spacing w:beforeLines="50" w:afterLines="50"/>
        <w:rPr>
          <w:rFonts w:hint="default" w:ascii="Times New Roman" w:hAnsi="Times New Roman"/>
          <w:color w:val="auto"/>
          <w:lang w:val="en-US" w:eastAsia="zh-CN"/>
        </w:rPr>
      </w:pPr>
      <w:bookmarkStart w:id="142" w:name="_Toc20313"/>
      <w:bookmarkStart w:id="143" w:name="_Toc28911"/>
      <w:r>
        <w:rPr>
          <w:rFonts w:hint="eastAsia" w:ascii="Times New Roman" w:hAnsi="Times New Roman"/>
          <w:color w:val="auto"/>
          <w:lang w:val="zh-CN" w:eastAsia="zh-CN"/>
        </w:rPr>
        <w:t>第三节</w:t>
      </w:r>
      <w:r>
        <w:rPr>
          <w:rFonts w:hint="eastAsia" w:ascii="Times New Roman" w:hAnsi="Times New Roman"/>
          <w:color w:val="auto"/>
          <w:lang w:val="en-US" w:eastAsia="zh-CN"/>
        </w:rPr>
        <w:t xml:space="preserve"> 完善城镇基础设施建设</w:t>
      </w:r>
      <w:bookmarkEnd w:id="142"/>
      <w:bookmarkEnd w:id="143"/>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kern w:val="2"/>
          <w:sz w:val="30"/>
          <w:szCs w:val="30"/>
          <w:highlight w:val="none"/>
          <w:lang w:val="zh-CN" w:eastAsia="zh-CN" w:bidi="ar-SA"/>
        </w:rPr>
      </w:pPr>
      <w:r>
        <w:rPr>
          <w:rFonts w:hint="eastAsia" w:ascii="仿宋_GB2312" w:hAnsi="仿宋_GB2312" w:eastAsia="仿宋_GB2312" w:cs="仿宋_GB2312"/>
          <w:b w:val="0"/>
          <w:bCs w:val="0"/>
          <w:color w:val="auto"/>
          <w:kern w:val="2"/>
          <w:sz w:val="30"/>
          <w:szCs w:val="30"/>
          <w:highlight w:val="none"/>
          <w:lang w:val="zh-CN" w:eastAsia="zh-CN" w:bidi="ar-SA"/>
        </w:rPr>
        <w:t>以重点基础设施项目和民生项目建设为突破口，全面提高城乡基础设施和公共服务水平，提升城乡居民生活水平和生活质量。强化综合交通运输网络支撑，优化交通结构，加强各种交通运输方式之间、城乡交通之间衔接协调，实现交通基础设施现代化、信息化，基本形成布局合理、功能完善、衔接畅通、安全高效的综合交通运输体系。加强城镇供排水、供气、供电、供热、污水和垃圾处理、防灾减灾等工程，重点加快城镇供水设施建设和检测能力建设，提高水质检测能力，确保城镇用水安全。全面推进农村生活垃圾专项治理，积极推进垃圾分类收集工作，加快建立城乡一体化垃圾处理体系。全面实施医疗（特种）垃圾无害化处理。大力发展以热电联产为主、集中供热和清洁能源为辅的城镇供热方式。加快老城区的改造和提升，加快老旧小区改造，推动城镇基础设施向农村延伸，加快城乡统筹和一体化步伐。</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专栏9：基础设施建设重点工程</w:t>
            </w:r>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144" w:name="_Toc9738"/>
            <w:bookmarkStart w:id="145" w:name="_Toc3381"/>
            <w:bookmarkStart w:id="146" w:name="_Toc23094"/>
            <w:r>
              <w:rPr>
                <w:rFonts w:hint="eastAsia" w:ascii="楷体" w:hAnsi="楷体" w:eastAsia="楷体" w:cs="楷体"/>
                <w:b/>
                <w:bCs/>
                <w:color w:val="auto"/>
                <w:kern w:val="2"/>
                <w:sz w:val="28"/>
                <w:szCs w:val="28"/>
                <w:highlight w:val="none"/>
                <w:lang w:val="en-US" w:eastAsia="zh-CN" w:bidi="ar-SA"/>
              </w:rPr>
              <w:t>市政道路：</w:t>
            </w:r>
            <w:r>
              <w:rPr>
                <w:rFonts w:hint="eastAsia" w:ascii="楷体" w:hAnsi="楷体" w:eastAsia="楷体" w:cs="楷体"/>
                <w:b w:val="0"/>
                <w:bCs w:val="0"/>
                <w:color w:val="auto"/>
                <w:kern w:val="2"/>
                <w:sz w:val="28"/>
                <w:szCs w:val="28"/>
                <w:highlight w:val="none"/>
                <w:lang w:val="en-US" w:eastAsia="zh-CN" w:bidi="ar-SA"/>
              </w:rPr>
              <w:t>实施叶城县东外环、南外环、西外环、老城区市政道路改扩建项目。</w:t>
            </w:r>
            <w:bookmarkEnd w:id="144"/>
            <w:bookmarkEnd w:id="145"/>
            <w:bookmarkEnd w:id="146"/>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147" w:name="_Toc3175"/>
            <w:bookmarkStart w:id="148" w:name="_Toc25682"/>
            <w:bookmarkStart w:id="149" w:name="_Toc26165"/>
            <w:r>
              <w:rPr>
                <w:rFonts w:hint="eastAsia" w:ascii="楷体" w:hAnsi="楷体" w:eastAsia="楷体" w:cs="楷体"/>
                <w:b/>
                <w:bCs/>
                <w:color w:val="auto"/>
                <w:kern w:val="2"/>
                <w:sz w:val="28"/>
                <w:szCs w:val="28"/>
                <w:highlight w:val="none"/>
                <w:lang w:val="en-US" w:eastAsia="zh-CN" w:bidi="ar-SA"/>
              </w:rPr>
              <w:t>供水设施：</w:t>
            </w:r>
            <w:r>
              <w:rPr>
                <w:rFonts w:hint="eastAsia" w:ascii="楷体" w:hAnsi="楷体" w:eastAsia="楷体" w:cs="楷体"/>
                <w:b w:val="0"/>
                <w:bCs w:val="0"/>
                <w:color w:val="auto"/>
                <w:kern w:val="2"/>
                <w:sz w:val="28"/>
                <w:szCs w:val="28"/>
                <w:highlight w:val="none"/>
                <w:lang w:val="en-US" w:eastAsia="zh-CN" w:bidi="ar-SA"/>
              </w:rPr>
              <w:t>加快城镇供水设施建设和检测能力建设，提高水质检测能力，确保城镇用水安全。实施叶城县城区第一、第二水厂提标改造、自来水厂水质提升改造、城区供水管网改扩建等项目。</w:t>
            </w:r>
            <w:bookmarkEnd w:id="147"/>
            <w:bookmarkEnd w:id="148"/>
            <w:bookmarkEnd w:id="149"/>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150" w:name="_Toc16399"/>
            <w:bookmarkStart w:id="151" w:name="_Toc3843"/>
            <w:bookmarkStart w:id="152" w:name="_Toc20272"/>
            <w:r>
              <w:rPr>
                <w:rFonts w:hint="eastAsia" w:ascii="楷体" w:hAnsi="楷体" w:eastAsia="楷体" w:cs="楷体"/>
                <w:b/>
                <w:bCs/>
                <w:color w:val="auto"/>
                <w:kern w:val="2"/>
                <w:sz w:val="28"/>
                <w:szCs w:val="28"/>
                <w:highlight w:val="none"/>
                <w:lang w:val="en-US" w:eastAsia="zh-CN" w:bidi="ar-SA"/>
              </w:rPr>
              <w:t>排水设施：</w:t>
            </w:r>
            <w:r>
              <w:rPr>
                <w:rFonts w:hint="eastAsia" w:ascii="楷体" w:hAnsi="楷体" w:eastAsia="楷体" w:cs="楷体"/>
                <w:b w:val="0"/>
                <w:bCs w:val="0"/>
                <w:color w:val="auto"/>
                <w:kern w:val="2"/>
                <w:sz w:val="28"/>
                <w:szCs w:val="28"/>
                <w:highlight w:val="none"/>
                <w:lang w:val="en-US" w:eastAsia="zh-CN" w:bidi="ar-SA"/>
              </w:rPr>
              <w:t>完成叶城县老城区城市排水管网改造建设，雪域大道、文化路、团结路、解放路、新城路、幸福北路、青年路、英雄大道、辛福南路、夏合甫路、棋盘路、恰尔巴格路、纬一路、纬三路等DN300排水管道45000米。</w:t>
            </w:r>
            <w:bookmarkEnd w:id="150"/>
            <w:bookmarkEnd w:id="151"/>
            <w:bookmarkEnd w:id="152"/>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153" w:name="_Toc19601"/>
            <w:bookmarkStart w:id="154" w:name="_Toc23329"/>
            <w:bookmarkStart w:id="155" w:name="_Toc25697"/>
            <w:r>
              <w:rPr>
                <w:rFonts w:hint="eastAsia" w:ascii="楷体" w:hAnsi="楷体" w:eastAsia="楷体" w:cs="楷体"/>
                <w:b/>
                <w:bCs/>
                <w:color w:val="auto"/>
                <w:kern w:val="2"/>
                <w:sz w:val="28"/>
                <w:szCs w:val="28"/>
                <w:highlight w:val="none"/>
                <w:lang w:val="en-US" w:eastAsia="zh-CN" w:bidi="ar-SA"/>
              </w:rPr>
              <w:t>供热设施：</w:t>
            </w:r>
            <w:r>
              <w:rPr>
                <w:rFonts w:hint="eastAsia" w:ascii="楷体" w:hAnsi="楷体" w:eastAsia="楷体" w:cs="楷体"/>
                <w:b w:val="0"/>
                <w:bCs w:val="0"/>
                <w:color w:val="auto"/>
                <w:kern w:val="2"/>
                <w:sz w:val="28"/>
                <w:szCs w:val="28"/>
                <w:highlight w:val="none"/>
                <w:lang w:val="en-US" w:eastAsia="zh-CN" w:bidi="ar-SA"/>
              </w:rPr>
              <w:t>完成新（改、扩）建供热设施项目。主要对老城区供热设施改造。西城、东城C区配置7MW锅炉4台，建业小区1.4MW锅炉2台，新建换热站2座，7MW锅炉3台更换为21MW锅炉2台等供热设备更新完善</w:t>
            </w:r>
            <w:bookmarkEnd w:id="153"/>
            <w:bookmarkEnd w:id="154"/>
            <w:bookmarkEnd w:id="155"/>
            <w:r>
              <w:rPr>
                <w:rFonts w:hint="eastAsia" w:ascii="楷体" w:hAnsi="楷体" w:eastAsia="楷体" w:cs="楷体"/>
                <w:b w:val="0"/>
                <w:bCs w:val="0"/>
                <w:color w:val="auto"/>
                <w:kern w:val="2"/>
                <w:sz w:val="28"/>
                <w:szCs w:val="28"/>
                <w:highlight w:val="none"/>
                <w:lang w:val="en-US" w:eastAsia="zh-CN" w:bidi="ar-SA"/>
              </w:rPr>
              <w:t>。</w:t>
            </w:r>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bookmarkStart w:id="156" w:name="_Toc28701"/>
            <w:bookmarkStart w:id="157" w:name="_Toc20723"/>
            <w:bookmarkStart w:id="158" w:name="_Toc26870"/>
            <w:bookmarkStart w:id="159" w:name="_Toc31055"/>
            <w:bookmarkStart w:id="160" w:name="_Toc19832"/>
            <w:bookmarkStart w:id="161" w:name="_Toc24007"/>
            <w:r>
              <w:rPr>
                <w:rFonts w:hint="eastAsia" w:ascii="楷体" w:hAnsi="楷体" w:eastAsia="楷体" w:cs="楷体"/>
                <w:b/>
                <w:bCs/>
                <w:color w:val="auto"/>
                <w:kern w:val="2"/>
                <w:sz w:val="28"/>
                <w:szCs w:val="28"/>
                <w:highlight w:val="none"/>
                <w:lang w:val="en-US" w:eastAsia="zh-CN" w:bidi="ar-SA"/>
              </w:rPr>
              <w:t>供气设施：</w:t>
            </w:r>
            <w:r>
              <w:rPr>
                <w:rFonts w:hint="eastAsia" w:ascii="楷体" w:hAnsi="楷体" w:eastAsia="楷体" w:cs="楷体"/>
                <w:b w:val="0"/>
                <w:bCs w:val="0"/>
                <w:color w:val="auto"/>
                <w:kern w:val="2"/>
                <w:sz w:val="28"/>
                <w:szCs w:val="28"/>
                <w:highlight w:val="none"/>
                <w:lang w:val="en-US" w:eastAsia="zh-CN" w:bidi="ar-SA"/>
              </w:rPr>
              <w:t>完成叶城中站至肖塔渠门站天然气高压管道建设、喀什地区叶城县老城区天然气管网改造、喀什地区叶城县天然气储气站建设项目。</w:t>
            </w:r>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楷体" w:hAnsi="楷体" w:eastAsia="楷体" w:cs="楷体"/>
                <w:b/>
                <w:bCs/>
                <w:color w:val="auto"/>
                <w:kern w:val="2"/>
                <w:sz w:val="28"/>
                <w:szCs w:val="28"/>
                <w:highlight w:val="none"/>
                <w:lang w:val="en-US" w:eastAsia="zh-CN" w:bidi="ar-SA"/>
              </w:rPr>
              <w:t>垃圾处置设施：</w:t>
            </w:r>
            <w:r>
              <w:rPr>
                <w:rFonts w:hint="eastAsia" w:ascii="楷体" w:hAnsi="楷体" w:eastAsia="楷体" w:cs="楷体"/>
                <w:b w:val="0"/>
                <w:bCs w:val="0"/>
                <w:color w:val="auto"/>
                <w:kern w:val="2"/>
                <w:sz w:val="28"/>
                <w:szCs w:val="28"/>
                <w:highlight w:val="none"/>
                <w:lang w:val="en-US" w:eastAsia="zh-CN" w:bidi="ar-SA"/>
              </w:rPr>
              <w:t>新建叶城县垃圾分类收集转运一体化项目。</w:t>
            </w:r>
            <w:bookmarkEnd w:id="156"/>
            <w:bookmarkEnd w:id="157"/>
            <w:bookmarkEnd w:id="158"/>
          </w:p>
          <w:p>
            <w:pPr>
              <w:pStyle w:val="2"/>
              <w:keepNext/>
              <w:keepLines/>
              <w:pageBreakBefore w:val="0"/>
              <w:widowControl w:val="0"/>
              <w:shd w:val="clear"/>
              <w:kinsoku/>
              <w:wordWrap/>
              <w:overflowPunct/>
              <w:topLinePunct w:val="0"/>
              <w:autoSpaceDE/>
              <w:autoSpaceDN/>
              <w:bidi w:val="0"/>
              <w:adjustRightInd/>
              <w:snapToGrid/>
              <w:spacing w:before="0" w:after="0" w:line="460" w:lineRule="exact"/>
              <w:ind w:left="0" w:leftChars="0" w:firstLine="562" w:firstLineChars="200"/>
              <w:jc w:val="left"/>
              <w:textAlignment w:val="auto"/>
              <w:rPr>
                <w:rFonts w:hint="eastAsia"/>
                <w:color w:val="auto"/>
                <w:u w:val="none" w:color="auto"/>
                <w:lang w:val="en-US" w:eastAsia="zh-CN"/>
              </w:rPr>
            </w:pPr>
            <w:r>
              <w:rPr>
                <w:rFonts w:hint="eastAsia" w:ascii="楷体" w:hAnsi="楷体" w:eastAsia="楷体" w:cs="楷体"/>
                <w:b/>
                <w:bCs/>
                <w:color w:val="auto"/>
                <w:kern w:val="2"/>
                <w:sz w:val="28"/>
                <w:szCs w:val="28"/>
                <w:highlight w:val="none"/>
                <w:lang w:val="en-US" w:eastAsia="zh-CN" w:bidi="ar-SA"/>
              </w:rPr>
              <w:t>其他项目：</w:t>
            </w:r>
            <w:r>
              <w:rPr>
                <w:rFonts w:hint="eastAsia" w:ascii="楷体" w:hAnsi="楷体" w:eastAsia="楷体" w:cs="楷体"/>
                <w:b w:val="0"/>
                <w:bCs w:val="0"/>
                <w:color w:val="auto"/>
                <w:kern w:val="2"/>
                <w:sz w:val="28"/>
                <w:szCs w:val="28"/>
                <w:highlight w:val="none"/>
                <w:lang w:val="en-US" w:eastAsia="zh-CN" w:bidi="ar-SA"/>
              </w:rPr>
              <w:t>实施完成叶城县老旧小区改造、保障性安居工程、停车场建设项目，智慧社区建设项目</w:t>
            </w:r>
            <w:bookmarkEnd w:id="159"/>
            <w:bookmarkEnd w:id="160"/>
            <w:bookmarkEnd w:id="161"/>
            <w:r>
              <w:rPr>
                <w:rFonts w:hint="eastAsia" w:ascii="楷体" w:hAnsi="楷体" w:eastAsia="楷体" w:cs="楷体"/>
                <w:b w:val="0"/>
                <w:bCs w:val="0"/>
                <w:color w:val="auto"/>
                <w:kern w:val="2"/>
                <w:sz w:val="28"/>
                <w:szCs w:val="28"/>
                <w:highlight w:val="none"/>
                <w:lang w:val="en-US" w:eastAsia="zh-CN" w:bidi="ar-SA"/>
              </w:rPr>
              <w:t>。</w:t>
            </w:r>
          </w:p>
        </w:tc>
      </w:tr>
    </w:tbl>
    <w:p>
      <w:pPr>
        <w:pStyle w:val="18"/>
        <w:keepNext w:val="0"/>
        <w:keepLines w:val="0"/>
        <w:shd w:val="clear"/>
        <w:spacing w:beforeLines="50" w:afterLines="50"/>
        <w:rPr>
          <w:rFonts w:hint="default" w:ascii="Times New Roman" w:hAnsi="Times New Roman"/>
          <w:color w:val="auto"/>
          <w:lang w:val="en-US" w:eastAsia="zh-CN"/>
        </w:rPr>
      </w:pPr>
      <w:bookmarkStart w:id="162" w:name="_Toc22406"/>
      <w:bookmarkStart w:id="163" w:name="_Toc24912_WPSOffice_Level3"/>
      <w:bookmarkStart w:id="164" w:name="_Toc27670"/>
      <w:r>
        <w:rPr>
          <w:rFonts w:hint="eastAsia" w:ascii="Times New Roman" w:hAnsi="Times New Roman"/>
          <w:color w:val="auto"/>
          <w:lang w:val="en-US" w:eastAsia="zh-CN"/>
        </w:rPr>
        <w:t>第四节 推进产城融合</w:t>
      </w:r>
      <w:bookmarkEnd w:id="162"/>
      <w:bookmarkEnd w:id="163"/>
      <w:r>
        <w:rPr>
          <w:rFonts w:hint="eastAsia" w:ascii="Times New Roman" w:hAnsi="Times New Roman"/>
          <w:color w:val="auto"/>
          <w:lang w:val="en-US" w:eastAsia="zh-CN"/>
        </w:rPr>
        <w:t>发展</w:t>
      </w:r>
      <w:bookmarkEnd w:id="164"/>
    </w:p>
    <w:p>
      <w:pPr>
        <w:pStyle w:val="14"/>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bCs w:val="0"/>
          <w:color w:val="auto"/>
          <w:kern w:val="2"/>
          <w:sz w:val="30"/>
          <w:szCs w:val="30"/>
          <w:highlight w:val="none"/>
          <w:lang w:val="zh-CN" w:eastAsia="zh-CN" w:bidi="ar-SA"/>
        </w:rPr>
      </w:pPr>
      <w:r>
        <w:rPr>
          <w:rFonts w:hint="eastAsia" w:ascii="仿宋_GB2312" w:hAnsi="仿宋_GB2312" w:eastAsia="仿宋_GB2312" w:cs="仿宋_GB2312"/>
          <w:b w:val="0"/>
          <w:bCs w:val="0"/>
          <w:color w:val="auto"/>
          <w:kern w:val="2"/>
          <w:sz w:val="30"/>
          <w:szCs w:val="30"/>
          <w:highlight w:val="none"/>
          <w:lang w:val="zh-CN" w:eastAsia="zh-CN" w:bidi="ar-SA"/>
        </w:rPr>
        <w:t>强化产业带动，按照“产城融合、宜居宜业”的要求，优化产业布局，打造产业园区，重点发展商贸物流、文化旅游、餐饮家政等服务业，加快发展就业容量大的劳动密集型产业，以产业集聚人气，把城镇打造成为促进高质量发展、稳定扩大就业、提升生活质量的重要空间。提升档次、调整结构、合理布局，发展和提升商品市场，进一步推进要素市场的资源整合和一体化发展。继续深化户籍制度改革，全面放开落户限制，引导在城镇打工人员就近转为城镇居民，鼓励农村人口快速向小城镇集中，吸引疆外人口来叶落户。不断创新治理模式，大力实施智慧城市建设，推进城市发展向规划建设信息化、公共服务便捷化、市政管理智慧化迈进。推进依法治理城市、改革城市管理体制、完善城市治理机制、推进城市智慧管理和提高市民文明素质，促进城市管理走向城市治理，从自上而下的管理转变为政府与社会公众之间的双向互动。加强法治建设、道德建设、信用体系建设、信息化管理等，实现公共利益最大化。</w:t>
      </w:r>
    </w:p>
    <w:p>
      <w:pPr>
        <w:pStyle w:val="18"/>
        <w:keepNext w:val="0"/>
        <w:keepLines w:val="0"/>
        <w:shd w:val="clear"/>
        <w:spacing w:beforeLines="50" w:afterLines="50"/>
        <w:rPr>
          <w:rFonts w:hint="eastAsia" w:ascii="Times New Roman" w:hAnsi="Times New Roman"/>
          <w:color w:val="auto"/>
          <w:lang w:val="en-US" w:eastAsia="zh-CN"/>
        </w:rPr>
      </w:pPr>
      <w:bookmarkStart w:id="165" w:name="_Toc25631"/>
      <w:bookmarkStart w:id="166" w:name="_Toc25738"/>
      <w:r>
        <w:rPr>
          <w:rFonts w:hint="eastAsia" w:ascii="Times New Roman" w:hAnsi="Times New Roman"/>
          <w:color w:val="auto"/>
          <w:lang w:val="en-US" w:eastAsia="zh-CN"/>
        </w:rPr>
        <w:t>第五节 推动城乡基础设施一体化发展</w:t>
      </w:r>
      <w:bookmarkEnd w:id="165"/>
      <w:bookmarkEnd w:id="166"/>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通盘谋划城乡重大基础设施布局和建设，推动城乡基础设施统一规划、建设和管理，促进城镇供排水、供暖、供气、垃圾处理等重要市政公用设施向城郊乡村和规模较大</w:t>
      </w:r>
      <w:r>
        <w:rPr>
          <w:rFonts w:hint="eastAsia" w:eastAsia="仿宋_GB2312" w:cs="Times New Roman"/>
          <w:b w:val="0"/>
          <w:bCs w:val="0"/>
          <w:color w:val="auto"/>
          <w:kern w:val="2"/>
          <w:sz w:val="30"/>
          <w:szCs w:val="30"/>
          <w:highlight w:val="none"/>
          <w:lang w:val="en-US" w:eastAsia="zh-CN" w:bidi="ar-SA"/>
        </w:rPr>
        <w:t>乡</w:t>
      </w:r>
      <w:r>
        <w:rPr>
          <w:rFonts w:hint="eastAsia" w:ascii="Times New Roman" w:hAnsi="Times New Roman" w:eastAsia="仿宋_GB2312" w:cs="Times New Roman"/>
          <w:b w:val="0"/>
          <w:bCs w:val="0"/>
          <w:color w:val="auto"/>
          <w:kern w:val="2"/>
          <w:sz w:val="30"/>
          <w:szCs w:val="30"/>
          <w:highlight w:val="none"/>
          <w:lang w:val="en-US" w:eastAsia="zh-CN" w:bidi="ar-SA"/>
        </w:rPr>
        <w:t>镇延伸，加快推动乡村基础设施提档升级，实现城乡基础设施一体化发展。建立城乡基础设施一体化规划机制，加强规划指导，推动城乡路网的一体化规划设计，统筹规划重要市政公用设施，统筹规划城乡污染物的收运处置体系。健全城乡基础设施一体化建设机制，公益性基础设施建设投入以政府为主，经济型基础设施投入以企业为主，积极争取中央和自治区对叶城县基础设施建设的投入力度，在资金上予以倾斜。积极探索建立城乡基础设施一体化管护机制，明确乡村基础设施产权归属，由产权所有者建立管护制度。</w:t>
      </w:r>
    </w:p>
    <w:p>
      <w:pPr>
        <w:pStyle w:val="18"/>
        <w:keepNext w:val="0"/>
        <w:keepLines w:val="0"/>
        <w:shd w:val="clear"/>
        <w:spacing w:beforeLines="50" w:afterLines="50"/>
        <w:rPr>
          <w:rFonts w:hint="eastAsia" w:ascii="Times New Roman" w:hAnsi="Times New Roman"/>
          <w:lang w:val="en-US" w:eastAsia="zh-CN"/>
        </w:rPr>
      </w:pPr>
      <w:bookmarkStart w:id="167" w:name="_Toc5164"/>
      <w:bookmarkStart w:id="168" w:name="_Toc19940"/>
      <w:r>
        <w:rPr>
          <w:rFonts w:hint="eastAsia" w:ascii="Times New Roman" w:hAnsi="Times New Roman"/>
          <w:lang w:val="en-US" w:eastAsia="zh-CN"/>
        </w:rPr>
        <w:t>第六节 推动基本公共服务普惠共享</w:t>
      </w:r>
      <w:bookmarkEnd w:id="167"/>
      <w:bookmarkEnd w:id="168"/>
    </w:p>
    <w:p>
      <w:pPr>
        <w:pStyle w:val="8"/>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健全全民覆盖、普惠共享、城乡一体的基本公共服务体系，推进城乡基本公共服务标准统一、制度并轨，实现公共服务向农村延伸、社会事业向农村覆盖。建立城乡教育资源均衡配置机制，增强乡村教师岗位吸引力，推动教师资源向乡村倾斜，完善教育信息化发展机制，增强乡村普惠性学前教育资源，推行义务教育学校标准化建设，推动建立农村幼儿园与城市优质幼儿园“城乡联盟共同体”。健全乡村医疗卫生服务体系，进一步深化远程医疗体系建设，改善乡镇卫生院和村卫生室条件，提高重大传染病防治能力，加强乡村医疗卫生人才队伍建设，提高农村人口健康素养水平，补充民营医疗机构建设。健全城乡公共文化服务体系，统筹城乡公共文化设施布局、服务提供、队伍建设，推动文化资源重点向农村倾斜，建立文化结对帮扶机制，推动文化工作者和志愿者等投身乡村文化建设。建立城乡统一的社会保险制度和社会救助体系，缩小城乡补助标准差距，推动社会福利制度和机构向农村倾斜。</w:t>
      </w:r>
    </w:p>
    <w:p>
      <w:pPr>
        <w:pStyle w:val="18"/>
        <w:keepNext w:val="0"/>
        <w:keepLines w:val="0"/>
        <w:shd w:val="clear"/>
        <w:spacing w:beforeLines="50" w:afterLines="50"/>
        <w:rPr>
          <w:rFonts w:hint="eastAsia" w:ascii="Times New Roman" w:hAnsi="Times New Roman"/>
          <w:lang w:val="en-US" w:eastAsia="zh-CN"/>
        </w:rPr>
      </w:pPr>
      <w:bookmarkStart w:id="169" w:name="_Toc10346"/>
      <w:bookmarkStart w:id="170" w:name="_Toc9834"/>
      <w:r>
        <w:rPr>
          <w:rFonts w:hint="eastAsia" w:ascii="Times New Roman" w:hAnsi="Times New Roman"/>
          <w:lang w:val="en-US" w:eastAsia="zh-CN"/>
        </w:rPr>
        <w:t>第七节 促进生产要素双向流动</w:t>
      </w:r>
      <w:bookmarkEnd w:id="169"/>
      <w:bookmarkEnd w:id="170"/>
    </w:p>
    <w:p>
      <w:pPr>
        <w:pStyle w:val="8"/>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600" w:firstLineChars="200"/>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以破除城乡要素流动体制机制障碍为重点，充分发挥市场在城乡要素资源配置中的决定性作用，加快建立城乡一体的要素市场体系。优化配置城乡公共服务资源，畅通人口双向流动通道，既让农牧民进城，又促进城市居民下乡。有序推进农村土地制度改革，建立城乡统一、主体平等、产权明晰、合理有序的建设用地市场，切实保障农牧民公平分享土地增值收益。健全资金投入保障机制，建立涉农资金统筹整合长效机制，发挥财政资金撬动作用，撬动更多社会资金投入。改革村镇银行培育发展模式，创新中小银行和地方银行金融产品提供机制，加大开发性和政策性金融支持力度。依法合规开展农村集体经营性建设用地使用权、农民房屋财产权、集体林权抵押融资，以及承包地经营权、集体资产股权等担保融资。加快完善农业保险制度。</w:t>
      </w:r>
    </w:p>
    <w:bookmarkEnd w:id="139"/>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171" w:name="_Toc13928"/>
      <w:bookmarkStart w:id="172" w:name="_Toc26889"/>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九</w:t>
      </w:r>
      <w:r>
        <w:rPr>
          <w:rFonts w:hint="eastAsia" w:ascii="Times New Roman" w:hAnsi="Times New Roman" w:eastAsia="黑体" w:cs="Times New Roman"/>
          <w:b w:val="0"/>
          <w:bCs w:val="0"/>
          <w:sz w:val="30"/>
          <w:szCs w:val="30"/>
          <w:lang w:val="en-US" w:eastAsia="zh-CN"/>
        </w:rPr>
        <w:t>章 完善基础设施网络体系，夯实发展基础支撑</w:t>
      </w:r>
      <w:bookmarkEnd w:id="171"/>
      <w:bookmarkEnd w:id="172"/>
    </w:p>
    <w:p>
      <w:pPr>
        <w:keepNext w:val="0"/>
        <w:keepLines w:val="0"/>
        <w:pageBreakBefore w:val="0"/>
        <w:shd w:val="clear"/>
        <w:kinsoku/>
        <w:wordWrap/>
        <w:autoSpaceDE/>
        <w:autoSpaceDN/>
        <w:bidi w:val="0"/>
        <w:spacing w:line="560" w:lineRule="exact"/>
        <w:ind w:firstLine="600" w:firstLineChars="200"/>
        <w:jc w:val="left"/>
        <w:textAlignment w:val="auto"/>
        <w:rPr>
          <w:rFonts w:eastAsia="仿宋_GB2312"/>
          <w:color w:val="auto"/>
          <w:sz w:val="30"/>
          <w:szCs w:val="30"/>
          <w:highlight w:val="none"/>
        </w:rPr>
      </w:pPr>
      <w:r>
        <w:rPr>
          <w:rFonts w:hint="eastAsia" w:eastAsia="仿宋_GB2312"/>
          <w:color w:val="auto"/>
          <w:kern w:val="0"/>
          <w:sz w:val="30"/>
          <w:szCs w:val="30"/>
          <w:highlight w:val="none"/>
          <w:lang w:val="en-US" w:eastAsia="zh-CN"/>
        </w:rPr>
        <w:t>围绕制约经济社会发展的短板问题，</w:t>
      </w:r>
      <w:r>
        <w:rPr>
          <w:rFonts w:hint="eastAsia" w:eastAsia="仿宋_GB2312"/>
          <w:color w:val="auto"/>
          <w:kern w:val="0"/>
          <w:sz w:val="30"/>
          <w:szCs w:val="30"/>
          <w:highlight w:val="none"/>
        </w:rPr>
        <w:t>突出重点、适度超前，加快交通、水利、电力、信息等基础设施建设，探索谋划新基建，着力构建安全、高效、智慧、绿色的现代基础设施体系，全面提升支撑保障和引领发展能力。</w:t>
      </w:r>
    </w:p>
    <w:p>
      <w:pPr>
        <w:pStyle w:val="18"/>
        <w:keepNext w:val="0"/>
        <w:keepLines w:val="0"/>
        <w:shd w:val="clear"/>
        <w:spacing w:beforeLines="50" w:afterLines="50"/>
        <w:rPr>
          <w:rFonts w:hint="eastAsia" w:ascii="Times New Roman" w:hAnsi="Times New Roman"/>
          <w:color w:val="auto"/>
          <w:highlight w:val="none"/>
          <w:lang w:val="zh-CN"/>
        </w:rPr>
      </w:pPr>
      <w:bookmarkStart w:id="173" w:name="_Toc15044"/>
      <w:bookmarkStart w:id="174" w:name="_Toc10591"/>
      <w:r>
        <w:rPr>
          <w:rFonts w:hint="eastAsia" w:ascii="Times New Roman" w:hAnsi="Times New Roman"/>
          <w:color w:val="auto"/>
          <w:highlight w:val="none"/>
          <w:lang w:val="zh-CN"/>
        </w:rPr>
        <w:t>第一节 健全交通运输体系</w:t>
      </w:r>
      <w:bookmarkEnd w:id="173"/>
      <w:bookmarkEnd w:id="174"/>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0" w:firstLineChars="200"/>
        <w:textAlignment w:val="auto"/>
        <w:rPr>
          <w:rFonts w:hint="eastAsia"/>
          <w:color w:val="auto"/>
          <w:lang w:val="en-US" w:eastAsia="zh-CN"/>
        </w:rPr>
      </w:pPr>
      <w:r>
        <w:rPr>
          <w:rFonts w:hint="eastAsia" w:eastAsia="仿宋_GB2312"/>
          <w:color w:val="auto"/>
          <w:kern w:val="0"/>
          <w:sz w:val="30"/>
          <w:szCs w:val="30"/>
          <w:highlight w:val="none"/>
        </w:rPr>
        <w:t>加快交通路网建设，增强区域间、城际间与资源产地间的交通联系和各种运输方式间的协同协作，实现重要交通节点多路连通，推进交通运输网络化、智能化、一体化、绿色化发展，形成覆盖城乡的现代化综合交通运输体系。</w:t>
      </w:r>
      <w:r>
        <w:rPr>
          <w:rFonts w:hint="eastAsia" w:eastAsia="仿宋_GB2312"/>
          <w:b/>
          <w:bCs/>
          <w:color w:val="auto"/>
          <w:kern w:val="0"/>
          <w:sz w:val="30"/>
          <w:szCs w:val="30"/>
          <w:highlight w:val="none"/>
          <w:lang w:val="en-US" w:eastAsia="zh-CN"/>
        </w:rPr>
        <w:t>机场：</w:t>
      </w:r>
      <w:r>
        <w:rPr>
          <w:rFonts w:hint="eastAsia" w:eastAsia="仿宋_GB2312"/>
          <w:color w:val="auto"/>
          <w:kern w:val="0"/>
          <w:sz w:val="30"/>
          <w:szCs w:val="30"/>
          <w:highlight w:val="none"/>
          <w:lang w:val="en-US" w:eastAsia="zh-CN"/>
        </w:rPr>
        <w:t>加快推进叶城</w:t>
      </w:r>
      <w:r>
        <w:rPr>
          <w:rFonts w:hint="default" w:eastAsia="仿宋_GB2312"/>
          <w:color w:val="auto"/>
          <w:kern w:val="0"/>
          <w:sz w:val="30"/>
          <w:szCs w:val="30"/>
          <w:highlight w:val="none"/>
          <w:lang w:val="en-US" w:eastAsia="zh-CN"/>
        </w:rPr>
        <w:t>通</w:t>
      </w:r>
      <w:r>
        <w:rPr>
          <w:rFonts w:hint="eastAsia" w:eastAsia="仿宋_GB2312"/>
          <w:color w:val="auto"/>
          <w:kern w:val="0"/>
          <w:sz w:val="30"/>
          <w:szCs w:val="30"/>
          <w:highlight w:val="none"/>
          <w:lang w:val="en-US" w:eastAsia="zh-CN"/>
        </w:rPr>
        <w:t>用</w:t>
      </w:r>
      <w:r>
        <w:rPr>
          <w:rFonts w:hint="default" w:eastAsia="仿宋_GB2312"/>
          <w:color w:val="auto"/>
          <w:kern w:val="0"/>
          <w:sz w:val="30"/>
          <w:szCs w:val="30"/>
          <w:highlight w:val="none"/>
          <w:lang w:val="en-US" w:eastAsia="zh-CN"/>
        </w:rPr>
        <w:t>机场项目建设，</w:t>
      </w:r>
      <w:r>
        <w:rPr>
          <w:rFonts w:hint="eastAsia" w:eastAsia="仿宋_GB2312"/>
          <w:color w:val="auto"/>
          <w:kern w:val="0"/>
          <w:sz w:val="30"/>
          <w:szCs w:val="30"/>
          <w:highlight w:val="none"/>
          <w:lang w:val="en-US" w:eastAsia="zh-CN"/>
        </w:rPr>
        <w:t>力争将A1类通用机场提升为</w:t>
      </w:r>
      <w:r>
        <w:rPr>
          <w:rFonts w:hint="eastAsia" w:eastAsia="仿宋_GB2312"/>
          <w:color w:val="auto"/>
          <w:kern w:val="0"/>
          <w:sz w:val="30"/>
          <w:szCs w:val="30"/>
          <w:highlight w:val="none"/>
          <w:lang w:eastAsia="zh-CN"/>
        </w:rPr>
        <w:t>通勤（支线）机场，增强区域间互联互通。</w:t>
      </w:r>
      <w:r>
        <w:rPr>
          <w:rFonts w:hint="eastAsia" w:eastAsia="仿宋_GB2312"/>
          <w:b/>
          <w:bCs/>
          <w:color w:val="auto"/>
          <w:kern w:val="0"/>
          <w:sz w:val="30"/>
          <w:szCs w:val="30"/>
          <w:highlight w:val="none"/>
          <w:lang w:val="en-US" w:eastAsia="zh-CN"/>
        </w:rPr>
        <w:t>铁路：</w:t>
      </w:r>
      <w:r>
        <w:rPr>
          <w:rFonts w:hint="eastAsia" w:eastAsia="仿宋_GB2312"/>
          <w:color w:val="auto"/>
          <w:kern w:val="0"/>
          <w:sz w:val="30"/>
          <w:szCs w:val="30"/>
          <w:highlight w:val="none"/>
          <w:lang w:val="en-US" w:eastAsia="zh-CN"/>
        </w:rPr>
        <w:t>申报争取新藏铁路建设，</w:t>
      </w:r>
      <w:r>
        <w:rPr>
          <w:rFonts w:hint="eastAsia" w:eastAsia="仿宋_GB2312"/>
          <w:color w:val="auto"/>
          <w:kern w:val="0"/>
          <w:sz w:val="30"/>
          <w:szCs w:val="30"/>
          <w:highlight w:val="none"/>
        </w:rPr>
        <w:t>力争按原G219国道线路接轨叶城</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lang w:val="en-US" w:eastAsia="zh-CN"/>
        </w:rPr>
        <w:t>增强区域间互联互通，建设工业园区铁路专用线。</w:t>
      </w:r>
      <w:r>
        <w:rPr>
          <w:rFonts w:hint="eastAsia" w:eastAsia="仿宋_GB2312"/>
          <w:b/>
          <w:bCs/>
          <w:color w:val="auto"/>
          <w:kern w:val="0"/>
          <w:sz w:val="30"/>
          <w:szCs w:val="30"/>
          <w:highlight w:val="none"/>
          <w:lang w:val="en-US" w:eastAsia="zh-CN"/>
        </w:rPr>
        <w:t>公路：</w:t>
      </w:r>
      <w:r>
        <w:rPr>
          <w:rFonts w:hint="eastAsia" w:eastAsia="仿宋_GB2312"/>
          <w:color w:val="auto"/>
          <w:kern w:val="0"/>
          <w:sz w:val="30"/>
          <w:szCs w:val="30"/>
          <w:highlight w:val="none"/>
          <w:lang w:val="en-US" w:eastAsia="zh-CN"/>
        </w:rPr>
        <w:t>加强对外运输、骨干通道建设</w:t>
      </w:r>
      <w:r>
        <w:rPr>
          <w:rFonts w:hint="default" w:eastAsia="仿宋_GB2312"/>
          <w:color w:val="auto"/>
          <w:kern w:val="0"/>
          <w:sz w:val="30"/>
          <w:szCs w:val="30"/>
          <w:highlight w:val="none"/>
          <w:lang w:val="en-US" w:eastAsia="zh-CN"/>
        </w:rPr>
        <w:t>，持续推进</w:t>
      </w:r>
      <w:r>
        <w:rPr>
          <w:rFonts w:hint="eastAsia" w:eastAsia="仿宋_GB2312"/>
          <w:color w:val="auto"/>
          <w:kern w:val="0"/>
          <w:sz w:val="30"/>
          <w:szCs w:val="30"/>
          <w:highlight w:val="none"/>
        </w:rPr>
        <w:t>叶城-莎车-塔什库尔干县；塔什库尔干县-疏附县-喀什-莎车-叶城边境公路大环线通道建设。</w:t>
      </w:r>
      <w:r>
        <w:rPr>
          <w:rFonts w:hint="default" w:eastAsia="仿宋_GB2312"/>
          <w:color w:val="auto"/>
          <w:kern w:val="0"/>
          <w:sz w:val="30"/>
          <w:szCs w:val="30"/>
          <w:highlight w:val="none"/>
          <w:lang w:val="en-US" w:eastAsia="zh-CN"/>
        </w:rPr>
        <w:t>做好G219线恰热克-叶城、G219线叶城-普萨牧场-黑恰达坂公路建设，进一步提升巩固</w:t>
      </w:r>
      <w:r>
        <w:rPr>
          <w:rFonts w:hint="eastAsia" w:eastAsia="仿宋_GB2312"/>
          <w:color w:val="auto"/>
          <w:kern w:val="0"/>
          <w:sz w:val="30"/>
          <w:szCs w:val="30"/>
          <w:highlight w:val="none"/>
          <w:lang w:val="en-US" w:eastAsia="zh-CN"/>
        </w:rPr>
        <w:t>边防</w:t>
      </w:r>
      <w:r>
        <w:rPr>
          <w:rFonts w:hint="default" w:eastAsia="仿宋_GB2312"/>
          <w:color w:val="auto"/>
          <w:kern w:val="0"/>
          <w:sz w:val="30"/>
          <w:szCs w:val="30"/>
          <w:highlight w:val="none"/>
          <w:lang w:val="en-US" w:eastAsia="zh-CN"/>
        </w:rPr>
        <w:t>能力。</w:t>
      </w:r>
      <w:r>
        <w:rPr>
          <w:rFonts w:hint="eastAsia" w:eastAsia="仿宋_GB2312"/>
          <w:color w:val="auto"/>
          <w:kern w:val="0"/>
          <w:sz w:val="30"/>
          <w:szCs w:val="30"/>
          <w:highlight w:val="none"/>
          <w:lang w:val="en-US" w:eastAsia="zh-CN"/>
        </w:rPr>
        <w:t>加快推进</w:t>
      </w:r>
      <w:r>
        <w:rPr>
          <w:rFonts w:hint="eastAsia" w:eastAsia="仿宋_GB2312"/>
          <w:color w:val="auto"/>
          <w:kern w:val="0"/>
          <w:sz w:val="30"/>
          <w:szCs w:val="30"/>
          <w:highlight w:val="none"/>
        </w:rPr>
        <w:t>G3012高速公路跨线桥</w:t>
      </w:r>
      <w:r>
        <w:rPr>
          <w:rFonts w:hint="eastAsia" w:eastAsia="仿宋_GB2312"/>
          <w:color w:val="auto"/>
          <w:kern w:val="0"/>
          <w:sz w:val="30"/>
          <w:szCs w:val="30"/>
          <w:highlight w:val="none"/>
          <w:lang w:val="en-US" w:eastAsia="zh-CN"/>
        </w:rPr>
        <w:t>建设</w:t>
      </w:r>
      <w:r>
        <w:rPr>
          <w:rFonts w:hint="eastAsia" w:eastAsia="仿宋_GB2312"/>
          <w:color w:val="auto"/>
          <w:kern w:val="0"/>
          <w:sz w:val="30"/>
          <w:szCs w:val="30"/>
          <w:highlight w:val="none"/>
        </w:rPr>
        <w:t>，解决G315线与通用机场、铁路货站的连接问题。</w:t>
      </w:r>
      <w:r>
        <w:rPr>
          <w:rFonts w:hint="eastAsia" w:eastAsia="仿宋_GB2312"/>
          <w:color w:val="auto"/>
          <w:kern w:val="0"/>
          <w:sz w:val="30"/>
          <w:szCs w:val="30"/>
          <w:highlight w:val="none"/>
          <w:lang w:val="en-US" w:eastAsia="zh-CN"/>
        </w:rPr>
        <w:t>建设</w:t>
      </w:r>
      <w:r>
        <w:rPr>
          <w:rFonts w:hint="eastAsia" w:eastAsia="仿宋_GB2312"/>
          <w:color w:val="auto"/>
          <w:kern w:val="0"/>
          <w:sz w:val="30"/>
          <w:szCs w:val="30"/>
          <w:highlight w:val="none"/>
        </w:rPr>
        <w:t>G219线12公里处（光伏园区）与G3012东立交连接线</w:t>
      </w:r>
      <w:r>
        <w:rPr>
          <w:rFonts w:hint="eastAsia" w:eastAsia="仿宋_GB2312"/>
          <w:color w:val="auto"/>
          <w:kern w:val="0"/>
          <w:sz w:val="30"/>
          <w:szCs w:val="30"/>
          <w:highlight w:val="none"/>
          <w:lang w:eastAsia="zh-CN"/>
        </w:rPr>
        <w:t>。</w:t>
      </w:r>
      <w:r>
        <w:rPr>
          <w:rFonts w:hint="eastAsia" w:eastAsia="仿宋_GB2312"/>
          <w:color w:val="auto"/>
          <w:sz w:val="30"/>
          <w:szCs w:val="30"/>
          <w:highlight w:val="none"/>
          <w:lang w:val="en-US" w:eastAsia="zh-CN"/>
        </w:rPr>
        <w:t>建设</w:t>
      </w:r>
      <w:r>
        <w:rPr>
          <w:rFonts w:hint="eastAsia" w:eastAsia="仿宋_GB2312"/>
          <w:color w:val="auto"/>
          <w:sz w:val="30"/>
          <w:szCs w:val="30"/>
          <w:highlight w:val="none"/>
        </w:rPr>
        <w:t>G3012线K1601+300处铁路、高速公路、G315线、通用机场货运集散中心；</w:t>
      </w:r>
      <w:r>
        <w:rPr>
          <w:rFonts w:hint="eastAsia" w:eastAsia="仿宋_GB2312"/>
          <w:color w:val="auto"/>
          <w:sz w:val="30"/>
          <w:szCs w:val="30"/>
          <w:highlight w:val="none"/>
          <w:lang w:val="en-US" w:eastAsia="zh-CN"/>
        </w:rPr>
        <w:t>推动</w:t>
      </w:r>
      <w:r>
        <w:rPr>
          <w:rFonts w:hint="eastAsia" w:eastAsia="仿宋_GB2312"/>
          <w:color w:val="auto"/>
          <w:sz w:val="30"/>
          <w:szCs w:val="30"/>
          <w:highlight w:val="none"/>
        </w:rPr>
        <w:t>G315</w:t>
      </w:r>
      <w:r>
        <w:rPr>
          <w:rFonts w:hint="eastAsia" w:eastAsia="仿宋_GB2312"/>
          <w:color w:val="auto"/>
          <w:sz w:val="30"/>
          <w:szCs w:val="30"/>
          <w:highlight w:val="none"/>
          <w:lang w:eastAsia="zh-CN"/>
        </w:rPr>
        <w:t>、</w:t>
      </w:r>
      <w:r>
        <w:rPr>
          <w:rFonts w:hint="eastAsia" w:eastAsia="仿宋_GB2312"/>
          <w:color w:val="auto"/>
          <w:sz w:val="30"/>
          <w:szCs w:val="30"/>
          <w:highlight w:val="none"/>
        </w:rPr>
        <w:t>G219叶城县段改建；</w:t>
      </w:r>
      <w:r>
        <w:rPr>
          <w:rFonts w:hint="eastAsia" w:eastAsia="仿宋_GB2312"/>
          <w:color w:val="auto"/>
          <w:kern w:val="0"/>
          <w:sz w:val="30"/>
          <w:szCs w:val="30"/>
          <w:highlight w:val="none"/>
        </w:rPr>
        <w:t>加快推进G219阿卡孜达坂、麻扎达坂、黑恰达坂隧道建设，提高通行保障能力，提升叶城县物流运输能力。</w:t>
      </w:r>
      <w:r>
        <w:rPr>
          <w:rFonts w:hint="eastAsia" w:eastAsia="仿宋_GB2312"/>
          <w:color w:val="auto"/>
          <w:kern w:val="0"/>
          <w:sz w:val="30"/>
          <w:szCs w:val="30"/>
          <w:highlight w:val="none"/>
          <w:lang w:val="en-US" w:eastAsia="zh-CN"/>
        </w:rPr>
        <w:t>打造叶城</w:t>
      </w:r>
      <w:r>
        <w:rPr>
          <w:rFonts w:hint="eastAsia" w:eastAsia="仿宋_GB2312"/>
          <w:color w:val="auto"/>
          <w:kern w:val="0"/>
          <w:sz w:val="30"/>
          <w:szCs w:val="30"/>
          <w:highlight w:val="none"/>
        </w:rPr>
        <w:t>“铁、公、机”交融交汇</w:t>
      </w:r>
      <w:r>
        <w:rPr>
          <w:rFonts w:hint="eastAsia" w:eastAsia="仿宋_GB2312"/>
          <w:color w:val="auto"/>
          <w:kern w:val="0"/>
          <w:sz w:val="30"/>
          <w:szCs w:val="30"/>
          <w:highlight w:val="none"/>
          <w:lang w:val="en-US" w:eastAsia="zh-CN"/>
        </w:rPr>
        <w:t>综合</w:t>
      </w:r>
      <w:r>
        <w:rPr>
          <w:rFonts w:hint="eastAsia" w:ascii="仿宋_GB2312" w:hAnsi="仿宋_GB2312" w:eastAsia="仿宋_GB2312" w:cs="仿宋_GB2312"/>
          <w:color w:val="auto"/>
          <w:kern w:val="0"/>
          <w:sz w:val="30"/>
          <w:szCs w:val="30"/>
          <w:highlight w:val="none"/>
          <w:lang w:val="en-US" w:eastAsia="zh-CN"/>
        </w:rPr>
        <w:t>交通运输网络</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sz w:val="30"/>
          <w:szCs w:val="30"/>
          <w:u w:val="none" w:color="auto"/>
          <w:lang w:val="en-US" w:eastAsia="zh-CN"/>
        </w:rPr>
        <w:t>继续实施农村公路“通达”和“通畅”工程，提升区域通达便捷性。</w:t>
      </w:r>
      <w:r>
        <w:rPr>
          <w:rFonts w:hint="eastAsia" w:ascii="仿宋_GB2312" w:hAnsi="仿宋_GB2312" w:eastAsia="仿宋_GB2312" w:cs="仿宋_GB2312"/>
          <w:color w:val="auto"/>
          <w:kern w:val="0"/>
          <w:sz w:val="30"/>
          <w:szCs w:val="30"/>
          <w:highlight w:val="none"/>
        </w:rPr>
        <w:t>继续完善乡村通畅、通达工程，进一步向乡镇通二级、三级公路发展。推进全县农村路网连线建设，调</w:t>
      </w:r>
      <w:r>
        <w:rPr>
          <w:rFonts w:hint="eastAsia" w:eastAsia="仿宋_GB2312"/>
          <w:color w:val="auto"/>
          <w:kern w:val="0"/>
          <w:sz w:val="30"/>
          <w:szCs w:val="30"/>
          <w:highlight w:val="none"/>
        </w:rPr>
        <w:t>整县、乡道网络规划，达到由线成网，提升农村公路网络整体服务水平。重点完成通自然村（组）、撤并建制村、国有农牧林场通硬化路建设，对部分已有农村公路提档升级，保证农村道路运输安全，服务美丽乡村建设。到2025年，全县基本实现村村通客运班车。</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专栏10：重大交通基础设施建设项目</w:t>
            </w:r>
          </w:p>
          <w:p>
            <w:pPr>
              <w:keepNext w:val="0"/>
              <w:keepLines w:val="0"/>
              <w:pageBreakBefore w:val="0"/>
              <w:widowControl w:val="0"/>
              <w:shd w:val="clear"/>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b w:val="0"/>
                <w:bCs w:val="0"/>
                <w:color w:val="auto"/>
                <w:kern w:val="0"/>
                <w:sz w:val="28"/>
                <w:szCs w:val="28"/>
                <w:highlight w:val="none"/>
                <w:lang w:val="en-US" w:eastAsia="zh-CN" w:bidi="ar-SA"/>
              </w:rPr>
            </w:pPr>
            <w:bookmarkStart w:id="175" w:name="_Toc12007"/>
            <w:bookmarkStart w:id="176" w:name="_Toc25618"/>
            <w:bookmarkStart w:id="177" w:name="_Toc29556"/>
            <w:r>
              <w:rPr>
                <w:rFonts w:hint="eastAsia" w:ascii="楷体" w:hAnsi="楷体" w:eastAsia="楷体" w:cs="楷体"/>
                <w:b w:val="0"/>
                <w:bCs w:val="0"/>
                <w:color w:val="auto"/>
                <w:kern w:val="0"/>
                <w:sz w:val="28"/>
                <w:szCs w:val="28"/>
                <w:highlight w:val="none"/>
                <w:lang w:val="en-US" w:eastAsia="zh-CN" w:bidi="ar-SA"/>
              </w:rPr>
              <w:t>机场：加快推进叶城县通(勤）机场项目建设。</w:t>
            </w:r>
            <w:bookmarkEnd w:id="175"/>
            <w:bookmarkEnd w:id="176"/>
            <w:bookmarkEnd w:id="177"/>
          </w:p>
          <w:p>
            <w:pPr>
              <w:keepNext w:val="0"/>
              <w:keepLines w:val="0"/>
              <w:pageBreakBefore w:val="0"/>
              <w:widowControl w:val="0"/>
              <w:shd w:val="clear"/>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b w:val="0"/>
                <w:bCs w:val="0"/>
                <w:color w:val="auto"/>
                <w:kern w:val="0"/>
                <w:sz w:val="28"/>
                <w:szCs w:val="28"/>
                <w:highlight w:val="none"/>
                <w:lang w:val="en-US" w:eastAsia="zh-CN" w:bidi="ar-SA"/>
              </w:rPr>
            </w:pPr>
            <w:bookmarkStart w:id="178" w:name="_Toc7245"/>
            <w:bookmarkStart w:id="179" w:name="_Toc19990"/>
            <w:bookmarkStart w:id="180" w:name="_Toc9779"/>
            <w:r>
              <w:rPr>
                <w:rFonts w:hint="eastAsia" w:ascii="楷体" w:hAnsi="楷体" w:eastAsia="楷体" w:cs="楷体"/>
                <w:b w:val="0"/>
                <w:bCs w:val="0"/>
                <w:color w:val="auto"/>
                <w:kern w:val="0"/>
                <w:sz w:val="28"/>
                <w:szCs w:val="28"/>
                <w:highlight w:val="none"/>
                <w:lang w:val="en-US" w:eastAsia="zh-CN" w:bidi="ar-SA"/>
              </w:rPr>
              <w:t>铁路：申报争取新藏铁路建设，力争按原G219国道线路接轨叶城。建设工业园区铁路专用线。</w:t>
            </w:r>
            <w:bookmarkEnd w:id="178"/>
            <w:bookmarkEnd w:id="179"/>
            <w:bookmarkEnd w:id="180"/>
          </w:p>
          <w:p>
            <w:pPr>
              <w:keepNext w:val="0"/>
              <w:keepLines w:val="0"/>
              <w:pageBreakBefore w:val="0"/>
              <w:widowControl w:val="0"/>
              <w:shd w:val="clear"/>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b w:val="0"/>
                <w:bCs w:val="0"/>
                <w:color w:val="auto"/>
                <w:kern w:val="0"/>
                <w:sz w:val="28"/>
                <w:szCs w:val="28"/>
                <w:highlight w:val="none"/>
                <w:lang w:val="en-US" w:eastAsia="zh-CN" w:bidi="ar-SA"/>
              </w:rPr>
            </w:pPr>
            <w:bookmarkStart w:id="181" w:name="_Toc32534"/>
            <w:bookmarkStart w:id="182" w:name="_Toc8674"/>
            <w:bookmarkStart w:id="183" w:name="_Toc28890"/>
            <w:r>
              <w:rPr>
                <w:rFonts w:hint="eastAsia" w:ascii="楷体" w:hAnsi="楷体" w:eastAsia="楷体" w:cs="楷体"/>
                <w:b w:val="0"/>
                <w:bCs w:val="0"/>
                <w:color w:val="auto"/>
                <w:kern w:val="0"/>
                <w:sz w:val="28"/>
                <w:szCs w:val="28"/>
                <w:highlight w:val="none"/>
                <w:lang w:val="en-US" w:eastAsia="zh-CN" w:bidi="ar-SA"/>
              </w:rPr>
              <w:t>公路：推进S234线色力布亚-麦盖提-叶城、G219线恰热克-叶城、G219线国道至莫莫克水库道路、叶城-莎车-塔什库尔干县；塔什库尔干县-疏附县-喀什-莎车-叶城边境公路大环线通道等公路项目。</w:t>
            </w:r>
            <w:bookmarkEnd w:id="181"/>
            <w:bookmarkEnd w:id="182"/>
            <w:bookmarkEnd w:id="183"/>
          </w:p>
          <w:p>
            <w:pPr>
              <w:keepNext w:val="0"/>
              <w:keepLines w:val="0"/>
              <w:pageBreakBefore w:val="0"/>
              <w:widowControl w:val="0"/>
              <w:shd w:val="clear"/>
              <w:kinsoku/>
              <w:wordWrap/>
              <w:overflowPunct/>
              <w:topLinePunct w:val="0"/>
              <w:autoSpaceDE/>
              <w:autoSpaceDN/>
              <w:bidi w:val="0"/>
              <w:adjustRightInd/>
              <w:snapToGrid/>
              <w:spacing w:line="520" w:lineRule="exact"/>
              <w:ind w:firstLine="560" w:firstLineChars="200"/>
              <w:textAlignment w:val="auto"/>
              <w:rPr>
                <w:rFonts w:hint="eastAsia"/>
                <w:color w:val="1023B0"/>
                <w:lang w:val="en-US" w:eastAsia="zh-CN"/>
              </w:rPr>
            </w:pPr>
            <w:r>
              <w:rPr>
                <w:rFonts w:hint="eastAsia" w:ascii="楷体" w:hAnsi="楷体" w:eastAsia="楷体" w:cs="楷体"/>
                <w:b w:val="0"/>
                <w:bCs w:val="0"/>
                <w:color w:val="auto"/>
                <w:kern w:val="0"/>
                <w:sz w:val="28"/>
                <w:szCs w:val="28"/>
                <w:highlight w:val="none"/>
                <w:lang w:val="en-US" w:eastAsia="zh-CN" w:bidi="ar-SA"/>
              </w:rPr>
              <w:t>农村公路提档升级673.5公里，农村联网公路建设44.8公里，西合休乡2村至3村至5村隧道建设（含桥梁）28.5公里，县乡道安防工程381.72公里桥梁建设20座420米，窄路加宽585公里，美丽农村路1078公里，村道安防950公里，旅游路、资源路共计260公里，智慧交通一处。</w:t>
            </w:r>
          </w:p>
        </w:tc>
      </w:tr>
    </w:tbl>
    <w:p>
      <w:pPr>
        <w:pStyle w:val="18"/>
        <w:keepNext w:val="0"/>
        <w:keepLines w:val="0"/>
        <w:shd w:val="clear"/>
        <w:spacing w:beforeLines="50" w:afterLines="50"/>
        <w:rPr>
          <w:rFonts w:hint="eastAsia" w:ascii="Times New Roman" w:hAnsi="Times New Roman"/>
          <w:color w:val="auto"/>
          <w:highlight w:val="none"/>
          <w:lang w:val="zh-CN"/>
        </w:rPr>
      </w:pPr>
      <w:bookmarkStart w:id="184" w:name="_Toc15936"/>
      <w:bookmarkStart w:id="185" w:name="_Toc29896"/>
      <w:r>
        <w:rPr>
          <w:rFonts w:hint="eastAsia" w:ascii="Times New Roman" w:hAnsi="Times New Roman"/>
          <w:color w:val="auto"/>
          <w:highlight w:val="none"/>
          <w:lang w:val="zh-CN"/>
        </w:rPr>
        <w:t>第二节 补齐水利工程短板</w:t>
      </w:r>
      <w:bookmarkEnd w:id="184"/>
      <w:bookmarkEnd w:id="185"/>
    </w:p>
    <w:p>
      <w:pPr>
        <w:keepNext w:val="0"/>
        <w:keepLines w:val="0"/>
        <w:pageBreakBefore w:val="0"/>
        <w:shd w:val="clear"/>
        <w:kinsoku/>
        <w:wordWrap/>
        <w:autoSpaceDE/>
        <w:autoSpaceDN/>
        <w:bidi w:val="0"/>
        <w:spacing w:line="560" w:lineRule="exact"/>
        <w:ind w:firstLine="602" w:firstLineChars="200"/>
        <w:jc w:val="both"/>
        <w:textAlignment w:val="auto"/>
        <w:rPr>
          <w:rFonts w:eastAsia="仿宋_GB2312"/>
          <w:color w:val="auto"/>
          <w:kern w:val="0"/>
          <w:sz w:val="30"/>
          <w:szCs w:val="30"/>
          <w:highlight w:val="none"/>
        </w:rPr>
      </w:pPr>
      <w:r>
        <w:rPr>
          <w:rFonts w:hint="eastAsia" w:eastAsia="仿宋_GB2312"/>
          <w:b/>
          <w:color w:val="auto"/>
          <w:kern w:val="0"/>
          <w:sz w:val="30"/>
          <w:szCs w:val="30"/>
          <w:highlight w:val="none"/>
        </w:rPr>
        <w:t>完善供水保障体系。</w:t>
      </w:r>
      <w:r>
        <w:rPr>
          <w:rFonts w:hint="eastAsia" w:eastAsia="仿宋_GB2312"/>
          <w:color w:val="auto"/>
          <w:sz w:val="30"/>
          <w:szCs w:val="30"/>
          <w:highlight w:val="none"/>
        </w:rPr>
        <w:t>加</w:t>
      </w:r>
      <w:r>
        <w:rPr>
          <w:rFonts w:hint="eastAsia" w:eastAsia="仿宋_GB2312" w:cs="仿宋"/>
          <w:color w:val="auto"/>
          <w:sz w:val="30"/>
          <w:szCs w:val="30"/>
          <w:highlight w:val="none"/>
        </w:rPr>
        <w:t>快控制性枢纽工程建设，优化水资源配置格局。</w:t>
      </w:r>
      <w:r>
        <w:rPr>
          <w:rFonts w:hint="eastAsia" w:eastAsia="仿宋_GB2312" w:cs="仿宋"/>
          <w:color w:val="auto"/>
          <w:sz w:val="30"/>
          <w:szCs w:val="30"/>
          <w:highlight w:val="none"/>
          <w:lang w:eastAsia="zh-CN"/>
        </w:rPr>
        <w:t>加快</w:t>
      </w:r>
      <w:r>
        <w:rPr>
          <w:rFonts w:hint="eastAsia" w:eastAsia="仿宋_GB2312" w:cs="仿宋"/>
          <w:color w:val="auto"/>
          <w:sz w:val="30"/>
          <w:szCs w:val="30"/>
          <w:highlight w:val="none"/>
        </w:rPr>
        <w:t>莫莫克水利枢纽工程、台斯水库工程</w:t>
      </w:r>
      <w:r>
        <w:rPr>
          <w:rFonts w:hint="eastAsia" w:eastAsia="仿宋_GB2312" w:cs="仿宋"/>
          <w:color w:val="auto"/>
          <w:sz w:val="30"/>
          <w:szCs w:val="30"/>
          <w:highlight w:val="none"/>
          <w:lang w:eastAsia="zh-CN"/>
        </w:rPr>
        <w:t>建设</w:t>
      </w:r>
      <w:r>
        <w:rPr>
          <w:rFonts w:hint="eastAsia" w:eastAsia="仿宋_GB2312" w:cs="仿宋"/>
          <w:color w:val="auto"/>
          <w:sz w:val="30"/>
          <w:szCs w:val="30"/>
          <w:highlight w:val="none"/>
          <w:lang w:val="en-US" w:eastAsia="zh-CN"/>
        </w:rPr>
        <w:t>，进一步提高水资源安全保障能力，</w:t>
      </w:r>
      <w:r>
        <w:rPr>
          <w:rFonts w:hint="eastAsia" w:eastAsia="仿宋_GB2312" w:cs="仿宋"/>
          <w:color w:val="auto"/>
          <w:sz w:val="30"/>
          <w:szCs w:val="30"/>
          <w:highlight w:val="none"/>
        </w:rPr>
        <w:t>缓解社会资源分布不均衡和春旱夏涝问题，提高灌区抗旱应急保障能力。全面实施乡镇农村饮水安全巩固提升工程，推进城乡一体化饮水</w:t>
      </w:r>
      <w:r>
        <w:rPr>
          <w:rFonts w:hint="eastAsia" w:eastAsia="仿宋_GB2312" w:cs="仿宋"/>
          <w:color w:val="auto"/>
          <w:sz w:val="30"/>
          <w:szCs w:val="30"/>
          <w:highlight w:val="none"/>
          <w:lang w:val="en-US" w:eastAsia="zh-CN"/>
        </w:rPr>
        <w:t>安全</w:t>
      </w:r>
      <w:r>
        <w:rPr>
          <w:rFonts w:hint="eastAsia" w:eastAsia="仿宋_GB2312" w:cs="仿宋"/>
          <w:color w:val="auto"/>
          <w:sz w:val="30"/>
          <w:szCs w:val="30"/>
          <w:highlight w:val="none"/>
        </w:rPr>
        <w:t>工程、台斯水库饮水安全供水工程、拜勒都尔水库供水工程、柯克亚普萨水库供水工程，</w:t>
      </w:r>
      <w:r>
        <w:rPr>
          <w:rFonts w:hint="eastAsia" w:eastAsia="仿宋_GB2312" w:cs="仿宋"/>
          <w:color w:val="auto"/>
          <w:sz w:val="30"/>
          <w:szCs w:val="30"/>
          <w:highlight w:val="none"/>
          <w:lang w:val="en-US" w:eastAsia="zh-CN"/>
        </w:rPr>
        <w:t>到</w:t>
      </w:r>
      <w:r>
        <w:rPr>
          <w:rFonts w:hint="eastAsia" w:eastAsia="仿宋_GB2312"/>
          <w:color w:val="auto"/>
          <w:kern w:val="0"/>
          <w:sz w:val="30"/>
          <w:szCs w:val="30"/>
          <w:highlight w:val="none"/>
        </w:rPr>
        <w:t>2025年</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农村自来水普及率达到100%，城乡供水安全保障率达100%。</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kern w:val="0"/>
          <w:sz w:val="30"/>
          <w:szCs w:val="30"/>
          <w:highlight w:val="none"/>
        </w:rPr>
      </w:pPr>
      <w:r>
        <w:rPr>
          <w:rFonts w:hint="eastAsia" w:eastAsia="仿宋_GB2312"/>
          <w:b/>
          <w:color w:val="auto"/>
          <w:kern w:val="0"/>
          <w:sz w:val="30"/>
          <w:szCs w:val="30"/>
          <w:highlight w:val="none"/>
        </w:rPr>
        <w:t>实施大中型灌区续建配套与节水改造工程。</w:t>
      </w:r>
      <w:r>
        <w:rPr>
          <w:rFonts w:hint="eastAsia" w:eastAsia="仿宋_GB2312"/>
          <w:color w:val="auto"/>
          <w:kern w:val="0"/>
          <w:sz w:val="30"/>
          <w:szCs w:val="30"/>
          <w:highlight w:val="none"/>
        </w:rPr>
        <w:t>提高灌区农业水利用效率，形成叶城县水资源高效利用和合理配置格局，</w:t>
      </w:r>
      <w:r>
        <w:rPr>
          <w:rFonts w:hint="eastAsia" w:eastAsia="仿宋_GB2312" w:cs="仿宋"/>
          <w:color w:val="auto"/>
          <w:sz w:val="30"/>
          <w:szCs w:val="30"/>
          <w:highlight w:val="none"/>
          <w:lang w:val="en-US" w:eastAsia="zh-CN"/>
        </w:rPr>
        <w:t>到</w:t>
      </w:r>
      <w:r>
        <w:rPr>
          <w:rFonts w:hint="eastAsia" w:eastAsia="仿宋_GB2312"/>
          <w:color w:val="auto"/>
          <w:kern w:val="0"/>
          <w:sz w:val="30"/>
          <w:szCs w:val="30"/>
          <w:highlight w:val="none"/>
        </w:rPr>
        <w:t>2025年</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农业灌溉水利用系数提高到0.</w:t>
      </w:r>
      <w:r>
        <w:rPr>
          <w:rFonts w:hint="eastAsia" w:eastAsia="仿宋_GB2312" w:cs="仿宋"/>
          <w:color w:val="auto"/>
          <w:sz w:val="30"/>
          <w:szCs w:val="30"/>
          <w:highlight w:val="none"/>
        </w:rPr>
        <w:t>55</w:t>
      </w:r>
      <w:r>
        <w:rPr>
          <w:rFonts w:hint="eastAsia" w:eastAsia="仿宋_GB2312"/>
          <w:color w:val="auto"/>
          <w:kern w:val="0"/>
          <w:sz w:val="30"/>
          <w:szCs w:val="30"/>
          <w:highlight w:val="none"/>
        </w:rPr>
        <w:t>。</w:t>
      </w:r>
      <w:r>
        <w:rPr>
          <w:rFonts w:hint="eastAsia" w:eastAsia="仿宋_GB2312" w:cs="仿宋"/>
          <w:color w:val="auto"/>
          <w:sz w:val="30"/>
          <w:szCs w:val="30"/>
          <w:highlight w:val="none"/>
        </w:rPr>
        <w:t>推进灌区续建配套与节水改造工程，实施加依提勒克干渠、代米干渠、代布泰支渠、宗朗艾山亚支渠等58条干支渠的续建配套与节水改造工程，干支渠防渗率达100%。</w:t>
      </w:r>
    </w:p>
    <w:p>
      <w:pPr>
        <w:keepNext w:val="0"/>
        <w:keepLines w:val="0"/>
        <w:pageBreakBefore w:val="0"/>
        <w:shd w:val="clear"/>
        <w:kinsoku/>
        <w:wordWrap/>
        <w:autoSpaceDE/>
        <w:autoSpaceDN/>
        <w:bidi w:val="0"/>
        <w:spacing w:line="560" w:lineRule="exact"/>
        <w:ind w:firstLine="602" w:firstLineChars="200"/>
        <w:jc w:val="both"/>
        <w:textAlignment w:val="auto"/>
        <w:rPr>
          <w:rFonts w:eastAsia="仿宋_GB2312"/>
          <w:color w:val="auto"/>
          <w:kern w:val="0"/>
          <w:sz w:val="30"/>
          <w:szCs w:val="30"/>
          <w:highlight w:val="none"/>
        </w:rPr>
      </w:pPr>
      <w:r>
        <w:rPr>
          <w:rFonts w:hint="eastAsia" w:eastAsia="仿宋_GB2312"/>
          <w:b/>
          <w:color w:val="auto"/>
          <w:kern w:val="0"/>
          <w:sz w:val="30"/>
          <w:szCs w:val="30"/>
          <w:highlight w:val="none"/>
        </w:rPr>
        <w:t>提升防洪减灾能力。</w:t>
      </w:r>
      <w:r>
        <w:rPr>
          <w:rFonts w:hint="eastAsia" w:eastAsia="仿宋_GB2312"/>
          <w:color w:val="auto"/>
          <w:kern w:val="0"/>
          <w:sz w:val="30"/>
          <w:szCs w:val="30"/>
          <w:highlight w:val="none"/>
        </w:rPr>
        <w:t>积极推进城市防洪、</w:t>
      </w:r>
      <w:r>
        <w:rPr>
          <w:rFonts w:hint="eastAsia" w:eastAsia="仿宋_GB2312" w:cs="仿宋"/>
          <w:color w:val="auto"/>
          <w:sz w:val="30"/>
          <w:szCs w:val="30"/>
          <w:highlight w:val="none"/>
        </w:rPr>
        <w:t>提孜那甫河综合治理、中小河流综合治理、</w:t>
      </w:r>
      <w:r>
        <w:rPr>
          <w:rFonts w:hint="eastAsia" w:eastAsia="仿宋_GB2312"/>
          <w:color w:val="auto"/>
          <w:kern w:val="0"/>
          <w:sz w:val="30"/>
          <w:szCs w:val="30"/>
          <w:highlight w:val="none"/>
        </w:rPr>
        <w:t>山洪沟治理，</w:t>
      </w:r>
      <w:r>
        <w:rPr>
          <w:rFonts w:hint="eastAsia" w:eastAsia="仿宋_GB2312" w:cs="仿宋"/>
          <w:color w:val="auto"/>
          <w:sz w:val="30"/>
          <w:szCs w:val="30"/>
          <w:highlight w:val="none"/>
        </w:rPr>
        <w:t>实施</w:t>
      </w:r>
      <w:r>
        <w:rPr>
          <w:rFonts w:hint="eastAsia" w:eastAsia="仿宋_GB2312"/>
          <w:color w:val="auto"/>
          <w:kern w:val="0"/>
          <w:sz w:val="30"/>
          <w:szCs w:val="30"/>
          <w:highlight w:val="none"/>
        </w:rPr>
        <w:t>提孜那甫河、乌鲁克河、柯克亚河</w:t>
      </w:r>
      <w:r>
        <w:rPr>
          <w:rFonts w:hint="eastAsia" w:eastAsia="仿宋_GB2312" w:cs="仿宋"/>
          <w:color w:val="auto"/>
          <w:sz w:val="30"/>
          <w:szCs w:val="30"/>
          <w:highlight w:val="none"/>
        </w:rPr>
        <w:t>、棋盘河、阿克其河</w:t>
      </w:r>
      <w:r>
        <w:rPr>
          <w:rFonts w:hint="eastAsia" w:eastAsia="仿宋_GB2312"/>
          <w:color w:val="auto"/>
          <w:kern w:val="0"/>
          <w:sz w:val="30"/>
          <w:szCs w:val="30"/>
          <w:highlight w:val="none"/>
        </w:rPr>
        <w:t>防洪工程，提高防洪标准。推进实施西合休</w:t>
      </w:r>
      <w:r>
        <w:rPr>
          <w:rFonts w:hint="eastAsia" w:eastAsia="仿宋_GB2312"/>
          <w:color w:val="auto"/>
          <w:kern w:val="0"/>
          <w:sz w:val="30"/>
          <w:szCs w:val="30"/>
          <w:highlight w:val="none"/>
          <w:lang w:val="en-US" w:eastAsia="zh-CN"/>
        </w:rPr>
        <w:t>乡</w:t>
      </w:r>
      <w:r>
        <w:rPr>
          <w:rFonts w:hint="eastAsia" w:eastAsia="仿宋_GB2312"/>
          <w:color w:val="auto"/>
          <w:kern w:val="0"/>
          <w:sz w:val="30"/>
          <w:szCs w:val="30"/>
          <w:highlight w:val="none"/>
        </w:rPr>
        <w:t>、棋盘乡、柯克亚乡山洪灾害防治工程。到2025年，叶城县重要河流堤防达到10～50年一遇标准，一般河段达到10～20年一遇标准。</w:t>
      </w:r>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kern w:val="0"/>
          <w:sz w:val="30"/>
          <w:szCs w:val="30"/>
          <w:highlight w:val="none"/>
        </w:rPr>
      </w:pPr>
      <w:r>
        <w:rPr>
          <w:rFonts w:hint="eastAsia" w:eastAsia="仿宋_GB2312"/>
          <w:b/>
          <w:color w:val="auto"/>
          <w:kern w:val="0"/>
          <w:sz w:val="30"/>
          <w:szCs w:val="30"/>
          <w:highlight w:val="none"/>
        </w:rPr>
        <w:t>改善水生态环境。</w:t>
      </w:r>
      <w:r>
        <w:rPr>
          <w:rFonts w:hint="eastAsia" w:eastAsia="仿宋_GB2312"/>
          <w:color w:val="auto"/>
          <w:kern w:val="0"/>
          <w:sz w:val="30"/>
          <w:szCs w:val="30"/>
          <w:highlight w:val="none"/>
        </w:rPr>
        <w:t>严格生态用水管理，积极开展生态修复。以水资源承载能力和水环境承载能力为基础，统筹经济社会发展与自然生态系统的用水需求，协调河流上、中、下游、人工绿洲与天然生态的用水关系，保证自然生态基本水量。对生态恶化的区域，积极开展生态系统修复治理。建立流域生态水量占用补偿机制，对流域内用水单位挤占生态水，实施强制性高额补偿制度。全面建设河流岸线、河湖生态保护机制，积极开展河道整治工作。进一步提高污水处理能力和标准，建设中水库工程，利用中水进行生态灌溉和城市绿化，提高水资源利用效率。</w:t>
      </w:r>
      <w:r>
        <w:rPr>
          <w:rFonts w:hint="eastAsia" w:eastAsia="仿宋_GB2312" w:cs="仿宋"/>
          <w:color w:val="auto"/>
          <w:sz w:val="30"/>
          <w:szCs w:val="30"/>
          <w:highlight w:val="none"/>
        </w:rPr>
        <w:t>重点推进塔克拉玛干沙漠边缘、宗朗湿地等区域的水土保持综合治理。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jc w:val="left"/>
        <w:textAlignment w:val="auto"/>
        <w:rPr>
          <w:rFonts w:eastAsia="仿宋_GB2312"/>
          <w:color w:val="auto"/>
          <w:kern w:val="0"/>
          <w:sz w:val="30"/>
          <w:szCs w:val="30"/>
          <w:highlight w:val="none"/>
        </w:rPr>
      </w:pPr>
      <w:r>
        <w:rPr>
          <w:rFonts w:hint="eastAsia" w:eastAsia="仿宋_GB2312"/>
          <w:b/>
          <w:color w:val="auto"/>
          <w:kern w:val="0"/>
          <w:sz w:val="30"/>
          <w:szCs w:val="30"/>
          <w:highlight w:val="none"/>
        </w:rPr>
        <w:t>加强水利信息化建设。</w:t>
      </w:r>
      <w:r>
        <w:rPr>
          <w:rFonts w:hint="eastAsia" w:eastAsia="仿宋_GB2312"/>
          <w:color w:val="auto"/>
          <w:kern w:val="0"/>
          <w:sz w:val="30"/>
          <w:szCs w:val="30"/>
          <w:highlight w:val="none"/>
        </w:rPr>
        <w:t>加强河湖、山洪、渠系、机电井、城乡供水信息化基础设施建设，提高基础信息采集能力。加快完善水利云数据系统，为全县智慧水务上层应用提供优质的数据支撑。加快建设叶城县水利对外服务平台，完善运行机制，建立水权（交易）服务系统、城乡一体化供排水服务系统、农业灌溉服务系统、山洪灾害预警系统、防汛抗旱指挥系统等平台建设，提高水利管理效率，加强水利行业服务能力。</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410" w:afterLines="100" w:line="560" w:lineRule="exact"/>
        <w:ind w:firstLine="602"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bCs/>
          <w:color w:val="auto"/>
          <w:kern w:val="2"/>
          <w:sz w:val="30"/>
          <w:szCs w:val="30"/>
          <w:highlight w:val="none"/>
          <w:lang w:val="zh-CN" w:eastAsia="zh-CN" w:bidi="ar-SA"/>
        </w:rPr>
        <w:t>加强重大气象保障工程。</w:t>
      </w:r>
      <w:r>
        <w:rPr>
          <w:rFonts w:hint="eastAsia" w:ascii="Times New Roman" w:hAnsi="Times New Roman" w:eastAsia="仿宋_GB2312" w:cs="Times New Roman"/>
          <w:b w:val="0"/>
          <w:bCs w:val="0"/>
          <w:color w:val="auto"/>
          <w:kern w:val="2"/>
          <w:sz w:val="30"/>
          <w:szCs w:val="30"/>
          <w:highlight w:val="none"/>
          <w:lang w:val="zh-CN" w:eastAsia="zh-CN" w:bidi="ar-SA"/>
        </w:rPr>
        <w:t>完善旅游景区和精品线路气象监测站网建设，在4A级以上景区内增设实景视频监测站，实现气象要素和实景的实时监测传输，并结合现代互联网通讯、计算机网络、地理信息等技术，开发智慧旅游气象服务保障系统，与旅游集散中心、专业旅游网站以及新媒体实时共享，向公众提供实景化的自动感知、智能制作、精准供给旅游气象预报服务产品，提升旅游气象服务保障能力，提高叶城旅游公共服务水平。开展叶城全县水库上游地区中小河流及山洪沟普查，建立相关水域、山洪沟、排干渠的地形地貌及暴雨山洪、泥石流档案，开展相关灾害发生区域历史气象数据和天气形势分析，充分利用现有气象观测站点和水情监测点数据，完善重点水库上游气象观测站网以及主要山洪汇集区实景图像监控点，实现雨情实时监测、山洪水情远程监控、气象预报、预警信息实时共享，为水库安全隐患整治、病险水库除险加固、水库建设管理、水库运行管理等提供快速研判、科学决策，为保护民生安全，筑牢气象防灾减灾第一道防线。</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专栏11：重大水利基础设施建设项目</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left="0" w:leftChars="0" w:firstLine="560" w:firstLineChars="200"/>
              <w:jc w:val="left"/>
              <w:textAlignment w:val="auto"/>
              <w:rPr>
                <w:rFonts w:hint="eastAsia"/>
                <w:color w:val="auto"/>
                <w:lang w:val="en-US" w:eastAsia="zh-CN"/>
              </w:rPr>
            </w:pPr>
            <w:bookmarkStart w:id="186" w:name="_Toc23771"/>
            <w:bookmarkStart w:id="187" w:name="_Toc7316"/>
            <w:bookmarkStart w:id="188" w:name="_Toc21281"/>
            <w:r>
              <w:rPr>
                <w:rFonts w:hint="eastAsia" w:ascii="楷体" w:hAnsi="楷体" w:eastAsia="楷体" w:cs="楷体"/>
                <w:b w:val="0"/>
                <w:bCs w:val="0"/>
                <w:color w:val="auto"/>
                <w:kern w:val="0"/>
                <w:sz w:val="28"/>
                <w:szCs w:val="28"/>
                <w:highlight w:val="none"/>
                <w:lang w:val="en-US" w:eastAsia="zh-CN" w:bidi="ar-SA"/>
              </w:rPr>
              <w:t>全面推进叶城县莫莫克水利枢纽工程、台斯水库工程、大型灌区提升改造项目、中小河流治理项目、大中型病险水闸除险加固工程、农村饮水安全巩固提升工程、水文基础设施等建设项目，提升水资源节约集约利用。</w:t>
            </w:r>
            <w:bookmarkEnd w:id="186"/>
            <w:bookmarkEnd w:id="187"/>
            <w:bookmarkEnd w:id="188"/>
          </w:p>
        </w:tc>
      </w:tr>
    </w:tbl>
    <w:p>
      <w:pPr>
        <w:pStyle w:val="18"/>
        <w:keepNext w:val="0"/>
        <w:keepLines w:val="0"/>
        <w:shd w:val="clear"/>
        <w:spacing w:beforeLines="50" w:afterLines="50"/>
        <w:rPr>
          <w:rFonts w:hint="eastAsia" w:ascii="Times New Roman" w:hAnsi="Times New Roman"/>
          <w:lang w:val="zh-CN" w:eastAsia="zh-CN"/>
        </w:rPr>
      </w:pPr>
      <w:bookmarkStart w:id="189" w:name="_Toc11448"/>
      <w:bookmarkStart w:id="190" w:name="_Toc28530"/>
      <w:r>
        <w:rPr>
          <w:rFonts w:hint="eastAsia" w:ascii="Times New Roman" w:hAnsi="Times New Roman"/>
          <w:lang w:val="zh-CN" w:eastAsia="zh-CN"/>
        </w:rPr>
        <w:t>第三节 提高</w:t>
      </w:r>
      <w:r>
        <w:rPr>
          <w:rFonts w:hint="eastAsia" w:ascii="Times New Roman" w:hAnsi="Times New Roman"/>
          <w:lang w:val="en-US" w:eastAsia="zh-CN"/>
        </w:rPr>
        <w:t>电力</w:t>
      </w:r>
      <w:r>
        <w:rPr>
          <w:rFonts w:hint="eastAsia" w:ascii="Times New Roman" w:hAnsi="Times New Roman"/>
          <w:lang w:val="zh-CN" w:eastAsia="zh-CN"/>
        </w:rPr>
        <w:t>能源服务能力</w:t>
      </w:r>
      <w:bookmarkEnd w:id="189"/>
      <w:bookmarkEnd w:id="190"/>
    </w:p>
    <w:p>
      <w:pPr>
        <w:keepNext w:val="0"/>
        <w:keepLines w:val="0"/>
        <w:pageBreakBefore w:val="0"/>
        <w:shd w:val="clear"/>
        <w:kinsoku/>
        <w:wordWrap/>
        <w:autoSpaceDE/>
        <w:autoSpaceDN/>
        <w:bidi w:val="0"/>
        <w:adjustRightInd w:val="0"/>
        <w:snapToGrid w:val="0"/>
        <w:spacing w:line="560" w:lineRule="exact"/>
        <w:ind w:firstLine="600" w:firstLineChars="200"/>
        <w:textAlignment w:val="auto"/>
        <w:rPr>
          <w:rFonts w:hint="default" w:eastAsia="仿宋_GB2312" w:cs="仿宋_GB2312"/>
          <w:color w:val="auto"/>
          <w:sz w:val="28"/>
          <w:szCs w:val="28"/>
          <w:highlight w:val="none"/>
          <w:lang w:val="en-US" w:eastAsia="zh-CN"/>
        </w:rPr>
      </w:pPr>
      <w:r>
        <w:rPr>
          <w:rFonts w:hint="eastAsia" w:eastAsia="仿宋_GB2312" w:cs="仿宋"/>
          <w:color w:val="auto"/>
          <w:sz w:val="30"/>
          <w:szCs w:val="30"/>
          <w:highlight w:val="none"/>
        </w:rPr>
        <w:t>着力调整电力结构，优化电源布局，升级配电网，增强系统调节能力，加快转型升级，构建清洁低碳、安全高效的现代能源电力工业体系。重点解决农村电网供电“卡脖子”“低电压”“高跳高损”问题。新增110千伏、35千伏及以下变电站的布点及配套送出，降低农村电网技术线损，提高电网供电能力。进一步优化农村电网结构，全面提高农村电网供电可靠性，提升农村电网故障定位和开断控制能力，推广农网改造升级县域配网建设，提高农村电网自动化和数字化水平。通过延伸110千伏、35千伏及以下电网至农牧民聚集区，突出解决小城镇中心村、富民安居、移民搬迁通电等问题。</w:t>
      </w:r>
      <w:r>
        <w:rPr>
          <w:rFonts w:hint="eastAsia" w:eastAsia="仿宋_GB2312" w:cs="仿宋"/>
          <w:color w:val="auto"/>
          <w:sz w:val="30"/>
          <w:szCs w:val="30"/>
          <w:highlight w:val="none"/>
          <w:lang w:val="en-US" w:eastAsia="zh-CN"/>
        </w:rPr>
        <w:t>实现</w:t>
      </w:r>
      <w:r>
        <w:rPr>
          <w:rFonts w:hint="eastAsia" w:eastAsia="仿宋_GB2312" w:cs="仿宋"/>
          <w:color w:val="auto"/>
          <w:sz w:val="30"/>
          <w:szCs w:val="30"/>
          <w:highlight w:val="none"/>
        </w:rPr>
        <w:t>西合休乡剩余8个行政村及库地、麻扎、黑恰沟等边境重要节点</w:t>
      </w:r>
      <w:r>
        <w:rPr>
          <w:rFonts w:hint="eastAsia" w:eastAsia="仿宋_GB2312" w:cs="仿宋"/>
          <w:color w:val="auto"/>
          <w:sz w:val="30"/>
          <w:szCs w:val="30"/>
          <w:highlight w:val="none"/>
          <w:lang w:val="en-US" w:eastAsia="zh-CN"/>
        </w:rPr>
        <w:t>电网覆盖延伸</w:t>
      </w:r>
      <w:r>
        <w:rPr>
          <w:rFonts w:hint="eastAsia" w:eastAsia="仿宋_GB2312" w:cs="仿宋"/>
          <w:color w:val="auto"/>
          <w:sz w:val="30"/>
          <w:szCs w:val="30"/>
          <w:highlight w:val="none"/>
        </w:rPr>
        <w:t>。加快莫莫克水库电站并网发电，为叶城提高更加可靠的供应电源保障。全面推进“电气化</w:t>
      </w:r>
      <w:r>
        <w:rPr>
          <w:rFonts w:hint="eastAsia" w:eastAsia="仿宋_GB2312" w:cs="仿宋"/>
          <w:color w:val="auto"/>
          <w:sz w:val="30"/>
          <w:szCs w:val="30"/>
          <w:highlight w:val="none"/>
          <w:lang w:eastAsia="zh-CN"/>
        </w:rPr>
        <w:t>叶城</w:t>
      </w:r>
      <w:r>
        <w:rPr>
          <w:rFonts w:hint="eastAsia" w:eastAsia="仿宋_GB2312" w:cs="仿宋"/>
          <w:color w:val="auto"/>
          <w:sz w:val="30"/>
          <w:szCs w:val="30"/>
          <w:highlight w:val="none"/>
        </w:rPr>
        <w:t>”，继续推进电网整合和同网同价工作，扎实开展电供暖推广和农村“煤改电”工作</w:t>
      </w:r>
      <w:r>
        <w:rPr>
          <w:rFonts w:hint="eastAsia" w:eastAsia="仿宋_GB2312" w:cs="仿宋"/>
          <w:color w:val="auto"/>
          <w:sz w:val="30"/>
          <w:szCs w:val="30"/>
          <w:highlight w:val="none"/>
          <w:lang w:eastAsia="zh-CN"/>
        </w:rPr>
        <w:t>，</w:t>
      </w:r>
      <w:r>
        <w:rPr>
          <w:rFonts w:hint="eastAsia" w:eastAsia="仿宋_GB2312" w:cs="仿宋"/>
          <w:color w:val="auto"/>
          <w:sz w:val="30"/>
          <w:szCs w:val="30"/>
          <w:highlight w:val="none"/>
        </w:rPr>
        <w:t>完成</w:t>
      </w:r>
      <w:r>
        <w:rPr>
          <w:rFonts w:hint="eastAsia" w:eastAsia="仿宋_GB2312" w:cs="仿宋"/>
          <w:color w:val="auto"/>
          <w:sz w:val="30"/>
          <w:szCs w:val="30"/>
          <w:highlight w:val="none"/>
          <w:lang w:val="en-US" w:eastAsia="zh-CN"/>
        </w:rPr>
        <w:t>10</w:t>
      </w:r>
      <w:r>
        <w:rPr>
          <w:rFonts w:hint="eastAsia" w:eastAsia="仿宋_GB2312" w:cs="仿宋"/>
          <w:color w:val="auto"/>
          <w:sz w:val="30"/>
          <w:szCs w:val="30"/>
          <w:highlight w:val="none"/>
        </w:rPr>
        <w:t>万户“煤改电”采暖改造任务</w:t>
      </w:r>
      <w:r>
        <w:rPr>
          <w:rFonts w:hint="eastAsia" w:eastAsia="仿宋_GB2312" w:cs="仿宋"/>
          <w:color w:val="auto"/>
          <w:sz w:val="30"/>
          <w:szCs w:val="30"/>
          <w:highlight w:val="none"/>
          <w:lang w:eastAsia="zh-CN"/>
        </w:rPr>
        <w:t>，到</w:t>
      </w:r>
      <w:r>
        <w:rPr>
          <w:rFonts w:hint="eastAsia" w:eastAsia="仿宋_GB2312" w:cs="仿宋"/>
          <w:color w:val="auto"/>
          <w:sz w:val="30"/>
          <w:szCs w:val="30"/>
          <w:highlight w:val="none"/>
          <w:lang w:val="en-US" w:eastAsia="zh-CN"/>
        </w:rPr>
        <w:t>2025年，全县清洁取暖率达到95%以上，电采暖覆盖率达到90%以上。</w:t>
      </w:r>
    </w:p>
    <w:p>
      <w:pPr>
        <w:pStyle w:val="18"/>
        <w:keepNext w:val="0"/>
        <w:keepLines w:val="0"/>
        <w:shd w:val="clear"/>
        <w:spacing w:beforeLines="50" w:afterLines="50"/>
        <w:rPr>
          <w:rFonts w:hint="eastAsia" w:ascii="Times New Roman" w:hAnsi="Times New Roman"/>
          <w:lang w:val="zh-CN" w:eastAsia="zh-CN"/>
        </w:rPr>
      </w:pPr>
      <w:bookmarkStart w:id="191" w:name="_Toc16164"/>
      <w:bookmarkStart w:id="192" w:name="_Toc30680"/>
      <w:r>
        <w:rPr>
          <w:rFonts w:hint="eastAsia" w:ascii="Times New Roman" w:hAnsi="Times New Roman"/>
          <w:lang w:val="zh-CN" w:eastAsia="zh-CN"/>
        </w:rPr>
        <w:t>第四节 构建服务型“新基建”格局</w:t>
      </w:r>
      <w:bookmarkEnd w:id="191"/>
      <w:bookmarkEnd w:id="192"/>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val="0"/>
          <w:bCs w:val="0"/>
          <w:color w:val="auto"/>
          <w:kern w:val="2"/>
          <w:sz w:val="30"/>
          <w:szCs w:val="30"/>
          <w:highlight w:val="none"/>
          <w:lang w:val="zh-CN" w:eastAsia="zh-CN" w:bidi="ar-SA"/>
        </w:rPr>
        <w:t>加大新能源汽车充电桩、5G、大数据中心、工业互联网等新型基础设施建设。推进大数据开放共享应用，积极配合地区构建一体化大数据中心，强化信息服务与农业、传统制造、交通运输、商贸、金融、旅游等产业的融合发展，增强在政务服务、教育、民生、城市管理等领域的深度应用。推进一体化在线政务服务平台应用、公共资源交易平台、公共信用信息大数据平台等的建设应用，强化综合服务。大力推动重点骨干企业信息技术集成应用，进一步完善中小企业信息化服务平台。以文化教育、广播电视等领域为切入点，创新商业模式，满足人民日益增长的生活消费需求。围绕旅游业发展，统筹布局充电桩、5G设施。</w:t>
      </w:r>
    </w:p>
    <w:p>
      <w:pPr>
        <w:pStyle w:val="18"/>
        <w:keepNext w:val="0"/>
        <w:keepLines w:val="0"/>
        <w:shd w:val="clear"/>
        <w:spacing w:beforeLines="50" w:afterLines="50"/>
        <w:rPr>
          <w:rFonts w:hint="eastAsia" w:ascii="Times New Roman" w:hAnsi="Times New Roman"/>
          <w:lang w:val="zh-CN" w:eastAsia="zh-CN"/>
        </w:rPr>
      </w:pPr>
      <w:bookmarkStart w:id="193" w:name="_Toc15072"/>
      <w:bookmarkStart w:id="194" w:name="_Toc24038"/>
      <w:r>
        <w:rPr>
          <w:rFonts w:hint="eastAsia" w:ascii="Times New Roman" w:hAnsi="Times New Roman"/>
          <w:lang w:val="zh-CN" w:eastAsia="zh-CN"/>
        </w:rPr>
        <w:t>第五节</w:t>
      </w:r>
      <w:r>
        <w:rPr>
          <w:rFonts w:hint="eastAsia" w:ascii="Times New Roman" w:hAnsi="Times New Roman"/>
          <w:lang w:val="en-US" w:eastAsia="zh-CN"/>
        </w:rPr>
        <w:t xml:space="preserve"> </w:t>
      </w:r>
      <w:r>
        <w:rPr>
          <w:rFonts w:hint="eastAsia" w:ascii="Times New Roman" w:hAnsi="Times New Roman"/>
          <w:lang w:val="zh-CN" w:eastAsia="zh-CN"/>
        </w:rPr>
        <w:t>增强信息化设施支撑能力</w:t>
      </w:r>
      <w:bookmarkEnd w:id="193"/>
      <w:bookmarkEnd w:id="194"/>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建设完善县域信息基础设施。</w:t>
      </w:r>
      <w:r>
        <w:rPr>
          <w:rFonts w:hint="eastAsia" w:eastAsia="仿宋_GB2312"/>
          <w:color w:val="auto"/>
          <w:sz w:val="30"/>
          <w:szCs w:val="30"/>
          <w:highlight w:val="none"/>
        </w:rPr>
        <w:t>加快信息基础设施升级，形成适度超前的宽带网络发展格局，推进城乡高速宽带网络、新建开发区、产业园区宽带网络全覆盖。加快推进无线宽带网络建设，实现无线网络公共区域免费全覆盖。全面提升IPv6用户普及率和网络接入覆盖率，构建以IPv7为核心的全新互联网架构。加快建设“满格叶城”，推进4G网络向5G网络升级，实现重点城镇、重点区域5G网络全覆盖，促进5G网络及WLAN的建设，构建以5G+WLAN为主的多层次、广覆盖、多热点无线宽带网络。积极对接谋划“新基建”，加强数据中心、内容分发网络（CDN）等新型应用基础设施的统筹规划和部署，推进喀什</w:t>
      </w:r>
      <w:r>
        <w:rPr>
          <w:rFonts w:hint="eastAsia" w:eastAsia="仿宋_GB2312"/>
          <w:color w:val="auto"/>
          <w:sz w:val="30"/>
          <w:szCs w:val="30"/>
          <w:highlight w:val="none"/>
          <w:lang w:val="en-US" w:eastAsia="zh-CN"/>
        </w:rPr>
        <w:t>·</w:t>
      </w:r>
      <w:r>
        <w:rPr>
          <w:rFonts w:hint="eastAsia" w:eastAsia="仿宋_GB2312"/>
          <w:color w:val="auto"/>
          <w:sz w:val="30"/>
          <w:szCs w:val="30"/>
          <w:highlight w:val="none"/>
        </w:rPr>
        <w:t>叶城数据中心示范基地建设，探索建设云计算资源交易中心。2023年，建成地区互联网骨干直连点。推动传统IDC向云IDC演进，提升数据计算、存储和智能处理能力，完善数据资源与容灾体系。加强城市内部和道路、景区新能源汽车充电桩建设，充分满足新能源汽车消费需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持续推进三网融合。</w:t>
      </w:r>
      <w:r>
        <w:rPr>
          <w:rFonts w:hint="eastAsia" w:eastAsia="仿宋_GB2312"/>
          <w:color w:val="auto"/>
          <w:sz w:val="30"/>
          <w:szCs w:val="30"/>
          <w:highlight w:val="none"/>
        </w:rPr>
        <w:t>有序推进宽带通信网、数字电视网、互联网三大网络互联互通、资源共享。加快下一代广播电视网建设，推动地面数字电视覆盖网和高清交互式电视网络设施建设，加快广播电视模数转换进程。建设下一代广播电视宽带接入网，充分利用广播电视网海量下行宽带、室内多信息点分布优势，满足不同用户接入带宽的需要。加快电信和广电业务双向进入，大力推动交互式网络电视（IPTV）、手机电视、有线电视网宽带服务以及各类基于互联网的应用服务（OTT）等融合性业务普及发展。</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195" w:name="_Toc29807"/>
      <w:bookmarkStart w:id="196" w:name="_Toc2556"/>
      <w:r>
        <w:rPr>
          <w:rFonts w:hint="eastAsia" w:ascii="Times New Roman" w:hAnsi="Times New Roman" w:eastAsia="黑体" w:cs="Times New Roman"/>
          <w:b w:val="0"/>
          <w:bCs w:val="0"/>
          <w:sz w:val="30"/>
          <w:szCs w:val="30"/>
          <w:lang w:val="en-US" w:eastAsia="zh-CN"/>
        </w:rPr>
        <w:t>第十章 全面提升社会公共服务水平，增进人民福祉</w:t>
      </w:r>
      <w:bookmarkEnd w:id="195"/>
      <w:bookmarkEnd w:id="196"/>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rPr>
      </w:pPr>
      <w:r>
        <w:rPr>
          <w:rFonts w:hint="eastAsia"/>
          <w:bCs/>
          <w:color w:val="auto"/>
          <w:sz w:val="30"/>
          <w:szCs w:val="30"/>
          <w:highlight w:val="none"/>
        </w:rPr>
        <w:t>坚持共享发展理念，以增进人民福祉为出发点和落脚点，加强社会资源整合，深化社会体制改革，构建城乡一体、优质均衡的社会公共服务体系，让改革发展成果更广泛、更公平、更实在地惠及广大人民群众。</w:t>
      </w:r>
    </w:p>
    <w:p>
      <w:pPr>
        <w:pStyle w:val="18"/>
        <w:keepNext w:val="0"/>
        <w:keepLines w:val="0"/>
        <w:shd w:val="clear"/>
        <w:spacing w:beforeLines="50" w:afterLines="50"/>
        <w:rPr>
          <w:rFonts w:hint="eastAsia" w:ascii="Times New Roman" w:hAnsi="Times New Roman"/>
          <w:lang w:val="en-US" w:eastAsia="zh-CN"/>
        </w:rPr>
      </w:pPr>
      <w:bookmarkStart w:id="197" w:name="_Toc15477_WPSOffice_Level2"/>
      <w:bookmarkStart w:id="198" w:name="_Toc29983"/>
      <w:bookmarkStart w:id="199" w:name="_Toc17256"/>
      <w:r>
        <w:rPr>
          <w:rFonts w:hint="eastAsia" w:ascii="Times New Roman" w:hAnsi="Times New Roman"/>
          <w:lang w:val="en-US" w:eastAsia="zh-CN"/>
        </w:rPr>
        <w:t>第一节 坚持就业优先</w:t>
      </w:r>
      <w:bookmarkEnd w:id="197"/>
      <w:bookmarkEnd w:id="198"/>
      <w:bookmarkEnd w:id="199"/>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坚持就业第一。</w:t>
      </w:r>
      <w:r>
        <w:rPr>
          <w:rFonts w:hint="eastAsia"/>
          <w:bCs/>
          <w:color w:val="auto"/>
          <w:sz w:val="30"/>
          <w:szCs w:val="30"/>
          <w:highlight w:val="none"/>
          <w:lang w:val="en-US" w:eastAsia="zh-CN"/>
        </w:rPr>
        <w:t>大力推动大众创业、万众创新，以创业带动就业。推行终身职业技能培训制度，提升全民职业技能。以农村富余劳动力、高校毕业生等为重点，统筹推进各类群体就业。壮大新动能培育新的就业增长点，就业质量持续提高，就业规模持续扩大，就业结构更加合理，就业保持稳定；</w:t>
      </w:r>
      <w:r>
        <w:rPr>
          <w:rFonts w:hint="eastAsia"/>
          <w:bCs/>
          <w:color w:val="auto"/>
          <w:sz w:val="30"/>
          <w:szCs w:val="30"/>
          <w:highlight w:val="none"/>
          <w:lang w:val="en-US"/>
        </w:rPr>
        <w:t>坚持创新引领发展，大力发展新产业新业态，不断拓展就业</w:t>
      </w:r>
      <w:r>
        <w:rPr>
          <w:rFonts w:hint="eastAsia"/>
          <w:bCs/>
          <w:color w:val="auto"/>
          <w:sz w:val="30"/>
          <w:szCs w:val="30"/>
          <w:highlight w:val="none"/>
          <w:lang w:val="en-US" w:eastAsia="zh-CN"/>
        </w:rPr>
        <w:t>；</w:t>
      </w:r>
      <w:r>
        <w:rPr>
          <w:rFonts w:hint="eastAsia"/>
          <w:bCs/>
          <w:color w:val="auto"/>
          <w:sz w:val="30"/>
          <w:szCs w:val="30"/>
          <w:highlight w:val="none"/>
          <w:lang w:val="en-US"/>
        </w:rPr>
        <w:t>坚持包容审慎原则，引导零工经济、地摊经济、夜间经济发展，扩大灵活就业、新就业形态空间</w:t>
      </w:r>
      <w:r>
        <w:rPr>
          <w:rFonts w:hint="eastAsia"/>
          <w:bCs/>
          <w:color w:val="auto"/>
          <w:sz w:val="30"/>
          <w:szCs w:val="30"/>
          <w:highlight w:val="none"/>
          <w:lang w:val="en-US" w:eastAsia="zh-CN"/>
        </w:rPr>
        <w:t>；</w:t>
      </w:r>
      <w:r>
        <w:rPr>
          <w:rFonts w:hint="eastAsia"/>
          <w:bCs/>
          <w:color w:val="auto"/>
          <w:sz w:val="30"/>
          <w:szCs w:val="30"/>
          <w:highlight w:val="none"/>
          <w:lang w:val="en-US"/>
        </w:rPr>
        <w:t>构建更有利于扩大就业的现代化经济体系，优先支持吸纳就业能力强、潜力大的现代服务业、部分劳动密集型行业和小微企业、民营企业发展。</w:t>
      </w:r>
      <w:r>
        <w:rPr>
          <w:rFonts w:hint="eastAsia"/>
          <w:bCs/>
          <w:color w:val="auto"/>
          <w:sz w:val="30"/>
          <w:szCs w:val="30"/>
          <w:highlight w:val="none"/>
          <w:lang w:val="en-US" w:eastAsia="zh-CN"/>
        </w:rPr>
        <w:t>鼓励支持创业带动就业，落实创业扶持政策及相关税费减免等优惠政策。“十四五”期间，力争每年新增城镇就业1万人以上，城镇登记失业率控制在4%以内；每年转移农村富余劳动力10万人（次）以上。</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突出精准就业创业服务。</w:t>
      </w:r>
      <w:r>
        <w:rPr>
          <w:rFonts w:hint="eastAsia"/>
          <w:bCs/>
          <w:color w:val="auto"/>
          <w:sz w:val="30"/>
          <w:szCs w:val="30"/>
          <w:highlight w:val="none"/>
          <w:lang w:val="en-US" w:eastAsia="zh-CN"/>
        </w:rPr>
        <w:t xml:space="preserve">完善服务手段和功能，继续深化基层平台建设，打造公共就业服务信息化平台。利用网站、微信等现代信息媒介开展公共就业信息服务，为就业创业者提供各种方便快捷服务。下大力气狠抓企业的招工用工工作，加大政策、服务倾斜力度，采取一系列切实可行的工作方法和措施引导支持农民工等人员返乡创业，带动农村劳动力就地就近就业，实现增收致富。同时促进工业园区壮大发展。建立人力资源市场供求信息系统，建立健全专业化、信息化、产业化的人力资源服务体系，完善市场信息发布制度，完善市场运行规则，提高人力资源市场供需匹配能力，更好服务就业创业。实现公共服务有效保障、经营性服务逐步壮大，服务就业创业与人力资源开发配置能力显著提高，人力资源服务业对经济增长贡献率稳步提升。构建覆盖劳动力市场、企业用工主体和劳动者个体的就业失业统计调查体系，及时掌握监测企业人员变动情况及趋势，综合运用宏观经济数据、网络招聘数据、社保数据，监测劳动力市场变化，掌握劳动力流动趋势，及时有效反映就业失业状况。 </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推动职业技能提升行动。</w:t>
      </w:r>
      <w:r>
        <w:rPr>
          <w:rFonts w:hint="eastAsia"/>
          <w:bCs/>
          <w:color w:val="auto"/>
          <w:sz w:val="30"/>
          <w:szCs w:val="30"/>
          <w:highlight w:val="none"/>
          <w:lang w:val="en-US" w:eastAsia="zh-CN"/>
        </w:rPr>
        <w:t>打好职业技能提升行动攻坚战，突出重点，推动职业技能提升行动扩面提质增效。实施新生代农民工职业技能提升计划，重点开展困难家庭子女、未升学高中毕业生、农民工、失业人员和转岗职工、退役军人免费接受职业培训行动。对未升学初高中毕业生，实行职业技术教育培训和国家通用语言培训全覆盖。推行工学结合、校企合作的技术工人培养模式，推行企业新型学徒制。进一步强化就业技能培训基地建设，建立1所公共初训基地，辐射带动乡镇的技能培训，根据叶城县经济社会发展需求，开展相关专业培训，努力提升劳动力就业技能，促进稳定就业，巩固脱贫成效。强化技能培训师资、教材建设，加强培训资金监督管理。压实工作责任，强化调度督导和考核问责，保质保量完成培训任务。“十四五”期间，每年开展各类人员职业技能培训2万人以上，累计培训10万人次。</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bookmarkStart w:id="200" w:name="_Toc7603_WPSOffice_Level3"/>
      <w:r>
        <w:rPr>
          <w:rFonts w:hint="eastAsia"/>
          <w:b/>
          <w:bCs w:val="0"/>
          <w:color w:val="auto"/>
          <w:sz w:val="30"/>
          <w:szCs w:val="30"/>
          <w:highlight w:val="none"/>
          <w:lang w:val="en-US" w:eastAsia="zh-CN"/>
        </w:rPr>
        <w:t>强化劳动维权保障</w:t>
      </w:r>
      <w:bookmarkEnd w:id="200"/>
      <w:r>
        <w:rPr>
          <w:rFonts w:hint="eastAsia"/>
          <w:b/>
          <w:bCs w:val="0"/>
          <w:color w:val="auto"/>
          <w:sz w:val="30"/>
          <w:szCs w:val="30"/>
          <w:highlight w:val="none"/>
          <w:lang w:val="en-US" w:eastAsia="zh-CN"/>
        </w:rPr>
        <w:t>。</w:t>
      </w:r>
      <w:r>
        <w:rPr>
          <w:rFonts w:hint="eastAsia"/>
          <w:bCs/>
          <w:color w:val="auto"/>
          <w:sz w:val="30"/>
          <w:szCs w:val="30"/>
          <w:highlight w:val="none"/>
          <w:lang w:val="en-US" w:eastAsia="zh-CN"/>
        </w:rPr>
        <w:t>稳步实施劳动合同制度和集体合同制度，推动劳动合同签订工作，加强对企业劳动用工的指导服务，指导企业全面开展集体协商制度工作，健全集体合同管理制度。落实诚信企业无拖欠农民工工资证明与招投标挂钩、劳动用工备案制度，“十四五”期间，力争农民工工资保证金征缴率达100%。加强劳动监察工作，加大执法力度，把执法重点放在基层、非公有制企业和弱势群体。进一步强化以“两网化”管理为基础的劳动保障监察预防预警机制建设，健全违法行为快速查处机制，加大对落实最低工资标准、工作时间、社会保险、休息、休假等基本劳动标准的执法检查。</w:t>
      </w:r>
    </w:p>
    <w:p>
      <w:pPr>
        <w:pStyle w:val="18"/>
        <w:keepNext w:val="0"/>
        <w:keepLines w:val="0"/>
        <w:shd w:val="clear"/>
        <w:spacing w:beforeLines="50" w:afterLines="50"/>
        <w:rPr>
          <w:rFonts w:hint="default" w:ascii="Times New Roman" w:hAnsi="Times New Roman"/>
          <w:lang w:val="en-US" w:eastAsia="zh-CN"/>
        </w:rPr>
      </w:pPr>
      <w:bookmarkStart w:id="201" w:name="_Toc1281"/>
      <w:bookmarkStart w:id="202" w:name="_Toc6318"/>
      <w:r>
        <w:rPr>
          <w:rFonts w:hint="eastAsia" w:ascii="Times New Roman" w:hAnsi="Times New Roman"/>
          <w:lang w:val="zh-CN" w:eastAsia="zh-CN"/>
        </w:rPr>
        <w:t xml:space="preserve">第二节 </w:t>
      </w:r>
      <w:r>
        <w:rPr>
          <w:rFonts w:hint="eastAsia" w:ascii="Times New Roman" w:hAnsi="Times New Roman"/>
          <w:lang w:val="en-US" w:eastAsia="zh-CN"/>
        </w:rPr>
        <w:t>推进教育事业全面发展</w:t>
      </w:r>
      <w:bookmarkEnd w:id="201"/>
      <w:bookmarkEnd w:id="202"/>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Cs/>
          <w:color w:val="auto"/>
          <w:sz w:val="30"/>
          <w:szCs w:val="30"/>
          <w:highlight w:val="none"/>
          <w:lang w:val="en-US" w:eastAsia="zh-CN"/>
        </w:rPr>
        <w:t>坚持党对教育事业的全面领导，努力推进教育现代化，以培养爱国爱疆、担当奉献的社会主义建设者和接班人为根本任务，实施新时代立德树人工程、推进基础教育巩固提高、深化职业教育产教融合等重点任务。突出教育的基础作用和民生效应，全面落实立德树人根本任务。</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推动学前教育提质增效。</w:t>
      </w:r>
      <w:r>
        <w:rPr>
          <w:rFonts w:hint="eastAsia"/>
          <w:bCs/>
          <w:color w:val="auto"/>
          <w:sz w:val="30"/>
          <w:szCs w:val="30"/>
          <w:highlight w:val="none"/>
          <w:lang w:val="en-US" w:eastAsia="zh-CN"/>
        </w:rPr>
        <w:t>进一步完善政府主导、社会参与、公办民办并举的学前教育办园体制，构建“广覆盖、保基本、有质量”的学前教育公共服务体系，巩固学前三年教育“应入尽入”普及成果。积极整合教育资源，逐步推行小班教学，加强质量监管、业务指导，突出幼儿养成习惯、学习习惯培养，着力提高幼儿国家通用语言听说能力，筑牢“幼小衔接”基础。开展专项督导评估，积极推进创建工作，力争“十四五”期间，创建自治区级示范园10所，地区级示范园20所，县级示范园60所，县级以上示范园达到50%以上。</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推进义务教育均衡优质发展。</w:t>
      </w:r>
      <w:r>
        <w:rPr>
          <w:rFonts w:hint="eastAsia"/>
          <w:bCs/>
          <w:color w:val="auto"/>
          <w:sz w:val="30"/>
          <w:szCs w:val="30"/>
          <w:highlight w:val="none"/>
          <w:lang w:val="en-US" w:eastAsia="zh-CN"/>
        </w:rPr>
        <w:t>结合乡村振兴战略和新型城镇化发展规划，统筹推进县域内城乡义务教育一体化改革发展，义务教育阶段学龄人口入学率达到99%以上，巩固率达到98%以上，义务教育优质均衡发展目标基本实现。办好必要的乡村小规模学校和教学点。化解好城区择校热、大班额问题。学校德育工作不断深化，爱国主义和民族团结教育有效融入学校教育全过程，思政工作时效性明显增强。进一步完善控辍保学工作机制，加强对留守儿童的关爱保护，确保适龄儿童少年完成义务教育。</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巩固高中教育普及成果。</w:t>
      </w:r>
      <w:r>
        <w:rPr>
          <w:rFonts w:hint="eastAsia"/>
          <w:bCs/>
          <w:color w:val="auto"/>
          <w:sz w:val="30"/>
          <w:szCs w:val="30"/>
          <w:highlight w:val="none"/>
          <w:lang w:val="en-US" w:eastAsia="zh-CN"/>
        </w:rPr>
        <w:t>积极争取教育基础薄弱县普通高中建设项目、改善普通高中办学条件项目和援疆资金1.4亿元，加强高中学校建设，扩大教育资源，化解普通高中大班额、超大校额问题。有序推进选课走班，积极探索新课程实施路径，着力提升教育质量。通过“集中加远程”的方式，开展普通高中教师全学科全员教材培训，强化高中阶段国家通用语言文字教育教学，确保新增劳动力人口具备国家通用语言文字沟通交流能力和应用能力。创建1所地区级示范性高中，以点带面促进高中学校办学水平整体提升。</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大力发展职业教育。</w:t>
      </w:r>
      <w:r>
        <w:rPr>
          <w:rFonts w:hint="eastAsia"/>
          <w:bCs/>
          <w:color w:val="auto"/>
          <w:sz w:val="30"/>
          <w:szCs w:val="30"/>
          <w:highlight w:val="none"/>
          <w:lang w:val="en-US" w:eastAsia="zh-CN"/>
        </w:rPr>
        <w:t>加强中等职业学校基础设施建设，完善实训设施，培养“双师型”教师队伍，到2025年末，“双师型”教师比例达到50%，稳步推进“1+X”证书制度试点工作。围绕乡村振兴战略、旅游产业发展、中国制造2025新疆行动方案，重点办好紧缺人才相关专业，构建产业人才培养培训新体系。依托职教“沪喀联盟”，以就业为导向，大力开展“校企合作、产业融合”，大力推行订单培养，力争到2025年末，毕业生就业率达到95%以上，稳定就业率和专业对口就业率达到50%以上。</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重视发展特殊教育。</w:t>
      </w:r>
      <w:r>
        <w:rPr>
          <w:rFonts w:hint="eastAsia"/>
          <w:bCs/>
          <w:color w:val="auto"/>
          <w:sz w:val="30"/>
          <w:szCs w:val="30"/>
          <w:highlight w:val="none"/>
          <w:lang w:val="en-US" w:eastAsia="zh-CN"/>
        </w:rPr>
        <w:t>加大对特殊教育的投入力度，重视特殊教育学校教师队伍和教学资源建设，以随班就读为主体、以特殊教育学校为骨干、以送教上门和远程教育为补充，全面推进融合教育，逐步形成学前教育、义务教育、高中阶段教育有效衔接，普通教育与职业教育相互融通的残疾人教育体系，实现特殊教育全覆盖。加大国家通用手语和盲文推行力度，推进医教结合，提升教育质量。</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全面推进教育信息化。</w:t>
      </w:r>
      <w:r>
        <w:rPr>
          <w:rFonts w:hint="eastAsia"/>
          <w:bCs/>
          <w:color w:val="auto"/>
          <w:sz w:val="30"/>
          <w:szCs w:val="30"/>
          <w:highlight w:val="none"/>
          <w:lang w:val="en-US" w:eastAsia="zh-CN"/>
        </w:rPr>
        <w:t>实施教育信息化2.0行动，探索“互联网+”条件下的人才培养新模式，逐步实现信息化教学全覆盖，促进信息技术与教育教学深度融合，构建线上线下互补式教学、课内课外各学科互相融通的学习新生态，以现代信息技术推动教育质量提升。开齐开足信息技术课程，实施学生信息素养全面提升行动。探索发展以学习者为中心的智能化学习环境和智慧校园建设。实施教育信息化活动，助推教师队伍建设行动，更好促进国家通用语言文字教学全覆盖。</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加强教师队伍建设。</w:t>
      </w:r>
      <w:r>
        <w:rPr>
          <w:rFonts w:hint="eastAsia"/>
          <w:bCs/>
          <w:color w:val="auto"/>
          <w:sz w:val="30"/>
          <w:szCs w:val="30"/>
          <w:highlight w:val="none"/>
          <w:lang w:val="en-US" w:eastAsia="zh-CN"/>
        </w:rPr>
        <w:t>实施师德师风建设工程，推行师德考核负面清单制度，逐年提高教师培训经费投入。推进教师“县管校聘”改革，推进义务教育学校校长、教师定期交流轮岗制度，推动教师跨学段动态流动均衡互补，化解各学段学生峰值变化。以学科为单位，以英语、体育、美育为重点，对各学科教师在全县范围内进行优化调配。加强乡村教师队伍建设，落实乡村教师支持计划，各项政策措施向乡村教师倾斜，定向培养“一专多能”乡村教师。持续实施教师梯级发展培育工程，力争“十四五”期间，培养自治区特级教师1-2人，地、县名师10-15人，学科带头人、教学能手、骨干教师300人。完成中小学教师信息技术应用能力提升工程2.0整校推进，实现教师信息技术应用能力培训与考核达标全覆盖。探索建立末位淘汰管理机制，畅通教师出口。加大教师关心关爱力度，营造拴心留人的良好氛围。</w:t>
      </w:r>
    </w:p>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
          <w:bCs w:val="0"/>
          <w:color w:val="auto"/>
          <w:sz w:val="30"/>
          <w:szCs w:val="30"/>
          <w:highlight w:val="none"/>
          <w:lang w:val="en-US" w:eastAsia="zh-CN"/>
        </w:rPr>
        <w:t>提升教育教学质量。</w:t>
      </w:r>
      <w:r>
        <w:rPr>
          <w:rFonts w:hint="eastAsia"/>
          <w:bCs/>
          <w:color w:val="auto"/>
          <w:sz w:val="30"/>
          <w:szCs w:val="30"/>
          <w:highlight w:val="none"/>
          <w:lang w:val="en-US" w:eastAsia="zh-CN"/>
        </w:rPr>
        <w:t>建立课程实施监测制度，持续开展校外培训机构专项治理，试点中小学校开展课后服务。加大上海（宝山）援疆（叶城）教育集团建设力度，更好发挥上海援疆支教团队传帮带作用，将第二中学、第四小学两所核心校打造成为地区名校。坚持“五育”并举，学校、教师、学生三个维度并重，推进评价体系改革。以国家通用语言文字教学为重点，完善教学质量监测机制，构建发展性教学质量评价体系，力争“十四五”期间，全县整体教学质量达到喀什地区中等水平。</w:t>
      </w:r>
    </w:p>
    <w:p>
      <w:pPr>
        <w:pStyle w:val="20"/>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0"/>
        <w:textAlignment w:val="auto"/>
        <w:rPr>
          <w:rFonts w:hint="eastAsia"/>
          <w:bCs/>
          <w:color w:val="auto"/>
          <w:sz w:val="30"/>
          <w:szCs w:val="30"/>
          <w:highlight w:val="none"/>
          <w:lang w:val="zh-CN" w:eastAsia="zh-CN"/>
        </w:rPr>
      </w:pPr>
      <w:r>
        <w:rPr>
          <w:rFonts w:hint="eastAsia"/>
          <w:b/>
          <w:bCs w:val="0"/>
          <w:color w:val="auto"/>
          <w:sz w:val="30"/>
          <w:szCs w:val="30"/>
          <w:highlight w:val="none"/>
          <w:lang w:val="en-US" w:eastAsia="zh-CN"/>
        </w:rPr>
        <w:t>扎实开展终身教育。</w:t>
      </w:r>
      <w:r>
        <w:rPr>
          <w:rFonts w:hint="eastAsia"/>
          <w:bCs/>
          <w:color w:val="auto"/>
          <w:sz w:val="30"/>
          <w:szCs w:val="30"/>
          <w:highlight w:val="none"/>
          <w:lang w:val="en-US" w:eastAsia="zh-CN"/>
        </w:rPr>
        <w:t>稳步发展学历继续教育，广泛开展城乡社区教育，积极构建全覆盖的终身教育网络。深入推进学习型组织建设，大力推广全民阅读，规范发展社会培训。发挥公共文化机构、新闻媒体社会教育作用，统筹各类教育资源，推进学习资源社会化。以“学分银行”制度为抓手，探索建立成人教育学分积累与转换制度，健全继续教育体制。重视发展老年教育。</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专栏12：基础教育重点工程</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u w:val="none" w:color="auto"/>
                <w:lang w:val="en-US" w:eastAsia="zh-CN"/>
              </w:rPr>
            </w:pPr>
            <w:bookmarkStart w:id="203" w:name="_Toc29677"/>
            <w:bookmarkStart w:id="204" w:name="_Toc10988"/>
            <w:bookmarkStart w:id="205" w:name="_Toc4457"/>
            <w:r>
              <w:rPr>
                <w:rFonts w:hint="eastAsia" w:ascii="楷体" w:hAnsi="楷体" w:eastAsia="楷体" w:cs="楷体"/>
                <w:b w:val="0"/>
                <w:bCs w:val="0"/>
                <w:color w:val="auto"/>
                <w:kern w:val="0"/>
                <w:sz w:val="28"/>
                <w:szCs w:val="28"/>
                <w:highlight w:val="none"/>
                <w:lang w:val="en-US" w:eastAsia="zh-CN" w:bidi="ar-SA"/>
              </w:rPr>
              <w:t>新建、改扩建一批城区（县城）幼儿园活动、生活、户外活动场所，实施中小学、幼儿园办学条件提升建设项目；建设义务教育和高中教学及辅助用房、学生宿舍、食堂、厕所、体育运动场等；实施完成义务教育中小学集中改厕项目建设；进一步完善叶城县教育基础设施建设，初步形成基础设施完备、硬件配备完善、软件配备到位的优质教育环境。</w:t>
            </w:r>
            <w:bookmarkEnd w:id="203"/>
            <w:bookmarkEnd w:id="204"/>
            <w:bookmarkEnd w:id="205"/>
          </w:p>
        </w:tc>
      </w:tr>
    </w:tbl>
    <w:p>
      <w:pPr>
        <w:pStyle w:val="18"/>
        <w:keepNext w:val="0"/>
        <w:keepLines w:val="0"/>
        <w:shd w:val="clear"/>
        <w:spacing w:beforeLines="50" w:afterLines="50"/>
        <w:rPr>
          <w:rFonts w:hint="eastAsia" w:ascii="Times New Roman" w:hAnsi="Times New Roman"/>
          <w:lang w:val="zh-CN" w:eastAsia="zh-CN"/>
        </w:rPr>
      </w:pPr>
      <w:bookmarkStart w:id="206" w:name="_Toc26679"/>
      <w:bookmarkStart w:id="207" w:name="_Toc9343"/>
      <w:bookmarkStart w:id="208" w:name="_Toc26939"/>
      <w:bookmarkStart w:id="209" w:name="_Toc432985844"/>
      <w:bookmarkStart w:id="210" w:name="_Toc12906"/>
      <w:r>
        <w:rPr>
          <w:rFonts w:hint="eastAsia" w:ascii="Times New Roman" w:hAnsi="Times New Roman"/>
          <w:lang w:val="zh-CN" w:eastAsia="zh-CN"/>
        </w:rPr>
        <w:t>第三节 增强</w:t>
      </w:r>
      <w:bookmarkStart w:id="211" w:name="_Toc432985848"/>
      <w:bookmarkStart w:id="212" w:name="_Toc11410"/>
      <w:r>
        <w:rPr>
          <w:rFonts w:hint="eastAsia" w:ascii="Times New Roman" w:hAnsi="Times New Roman"/>
          <w:lang w:val="zh-CN" w:eastAsia="zh-CN"/>
        </w:rPr>
        <w:t>医疗卫生服务能力</w:t>
      </w:r>
      <w:bookmarkEnd w:id="206"/>
      <w:bookmarkEnd w:id="207"/>
      <w:bookmarkEnd w:id="208"/>
    </w:p>
    <w:bookmarkEnd w:id="211"/>
    <w:bookmarkEnd w:id="212"/>
    <w:p>
      <w:pPr>
        <w:pStyle w:val="20"/>
        <w:keepNext w:val="0"/>
        <w:keepLines w:val="0"/>
        <w:pageBreakBefore w:val="0"/>
        <w:widowControl w:val="0"/>
        <w:shd w:val="clear"/>
        <w:kinsoku/>
        <w:wordWrap/>
        <w:overflowPunct/>
        <w:topLinePunct w:val="0"/>
        <w:autoSpaceDE/>
        <w:autoSpaceDN/>
        <w:bidi w:val="0"/>
        <w:adjustRightInd/>
        <w:snapToGrid/>
        <w:spacing w:line="560" w:lineRule="exact"/>
        <w:ind w:firstLine="600"/>
        <w:textAlignment w:val="auto"/>
        <w:rPr>
          <w:rFonts w:hint="eastAsia"/>
          <w:bCs/>
          <w:color w:val="auto"/>
          <w:sz w:val="30"/>
          <w:szCs w:val="30"/>
          <w:highlight w:val="none"/>
          <w:lang w:val="en-US" w:eastAsia="zh-CN"/>
        </w:rPr>
      </w:pPr>
      <w:r>
        <w:rPr>
          <w:rFonts w:hint="eastAsia"/>
          <w:bCs/>
          <w:color w:val="auto"/>
          <w:sz w:val="30"/>
          <w:szCs w:val="30"/>
          <w:highlight w:val="none"/>
          <w:lang w:val="en-US" w:eastAsia="zh-CN"/>
        </w:rPr>
        <w:t>坚持医疗惠民，以提高人民健康水平为核心，全面深化医药卫生体制改革，完善医疗卫生服务保障体系，努力提高全民健康水平，加快推进健康叶城建设。</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加强城乡医疗卫生服务体系建设。</w:t>
      </w:r>
      <w:r>
        <w:rPr>
          <w:rFonts w:hint="eastAsia" w:ascii="Times New Roman" w:hAnsi="Times New Roman" w:eastAsia="仿宋_GB2312" w:cs="Times New Roman"/>
          <w:bCs/>
          <w:color w:val="auto"/>
          <w:kern w:val="0"/>
          <w:sz w:val="30"/>
          <w:szCs w:val="30"/>
          <w:highlight w:val="none"/>
          <w:lang w:val="en-US" w:eastAsia="zh-CN" w:bidi="ar-SA"/>
        </w:rPr>
        <w:t>整合医疗卫生资源，从对口支援的986医院、上海市宝山</w:t>
      </w:r>
      <w:r>
        <w:rPr>
          <w:rFonts w:hint="eastAsia" w:eastAsia="仿宋_GB2312" w:cs="Times New Roman"/>
          <w:bCs/>
          <w:color w:val="auto"/>
          <w:kern w:val="0"/>
          <w:sz w:val="30"/>
          <w:szCs w:val="30"/>
          <w:highlight w:val="none"/>
          <w:lang w:val="en-US" w:eastAsia="zh-CN" w:bidi="ar-SA"/>
        </w:rPr>
        <w:t>区</w:t>
      </w:r>
      <w:r>
        <w:rPr>
          <w:rFonts w:hint="eastAsia" w:ascii="Times New Roman" w:hAnsi="Times New Roman" w:eastAsia="仿宋_GB2312" w:cs="Times New Roman"/>
          <w:bCs/>
          <w:color w:val="auto"/>
          <w:kern w:val="0"/>
          <w:sz w:val="30"/>
          <w:szCs w:val="30"/>
          <w:highlight w:val="none"/>
          <w:lang w:val="en-US" w:eastAsia="zh-CN" w:bidi="ar-SA"/>
        </w:rPr>
        <w:t>中西医结合医院、新疆医科大学肿瘤医院、石河子医院、地区二医院按照因病派人、精准派人的原则，提高本地医院科室诊疗水平，力争“十四五”期间</w:t>
      </w:r>
      <w:r>
        <w:rPr>
          <w:rFonts w:hint="eastAsia" w:eastAsia="仿宋_GB2312" w:cs="Times New Roman"/>
          <w:bCs/>
          <w:color w:val="auto"/>
          <w:kern w:val="0"/>
          <w:sz w:val="30"/>
          <w:szCs w:val="30"/>
          <w:highlight w:val="none"/>
          <w:lang w:val="en-US" w:eastAsia="zh-CN" w:bidi="ar-SA"/>
        </w:rPr>
        <w:t>，</w:t>
      </w:r>
      <w:r>
        <w:rPr>
          <w:rFonts w:hint="eastAsia" w:ascii="Times New Roman" w:hAnsi="Times New Roman" w:eastAsia="仿宋_GB2312" w:cs="Times New Roman"/>
          <w:bCs/>
          <w:color w:val="auto"/>
          <w:kern w:val="0"/>
          <w:sz w:val="30"/>
          <w:szCs w:val="30"/>
          <w:highlight w:val="none"/>
          <w:lang w:val="en-US" w:eastAsia="zh-CN" w:bidi="ar-SA"/>
        </w:rPr>
        <w:t>将转诊率控制在5%以内，力争到2025年</w:t>
      </w:r>
      <w:r>
        <w:rPr>
          <w:rFonts w:hint="eastAsia" w:eastAsia="仿宋_GB2312" w:cs="Times New Roman"/>
          <w:bCs/>
          <w:color w:val="auto"/>
          <w:kern w:val="0"/>
          <w:sz w:val="30"/>
          <w:szCs w:val="30"/>
          <w:highlight w:val="none"/>
          <w:lang w:val="en-US" w:eastAsia="zh-CN" w:bidi="ar-SA"/>
        </w:rPr>
        <w:t>末，</w:t>
      </w:r>
      <w:r>
        <w:rPr>
          <w:rFonts w:hint="eastAsia" w:ascii="Times New Roman" w:hAnsi="Times New Roman" w:eastAsia="仿宋_GB2312" w:cs="Times New Roman"/>
          <w:bCs/>
          <w:color w:val="auto"/>
          <w:kern w:val="0"/>
          <w:sz w:val="30"/>
          <w:szCs w:val="30"/>
          <w:highlight w:val="none"/>
          <w:lang w:val="en-US" w:eastAsia="zh-CN" w:bidi="ar-SA"/>
        </w:rPr>
        <w:t>救治率达到95%以上。建立以县人民医院为中心、覆盖各乡镇卫生院的120急救指挥中心。抓好名医、名院建设工作，促进人民医院升级三级医院，依提木孔乡卫生院升级二级医院。完成县域医供体建设，加快推进分级诊疗工作，使优质医疗资源有序有效下沉，形成基层首诊、双向转诊、急慢分治、上下联动的分级诊疗模式，进一步提升乡镇卫生院医疗卫生服务能力。形成县级医院带乡镇卫生院、乡镇卫生院带村卫生室的“师带徒”工作模式。促进中医民族医和中医理疗发展，重点打造20个乡镇卫生院的中医馆建设。积极探索和推行医养结合工作，整合民营医疗机构资源，把佳音医院打造成医疗康养为一体的专科医院。加强医疗卫生人才培养，每年至少选派100名医务人员外出培训。加快医疗卫生重点专科建设，打造4-5家知名专科医院。“十四五”期间</w:t>
      </w:r>
      <w:r>
        <w:rPr>
          <w:rFonts w:hint="eastAsia" w:eastAsia="仿宋_GB2312" w:cs="Times New Roman"/>
          <w:bCs/>
          <w:color w:val="auto"/>
          <w:kern w:val="0"/>
          <w:sz w:val="30"/>
          <w:szCs w:val="30"/>
          <w:highlight w:val="none"/>
          <w:lang w:val="en-US" w:eastAsia="zh-CN" w:bidi="ar-SA"/>
        </w:rPr>
        <w:t>，</w:t>
      </w:r>
      <w:r>
        <w:rPr>
          <w:rFonts w:hint="eastAsia" w:ascii="Times New Roman" w:hAnsi="Times New Roman" w:eastAsia="仿宋_GB2312" w:cs="Times New Roman"/>
          <w:bCs/>
          <w:color w:val="auto"/>
          <w:kern w:val="0"/>
          <w:sz w:val="30"/>
          <w:szCs w:val="30"/>
          <w:highlight w:val="none"/>
          <w:lang w:val="en-US" w:eastAsia="zh-CN" w:bidi="ar-SA"/>
        </w:rPr>
        <w:t>二级医院每个科室至少培养2-3名科室带头人，推行“全科医生工作室”和“名医工作室”4-5个，乡镇卫生院不少于2-3名全科医生，重点引进31个执业医师。大的乡镇保证3-5名全科医生，村卫生室保证735名村医全部实现医学学历。</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lang w:val="en-US" w:eastAsia="zh-CN"/>
        </w:rPr>
        <w:t>积极推进健康中国行动。</w:t>
      </w:r>
      <w:r>
        <w:rPr>
          <w:rFonts w:hint="eastAsia" w:eastAsia="仿宋_GB2312"/>
          <w:color w:val="auto"/>
          <w:sz w:val="30"/>
          <w:szCs w:val="30"/>
          <w:highlight w:val="none"/>
        </w:rPr>
        <w:t>扎实开展全民免费健康体检，加强慢性病综合防控。全面落实</w:t>
      </w:r>
      <w:r>
        <w:rPr>
          <w:rFonts w:hint="eastAsia" w:eastAsia="仿宋_GB2312"/>
          <w:color w:val="auto"/>
          <w:sz w:val="30"/>
          <w:szCs w:val="30"/>
          <w:highlight w:val="none"/>
          <w:lang w:val="en-US" w:eastAsia="zh-CN"/>
        </w:rPr>
        <w:t>优生优育</w:t>
      </w:r>
      <w:r>
        <w:rPr>
          <w:rFonts w:hint="eastAsia" w:eastAsia="仿宋_GB2312"/>
          <w:color w:val="auto"/>
          <w:sz w:val="30"/>
          <w:szCs w:val="30"/>
          <w:highlight w:val="none"/>
        </w:rPr>
        <w:t>惠民政策，建立规范的信息化管理制度。做好政策宣传工作，将新型生育文化纳入基层组织建设、精神文明建设、公民道德建设的重要内容。巩固好“三降一提高”和结核病、艾滋病等传染病防治成果，提高结核病等重点疾病筛查率和早诊早治率，确保“十四五”各类传染病发病率低于全国和地区平均水平，彻底消灭结核病。</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rPr>
        <w:t>加强公共卫生应急综合能力建设</w:t>
      </w:r>
      <w:r>
        <w:rPr>
          <w:rFonts w:hint="eastAsia" w:eastAsia="仿宋_GB2312"/>
          <w:b/>
          <w:color w:val="auto"/>
          <w:sz w:val="30"/>
          <w:szCs w:val="30"/>
          <w:highlight w:val="none"/>
          <w:lang w:eastAsia="zh-CN"/>
        </w:rPr>
        <w:t>。</w:t>
      </w:r>
      <w:r>
        <w:rPr>
          <w:rFonts w:hint="eastAsia" w:eastAsia="仿宋_GB2312"/>
          <w:color w:val="auto"/>
          <w:sz w:val="30"/>
          <w:szCs w:val="30"/>
          <w:highlight w:val="none"/>
        </w:rPr>
        <w:t>坚持“统一领导、分级负责、平战结合”的原则，强化卫生应急管理。建立健全县</w:t>
      </w:r>
      <w:r>
        <w:rPr>
          <w:rFonts w:hint="eastAsia" w:eastAsia="仿宋_GB2312"/>
          <w:color w:val="auto"/>
          <w:sz w:val="30"/>
          <w:szCs w:val="30"/>
          <w:highlight w:val="none"/>
          <w:lang w:eastAsia="zh-CN"/>
        </w:rPr>
        <w:t>级</w:t>
      </w:r>
      <w:r>
        <w:rPr>
          <w:rFonts w:hint="eastAsia" w:eastAsia="仿宋_GB2312"/>
          <w:color w:val="auto"/>
          <w:sz w:val="30"/>
          <w:szCs w:val="30"/>
          <w:highlight w:val="none"/>
        </w:rPr>
        <w:t>卫生应急体系。加大公共卫生应急基础设施建设力度，完善突发公共</w:t>
      </w:r>
      <w:r>
        <w:rPr>
          <w:rFonts w:hint="eastAsia" w:eastAsia="仿宋_GB2312"/>
          <w:color w:val="auto"/>
          <w:sz w:val="30"/>
          <w:szCs w:val="30"/>
          <w:highlight w:val="none"/>
          <w:lang w:val="en-US" w:eastAsia="zh-CN"/>
        </w:rPr>
        <w:t>卫生</w:t>
      </w:r>
      <w:r>
        <w:rPr>
          <w:rFonts w:hint="eastAsia" w:eastAsia="仿宋_GB2312"/>
          <w:color w:val="auto"/>
          <w:sz w:val="30"/>
          <w:szCs w:val="30"/>
          <w:highlight w:val="none"/>
        </w:rPr>
        <w:t>事件医疗卫生救援指挥中心建设，更好发挥卫生应急指挥部的作用。加快县、乡镇</w:t>
      </w:r>
      <w:r>
        <w:rPr>
          <w:rFonts w:hint="eastAsia" w:eastAsia="仿宋_GB2312"/>
          <w:color w:val="auto"/>
          <w:sz w:val="30"/>
          <w:szCs w:val="30"/>
          <w:highlight w:val="none"/>
          <w:lang w:eastAsia="zh-CN"/>
        </w:rPr>
        <w:t>两</w:t>
      </w:r>
      <w:r>
        <w:rPr>
          <w:rFonts w:hint="eastAsia" w:eastAsia="仿宋_GB2312"/>
          <w:color w:val="auto"/>
          <w:sz w:val="30"/>
          <w:szCs w:val="30"/>
          <w:highlight w:val="none"/>
        </w:rPr>
        <w:t>级急救中心（站）的改建和新设急救站点的建设，均要达到国家规定标准。完善卫生应急队伍建设，加强应急物资储备库建设，备齐常用应急物资。进一步提升卫生应急的整体性、协同性和机动性，及时、有效应对重大传染病和突发公共卫生事件。</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olor w:val="auto"/>
          <w:sz w:val="30"/>
          <w:szCs w:val="30"/>
          <w:highlight w:val="none"/>
        </w:rPr>
      </w:pPr>
      <w:r>
        <w:rPr>
          <w:rFonts w:hint="eastAsia" w:eastAsia="仿宋_GB2312"/>
          <w:b/>
          <w:bCs/>
          <w:color w:val="auto"/>
          <w:sz w:val="30"/>
          <w:szCs w:val="30"/>
          <w:highlight w:val="none"/>
        </w:rPr>
        <w:t>建立健全重大疫情防控卫生安全体制机制</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健全常态化疫情防控机制，强化医疗卫生物资储备，加强疫情防控国际合作，推动构建人类卫生健康共同体。改善完善疾病预防控制体系，坚决贯彻预防为主的卫生与健康工作方针，坚持常备不懈，将预防关口前移，避免小疾病酿成大疫。健全公共卫生服务体系，优化医疗卫生资源投入结构，加强农村、社区等基层防控能力建设。持续加强全科医生培养、分级诊疗等制度建设，推动公共卫生服务与医疗服务高效协同、无缝衔接，健全防治结合、联防联控、群防群治工作机制。强化风险意识，完善公共卫生重大风险研判、评估、决策、防控协同机制。加快科学规划建设传染病、重大疾病、地方病专科医院及应对重大传染性疾病大爆发的负压病房，提升传染病救治服务水平，切实提高在传染病救治时的应变能力、急诊急救能力、诊断能力和治疗能力。加强疫情监测和预警，</w:t>
      </w:r>
      <w:r>
        <w:rPr>
          <w:rFonts w:hint="eastAsia" w:eastAsia="仿宋_GB2312"/>
          <w:color w:val="auto"/>
          <w:sz w:val="30"/>
          <w:szCs w:val="30"/>
          <w:highlight w:val="none"/>
          <w:lang w:eastAsia="zh-CN"/>
        </w:rPr>
        <w:t>用好</w:t>
      </w:r>
      <w:r>
        <w:rPr>
          <w:rFonts w:hint="eastAsia" w:eastAsia="仿宋_GB2312"/>
          <w:color w:val="auto"/>
          <w:sz w:val="30"/>
          <w:szCs w:val="30"/>
          <w:highlight w:val="none"/>
        </w:rPr>
        <w:t>覆盖县</w:t>
      </w:r>
      <w:r>
        <w:rPr>
          <w:rFonts w:hint="eastAsia" w:eastAsia="仿宋_GB2312"/>
          <w:color w:val="auto"/>
          <w:sz w:val="30"/>
          <w:szCs w:val="30"/>
          <w:highlight w:val="none"/>
          <w:lang w:eastAsia="zh-CN"/>
        </w:rPr>
        <w:t>和</w:t>
      </w:r>
      <w:r>
        <w:rPr>
          <w:rFonts w:hint="eastAsia" w:eastAsia="仿宋_GB2312"/>
          <w:color w:val="auto"/>
          <w:sz w:val="30"/>
          <w:szCs w:val="30"/>
          <w:highlight w:val="none"/>
        </w:rPr>
        <w:t>乡镇、村（社区）的公共卫生信息网络，网上疫情直报率达到95%以上，实现突发公共卫生事件信息共享。</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2" w:firstLineChars="200"/>
        <w:textAlignment w:val="auto"/>
        <w:rPr>
          <w:rFonts w:hint="eastAsia" w:eastAsia="仿宋_GB2312"/>
          <w:color w:val="auto"/>
          <w:sz w:val="30"/>
          <w:szCs w:val="30"/>
          <w:highlight w:val="none"/>
          <w:lang w:eastAsia="zh-CN"/>
        </w:rPr>
      </w:pPr>
      <w:r>
        <w:rPr>
          <w:rFonts w:eastAsia="仿宋_GB2312"/>
          <w:b/>
          <w:color w:val="auto"/>
          <w:sz w:val="30"/>
          <w:szCs w:val="30"/>
          <w:highlight w:val="none"/>
        </w:rPr>
        <w:t>不断改善妇女儿童健康状况。</w:t>
      </w:r>
      <w:r>
        <w:rPr>
          <w:rFonts w:eastAsia="仿宋_GB2312"/>
          <w:color w:val="auto"/>
          <w:sz w:val="30"/>
          <w:szCs w:val="30"/>
          <w:highlight w:val="none"/>
        </w:rPr>
        <w:t>扩大农村妇女</w:t>
      </w:r>
      <w:r>
        <w:rPr>
          <w:rFonts w:hint="eastAsia" w:ascii="仿宋_GB2312" w:hAnsi="仿宋_GB2312" w:eastAsia="仿宋_GB2312" w:cs="仿宋_GB2312"/>
          <w:color w:val="auto"/>
          <w:sz w:val="30"/>
          <w:szCs w:val="30"/>
          <w:highlight w:val="none"/>
        </w:rPr>
        <w:t>“两癌”</w:t>
      </w:r>
      <w:r>
        <w:rPr>
          <w:rFonts w:eastAsia="仿宋_GB2312"/>
          <w:color w:val="auto"/>
          <w:sz w:val="30"/>
          <w:szCs w:val="30"/>
          <w:highlight w:val="none"/>
        </w:rPr>
        <w:t>检查覆盖面，将农村孕</w:t>
      </w:r>
      <w:r>
        <w:rPr>
          <w:rFonts w:hint="eastAsia" w:eastAsia="仿宋_GB2312"/>
          <w:color w:val="auto"/>
          <w:sz w:val="30"/>
          <w:szCs w:val="30"/>
          <w:highlight w:val="none"/>
        </w:rPr>
        <w:t>产</w:t>
      </w:r>
      <w:r>
        <w:rPr>
          <w:rFonts w:eastAsia="仿宋_GB2312"/>
          <w:color w:val="auto"/>
          <w:sz w:val="30"/>
          <w:szCs w:val="30"/>
          <w:highlight w:val="none"/>
        </w:rPr>
        <w:t>妇死亡率控制在</w:t>
      </w:r>
      <w:r>
        <w:rPr>
          <w:rFonts w:hint="eastAsia" w:eastAsia="仿宋_GB2312"/>
          <w:color w:val="auto"/>
          <w:sz w:val="30"/>
          <w:szCs w:val="30"/>
          <w:highlight w:val="none"/>
          <w:lang w:eastAsia="zh-CN"/>
        </w:rPr>
        <w:t>自治区平均水平以下</w:t>
      </w:r>
      <w:r>
        <w:rPr>
          <w:rFonts w:hint="eastAsia" w:eastAsia="仿宋_GB2312"/>
          <w:color w:val="auto"/>
          <w:sz w:val="30"/>
          <w:szCs w:val="30"/>
          <w:highlight w:val="none"/>
        </w:rPr>
        <w:t>，5</w:t>
      </w:r>
      <w:r>
        <w:rPr>
          <w:rFonts w:eastAsia="仿宋_GB2312"/>
          <w:color w:val="auto"/>
          <w:sz w:val="30"/>
          <w:szCs w:val="30"/>
          <w:highlight w:val="none"/>
        </w:rPr>
        <w:t>岁以下儿童死亡率控制在</w:t>
      </w:r>
      <w:r>
        <w:rPr>
          <w:rFonts w:hint="eastAsia" w:eastAsia="仿宋_GB2312"/>
          <w:color w:val="auto"/>
          <w:sz w:val="30"/>
          <w:szCs w:val="30"/>
          <w:highlight w:val="none"/>
          <w:lang w:eastAsia="zh-CN"/>
        </w:rPr>
        <w:t>自治区平均水平以下</w:t>
      </w:r>
      <w:r>
        <w:rPr>
          <w:rFonts w:hint="eastAsia" w:eastAsia="仿宋_GB2312"/>
          <w:color w:val="auto"/>
          <w:sz w:val="30"/>
          <w:szCs w:val="30"/>
          <w:highlight w:val="none"/>
        </w:rPr>
        <w:t>，</w:t>
      </w:r>
      <w:r>
        <w:rPr>
          <w:rFonts w:eastAsia="仿宋_GB2312"/>
          <w:color w:val="auto"/>
          <w:sz w:val="30"/>
          <w:szCs w:val="30"/>
          <w:highlight w:val="none"/>
        </w:rPr>
        <w:t>着力降低出生缺陷发生率。加大经费投入，补齐妇幼健康服务短板，着力提高妇幼健康服务能力和水平。</w:t>
      </w:r>
      <w:r>
        <w:rPr>
          <w:rFonts w:hint="eastAsia" w:eastAsia="仿宋_GB2312"/>
          <w:color w:val="auto"/>
          <w:sz w:val="30"/>
          <w:szCs w:val="30"/>
          <w:highlight w:val="none"/>
          <w:lang w:eastAsia="zh-CN"/>
        </w:rPr>
        <w:t>完善基层医疗机构、设备等基础配套，加强村级公共服务能力建设，提高服务水平，充分发挥村卫生室作用。</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8622"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专栏13：医疗卫生重点工程</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420"/>
              <w:jc w:val="left"/>
              <w:textAlignment w:val="auto"/>
              <w:rPr>
                <w:rFonts w:hint="eastAsia"/>
                <w:u w:val="none" w:color="auto"/>
                <w:lang w:val="en-US" w:eastAsia="zh-CN"/>
              </w:rPr>
            </w:pPr>
            <w:bookmarkStart w:id="213" w:name="_Toc7981"/>
            <w:bookmarkStart w:id="214" w:name="_Toc30345"/>
            <w:bookmarkStart w:id="215" w:name="_Toc26168"/>
            <w:r>
              <w:rPr>
                <w:rFonts w:hint="eastAsia" w:ascii="楷体" w:hAnsi="楷体" w:eastAsia="楷体" w:cs="楷体"/>
                <w:b w:val="0"/>
                <w:bCs w:val="0"/>
                <w:color w:val="auto"/>
                <w:kern w:val="0"/>
                <w:sz w:val="28"/>
                <w:szCs w:val="28"/>
                <w:highlight w:val="none"/>
                <w:lang w:val="en-US" w:eastAsia="zh-CN" w:bidi="ar-SA"/>
              </w:rPr>
              <w:t>健康叶城建设项目、疫情防控能力提升、医学观察点扩建、中医（维医）医院中药制药制备能力提升、中医（维医）医院提标扩能、突发公共卫生事件应急处置、疾病预防控制中心升级改造、人民医院建设提升改造、乡镇卫生院提升改造。</w:t>
            </w:r>
            <w:bookmarkEnd w:id="213"/>
            <w:bookmarkEnd w:id="214"/>
            <w:bookmarkEnd w:id="215"/>
          </w:p>
        </w:tc>
      </w:tr>
    </w:tbl>
    <w:p>
      <w:pPr>
        <w:pStyle w:val="18"/>
        <w:keepNext w:val="0"/>
        <w:keepLines w:val="0"/>
        <w:pageBreakBefore w:val="0"/>
        <w:widowControl w:val="0"/>
        <w:shd w:val="clear"/>
        <w:kinsoku/>
        <w:wordWrap/>
        <w:overflowPunct/>
        <w:topLinePunct w:val="0"/>
        <w:autoSpaceDE/>
        <w:autoSpaceDN/>
        <w:bidi w:val="0"/>
        <w:adjustRightInd/>
        <w:snapToGrid/>
        <w:spacing w:before="614" w:beforeLines="150" w:afterLines="50"/>
        <w:textAlignment w:val="auto"/>
        <w:rPr>
          <w:rFonts w:hint="eastAsia" w:ascii="Times New Roman" w:hAnsi="Times New Roman"/>
          <w:lang w:val="zh-CN" w:eastAsia="zh-CN"/>
        </w:rPr>
      </w:pPr>
      <w:bookmarkStart w:id="216" w:name="_Toc10128"/>
      <w:bookmarkStart w:id="217" w:name="_Toc31193"/>
      <w:r>
        <w:rPr>
          <w:rFonts w:hint="eastAsia" w:ascii="Times New Roman" w:hAnsi="Times New Roman"/>
          <w:lang w:val="zh-CN" w:eastAsia="zh-CN"/>
        </w:rPr>
        <w:t>第四节 提高住房保障</w:t>
      </w:r>
      <w:bookmarkEnd w:id="216"/>
      <w:bookmarkEnd w:id="217"/>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color w:val="auto"/>
          <w:kern w:val="0"/>
          <w:sz w:val="30"/>
          <w:szCs w:val="30"/>
          <w:highlight w:val="none"/>
          <w:lang w:val="zh-CN" w:eastAsia="zh-CN" w:bidi="ar-SA"/>
        </w:rPr>
      </w:pPr>
      <w:r>
        <w:rPr>
          <w:rFonts w:hint="eastAsia" w:ascii="Times New Roman" w:hAnsi="Times New Roman" w:eastAsia="仿宋_GB2312" w:cs="Times New Roman"/>
          <w:color w:val="auto"/>
          <w:kern w:val="0"/>
          <w:sz w:val="30"/>
          <w:szCs w:val="30"/>
          <w:highlight w:val="none"/>
          <w:lang w:val="zh-CN" w:eastAsia="zh-CN" w:bidi="ar-SA"/>
        </w:rPr>
        <w:t>按照“一村一规划，一户一方案”要求，因地制宜规划和推进安居富民工程建设，切实把安居富民与农</w:t>
      </w:r>
      <w:r>
        <w:rPr>
          <w:rFonts w:hint="eastAsia" w:eastAsia="仿宋_GB2312" w:cs="Times New Roman"/>
          <w:color w:val="auto"/>
          <w:kern w:val="0"/>
          <w:sz w:val="30"/>
          <w:szCs w:val="30"/>
          <w:highlight w:val="none"/>
          <w:lang w:val="en-US" w:eastAsia="zh-CN" w:bidi="ar-SA"/>
        </w:rPr>
        <w:t>牧</w:t>
      </w:r>
      <w:r>
        <w:rPr>
          <w:rFonts w:hint="eastAsia" w:ascii="Times New Roman" w:hAnsi="Times New Roman" w:eastAsia="仿宋_GB2312" w:cs="Times New Roman"/>
          <w:color w:val="auto"/>
          <w:kern w:val="0"/>
          <w:sz w:val="30"/>
          <w:szCs w:val="30"/>
          <w:highlight w:val="none"/>
          <w:lang w:val="zh-CN" w:eastAsia="zh-CN" w:bidi="ar-SA"/>
        </w:rPr>
        <w:t>民增收致富产业紧密结合起来，与新农村建设结合起来，促进城乡一体化，实现农牧民既安居又富民的目标。进一步完善工程配套基础设施建设，多渠道整合农村环境综合整治、改水改厕、乡村道路、电网升级改造、供排水、垃圾处理等项目资金，集中捆绑用于安居富民工程配套设施建设，满足各族群众生产生活实际需求。坚持把解决农村</w:t>
      </w:r>
      <w:r>
        <w:rPr>
          <w:rFonts w:hint="eastAsia" w:eastAsia="仿宋_GB2312" w:cs="Times New Roman"/>
          <w:color w:val="auto"/>
          <w:kern w:val="0"/>
          <w:sz w:val="30"/>
          <w:szCs w:val="30"/>
          <w:highlight w:val="none"/>
          <w:lang w:val="en-US" w:eastAsia="zh-CN" w:bidi="ar-SA"/>
        </w:rPr>
        <w:t>困难群体</w:t>
      </w:r>
      <w:r>
        <w:rPr>
          <w:rFonts w:hint="eastAsia" w:ascii="Times New Roman" w:hAnsi="Times New Roman" w:eastAsia="仿宋_GB2312" w:cs="Times New Roman"/>
          <w:color w:val="auto"/>
          <w:kern w:val="0"/>
          <w:sz w:val="30"/>
          <w:szCs w:val="30"/>
          <w:highlight w:val="none"/>
          <w:lang w:val="zh-CN" w:eastAsia="zh-CN" w:bidi="ar-SA"/>
        </w:rPr>
        <w:t>住房问题摆在更加突出位置，实施差别化资金补助政策，加大对农村</w:t>
      </w:r>
      <w:r>
        <w:rPr>
          <w:rFonts w:hint="eastAsia" w:eastAsia="仿宋_GB2312" w:cs="Times New Roman"/>
          <w:color w:val="auto"/>
          <w:kern w:val="0"/>
          <w:sz w:val="30"/>
          <w:szCs w:val="30"/>
          <w:highlight w:val="none"/>
          <w:lang w:val="en-US" w:eastAsia="zh-CN" w:bidi="ar-SA"/>
        </w:rPr>
        <w:t>困难群体</w:t>
      </w:r>
      <w:r>
        <w:rPr>
          <w:rFonts w:hint="eastAsia" w:ascii="Times New Roman" w:hAnsi="Times New Roman" w:eastAsia="仿宋_GB2312" w:cs="Times New Roman"/>
          <w:color w:val="auto"/>
          <w:kern w:val="0"/>
          <w:sz w:val="30"/>
          <w:szCs w:val="30"/>
          <w:highlight w:val="none"/>
          <w:lang w:val="zh-CN" w:eastAsia="zh-CN" w:bidi="ar-SA"/>
        </w:rPr>
        <w:t>建房支持力度。严格质量安全管理，健全落实安居富民工程质量责任追究制度。</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color w:val="auto"/>
          <w:kern w:val="0"/>
          <w:sz w:val="30"/>
          <w:szCs w:val="30"/>
          <w:highlight w:val="none"/>
          <w:lang w:val="zh-CN" w:eastAsia="zh-CN" w:bidi="ar-SA"/>
        </w:rPr>
      </w:pPr>
      <w:r>
        <w:rPr>
          <w:rFonts w:hint="eastAsia" w:ascii="Times New Roman" w:hAnsi="Times New Roman" w:eastAsia="仿宋_GB2312" w:cs="Times New Roman"/>
          <w:color w:val="auto"/>
          <w:kern w:val="0"/>
          <w:sz w:val="30"/>
          <w:szCs w:val="30"/>
          <w:highlight w:val="none"/>
          <w:lang w:val="zh-CN" w:eastAsia="zh-CN" w:bidi="ar-SA"/>
        </w:rPr>
        <w:t>坚持保基本、广覆盖，加强城镇保障性住房建设管理。优先解决符合条件的城镇中低收入家庭住房困难，完善建设方式，有序扩大保障性住房覆盖面。积极落实各方面建设资金，鼓励引导金融、社会资金参与保障性住房建设。加强配套基础设施建设，确保尽快形成有效供给。积极稳妥地推进住房分配货币化改革，建立住房分配货币化制度。坚持政府主导、多方参与，加快推进各类棚户区改造。鼓励居民购买自住型、改善型普通商品住房，完善已购保障性住房上市交易制度，促进房地产市场健康发展。加强信息化建设，提高住房保障监管能力。加快提升改造老旧小区。加快推进城镇老旧小区和棚户区改造，集中改造危旧住房，改善水电暖等基础配套设施，建设一批群众迫切需要的文化、体育、休闲设施。</w:t>
      </w:r>
    </w:p>
    <w:p>
      <w:pPr>
        <w:pStyle w:val="18"/>
        <w:keepNext w:val="0"/>
        <w:keepLines w:val="0"/>
        <w:shd w:val="clear"/>
        <w:spacing w:beforeLines="50" w:afterLines="50"/>
        <w:rPr>
          <w:rFonts w:hint="eastAsia" w:ascii="Times New Roman" w:hAnsi="Times New Roman"/>
          <w:lang w:val="zh-CN" w:eastAsia="zh-CN"/>
        </w:rPr>
      </w:pPr>
      <w:bookmarkStart w:id="218" w:name="_Toc3711"/>
      <w:bookmarkStart w:id="219" w:name="_Toc5661"/>
      <w:r>
        <w:rPr>
          <w:rFonts w:hint="eastAsia" w:ascii="Times New Roman" w:hAnsi="Times New Roman"/>
          <w:lang w:val="zh-CN" w:eastAsia="zh-CN"/>
        </w:rPr>
        <w:t>第五节</w:t>
      </w:r>
      <w:r>
        <w:rPr>
          <w:rFonts w:hint="eastAsia" w:ascii="Times New Roman" w:hAnsi="Times New Roman"/>
          <w:lang w:val="en-US" w:eastAsia="zh-CN"/>
        </w:rPr>
        <w:t xml:space="preserve"> </w:t>
      </w:r>
      <w:r>
        <w:rPr>
          <w:rFonts w:hint="eastAsia" w:ascii="Times New Roman" w:hAnsi="Times New Roman"/>
          <w:lang w:val="zh-CN" w:eastAsia="zh-CN"/>
        </w:rPr>
        <w:t>完善社会公共服务体系</w:t>
      </w:r>
      <w:bookmarkEnd w:id="218"/>
      <w:bookmarkEnd w:id="219"/>
    </w:p>
    <w:p>
      <w:pPr>
        <w:pStyle w:val="8"/>
        <w:keepNext w:val="0"/>
        <w:keepLines w:val="0"/>
        <w:pageBreakBefore w:val="0"/>
        <w:shd w:val="clear"/>
        <w:kinsoku/>
        <w:wordWrap/>
        <w:overflowPunct/>
        <w:topLinePunct w:val="0"/>
        <w:autoSpaceDE/>
        <w:autoSpaceDN/>
        <w:bidi w:val="0"/>
        <w:adjustRightInd/>
        <w:snapToGrid/>
        <w:spacing w:after="0" w:line="560" w:lineRule="exact"/>
        <w:ind w:left="0" w:leftChars="0" w:firstLine="600" w:firstLineChars="200"/>
        <w:textAlignment w:val="auto"/>
        <w:outlineLvl w:val="9"/>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坚持兜底线、织密网、建机制，加强城乡社会保障体系建设，全面建成覆盖全民、城乡统筹、权责清晰、保障适度、可持续的多层次社会保障体系。“十四五”期间，城镇职工基本养老保险实现法定人群全覆盖，参加城乡居民基本养老保险实现全覆盖。</w:t>
      </w:r>
    </w:p>
    <w:p>
      <w:pPr>
        <w:keepNext w:val="0"/>
        <w:keepLines w:val="0"/>
        <w:pageBreakBefore w:val="0"/>
        <w:shd w:val="clear"/>
        <w:kinsoku/>
        <w:wordWrap/>
        <w:topLinePunct/>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完善社会保障体系。</w:t>
      </w:r>
      <w:r>
        <w:rPr>
          <w:rFonts w:hint="eastAsia" w:eastAsia="仿宋_GB2312"/>
          <w:color w:val="auto"/>
          <w:sz w:val="30"/>
          <w:szCs w:val="30"/>
          <w:highlight w:val="none"/>
        </w:rPr>
        <w:t>实施全民参保计划，努力扩大社会保障覆盖范围，提升社会保险经办服务水平，逐步提高社会保险待遇水平，促进社会和谐稳定发展。完善职工养老保险个人账户制度，健全多缴多得激励机制。充分利用信息平台，精准推进参保工作，实现参保信息、享受社保政策、未参保情况的精细化管理。2025年，城乡居民社会养老保险参保率达到</w:t>
      </w:r>
      <w:r>
        <w:rPr>
          <w:rFonts w:hint="eastAsia" w:eastAsia="仿宋_GB2312"/>
          <w:color w:val="auto"/>
          <w:sz w:val="30"/>
          <w:szCs w:val="30"/>
          <w:highlight w:val="none"/>
          <w:lang w:val="en-US" w:eastAsia="zh-CN"/>
        </w:rPr>
        <w:t>100</w:t>
      </w:r>
      <w:r>
        <w:rPr>
          <w:rFonts w:hint="eastAsia" w:eastAsia="仿宋_GB2312"/>
          <w:color w:val="auto"/>
          <w:sz w:val="30"/>
          <w:szCs w:val="30"/>
          <w:highlight w:val="none"/>
        </w:rPr>
        <w:t>%、续保率达到100%、工伤保险达到4万人、失业保险达到1.5万人。机关事业单位职业年金制度更加完备。城乡社会保障卡实现参保职工和居民全覆盖。社会保障服务窗口建设和社保档案标准化建设日趋完善。</w:t>
      </w:r>
    </w:p>
    <w:p>
      <w:pPr>
        <w:keepNext w:val="0"/>
        <w:keepLines w:val="0"/>
        <w:pageBreakBefore w:val="0"/>
        <w:shd w:val="clear"/>
        <w:kinsoku/>
        <w:wordWrap/>
        <w:topLinePunct/>
        <w:autoSpaceDE/>
        <w:autoSpaceDN/>
        <w:bidi w:val="0"/>
        <w:spacing w:line="560" w:lineRule="exact"/>
        <w:ind w:firstLine="602" w:firstLineChars="200"/>
        <w:textAlignment w:val="auto"/>
        <w:rPr>
          <w:rFonts w:hint="eastAsia" w:ascii="Times New Roman" w:hAnsi="Times New Roman" w:eastAsia="仿宋_GB2312" w:cs="Times New Roman"/>
          <w:color w:val="auto"/>
          <w:sz w:val="30"/>
          <w:szCs w:val="30"/>
          <w:highlight w:val="none"/>
        </w:rPr>
      </w:pPr>
      <w:r>
        <w:rPr>
          <w:rFonts w:hint="eastAsia" w:eastAsia="仿宋_GB2312"/>
          <w:b/>
          <w:color w:val="auto"/>
          <w:sz w:val="30"/>
          <w:szCs w:val="30"/>
          <w:highlight w:val="none"/>
        </w:rPr>
        <w:t>完善医疗保障体系。</w:t>
      </w:r>
      <w:r>
        <w:rPr>
          <w:rFonts w:hint="eastAsia" w:eastAsia="仿宋_GB2312"/>
          <w:color w:val="auto"/>
          <w:sz w:val="30"/>
          <w:szCs w:val="30"/>
          <w:highlight w:val="none"/>
          <w:lang w:eastAsia="zh-CN"/>
        </w:rPr>
        <w:t>加快建立和完善以基本医疗保障为主体，进一步完善城乡居民大病医疗保险制度</w:t>
      </w:r>
      <w:r>
        <w:rPr>
          <w:rFonts w:hint="eastAsia" w:eastAsia="仿宋_GB2312"/>
          <w:color w:val="auto"/>
          <w:sz w:val="30"/>
          <w:szCs w:val="30"/>
          <w:highlight w:val="none"/>
        </w:rPr>
        <w:t>，</w:t>
      </w:r>
      <w:r>
        <w:rPr>
          <w:rFonts w:hint="eastAsia" w:ascii="Times New Roman" w:hAnsi="Times New Roman" w:eastAsia="仿宋_GB2312" w:cs="Times New Roman"/>
          <w:color w:val="auto"/>
          <w:sz w:val="30"/>
          <w:szCs w:val="30"/>
          <w:highlight w:val="none"/>
        </w:rPr>
        <w:t>其他多种形式医疗保险为补充的多层次医疗保障体系。</w:t>
      </w:r>
      <w:r>
        <w:rPr>
          <w:rFonts w:hint="eastAsia" w:ascii="Times New Roman" w:hAnsi="Times New Roman" w:eastAsia="仿宋_GB2312" w:cs="Times New Roman"/>
          <w:color w:val="auto"/>
          <w:sz w:val="30"/>
          <w:szCs w:val="30"/>
          <w:highlight w:val="none"/>
          <w:lang w:val="en-US" w:eastAsia="zh-CN"/>
        </w:rPr>
        <w:t>深入实施全民参保计划。重点做好困难群体、在校学生、新增或流动人口的参保扩面和登记服务工作，到2025年，实现城乡居民医疗保险参保全覆盖，参保率稳定在99%以上；稳步提高保障待遇，职工医保、居民医保政策范围内住院医疗费用基金支付比例分别稳定在85%、70%左右，大病保险政策范围内最低报销比例稳定在65%以上。做优基本医疗救助。巩固深化医保精准扶</w:t>
      </w:r>
      <w:r>
        <w:rPr>
          <w:rFonts w:hint="eastAsia" w:eastAsia="仿宋_GB2312" w:cs="Times New Roman"/>
          <w:color w:val="auto"/>
          <w:sz w:val="30"/>
          <w:szCs w:val="30"/>
          <w:highlight w:val="none"/>
          <w:lang w:val="en-US" w:eastAsia="zh-CN"/>
        </w:rPr>
        <w:t>持</w:t>
      </w:r>
      <w:r>
        <w:rPr>
          <w:rFonts w:hint="eastAsia" w:ascii="Times New Roman" w:hAnsi="Times New Roman" w:eastAsia="仿宋_GB2312" w:cs="Times New Roman"/>
          <w:color w:val="auto"/>
          <w:sz w:val="30"/>
          <w:szCs w:val="30"/>
          <w:highlight w:val="none"/>
          <w:lang w:val="en-US" w:eastAsia="zh-CN"/>
        </w:rPr>
        <w:t>，全面落实困难人员参保资助和优惠保障政策，建立完善信息实时对接和“一站式”即时结报制度；全面落实医疗救助地区统筹，优化因病支出型救助经办模式，不断增强医疗救助托底保障功能。做精长期照护保险。“十四五”时期</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启动并完善长期照护保险，规范长期照护保险全流程服务标准化。做大商业补充保险。加快探索发展商业健康保险等补充保险，构建多层次医疗保障体系，满足不同人群健康需求。</w:t>
      </w:r>
      <w:r>
        <w:rPr>
          <w:rFonts w:hint="eastAsia" w:ascii="Times New Roman" w:hAnsi="Times New Roman" w:eastAsia="仿宋_GB2312" w:cs="Times New Roman"/>
          <w:color w:val="auto"/>
          <w:sz w:val="30"/>
          <w:szCs w:val="30"/>
          <w:highlight w:val="none"/>
        </w:rPr>
        <w:t>建立异地就医结算机制，发挥医保控费作用，有效减轻群众大病医疗费用负担。</w:t>
      </w:r>
      <w:r>
        <w:rPr>
          <w:rFonts w:hint="eastAsia" w:ascii="Times New Roman" w:hAnsi="Times New Roman" w:eastAsia="仿宋_GB2312" w:cs="Times New Roman"/>
          <w:color w:val="auto"/>
          <w:sz w:val="30"/>
          <w:szCs w:val="30"/>
          <w:highlight w:val="none"/>
          <w:lang w:val="en-US" w:eastAsia="zh-CN"/>
        </w:rPr>
        <w:t>规范和加强医疗保险基金管理，确保医保基金安全可持续运行。</w:t>
      </w:r>
    </w:p>
    <w:p>
      <w:pPr>
        <w:keepNext w:val="0"/>
        <w:keepLines w:val="0"/>
        <w:pageBreakBefore w:val="0"/>
        <w:shd w:val="clear"/>
        <w:kinsoku/>
        <w:wordWrap/>
        <w:topLinePunct/>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统筹社会救助体系。</w:t>
      </w:r>
      <w:r>
        <w:rPr>
          <w:rFonts w:hint="eastAsia" w:eastAsia="仿宋_GB2312"/>
          <w:color w:val="auto"/>
          <w:sz w:val="30"/>
          <w:szCs w:val="30"/>
          <w:highlight w:val="none"/>
        </w:rPr>
        <w:t>提升社会救助水平，全面落实社会救助工作责任制和责任追究制度，加大重特大疾病医疗救助和临时救助的力度，完善低保标准与物价上涨挂钩的联动机制，重点保障好困难群众。为集中供养特困老人提供必要的设施和条件，丰富他们的精神文化需求。完善城乡低保救助体系。建立健全各级社会救助工作领导小组及工作机构。完善城乡低保制度，全面推进低保规范化、精细化、动态化管理，实现动态管理下的应保尽保、应退进退，坚决守住困难群体民生底线。加大精准救助，用好用活民政惠民资金，进一步提高“双集中”管理服务水平和流浪乞讨人员救助工作力度。完善和落实孤儿保障制度，不断规范弃婴收养行为。</w:t>
      </w:r>
    </w:p>
    <w:p>
      <w:pPr>
        <w:keepNext w:val="0"/>
        <w:keepLines w:val="0"/>
        <w:pageBreakBefore w:val="0"/>
        <w:shd w:val="clear"/>
        <w:kinsoku/>
        <w:wordWrap/>
        <w:topLinePunct/>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完善困难群体保障机制。</w:t>
      </w:r>
      <w:r>
        <w:rPr>
          <w:rFonts w:hint="eastAsia" w:eastAsia="仿宋_GB2312"/>
          <w:color w:val="auto"/>
          <w:sz w:val="30"/>
          <w:szCs w:val="30"/>
          <w:highlight w:val="none"/>
        </w:rPr>
        <w:t>健全农村留守儿童和妇女关爱服务体系，确保困难群众基本生活。做好脱贫攻坚后困难群众后续救助保障工作，继续落实好困难残疾人生活补贴制度和重度残疾人护理补贴制度。继续做好残疾儿童康复救助，积极推进全县残疾人精准康复服务工作，到2025年，全县有需求的残疾儿童和持证残疾人接受基本康复比例达80%以上。继续实施好残疾人使用技能培训、残疾青壮年文盲扫盲工作。加强残疾人教育引导和残疾人证核发管理。加快叶城县残疾人综合服务设施项目建设。</w:t>
      </w:r>
    </w:p>
    <w:bookmarkEnd w:id="209"/>
    <w:bookmarkEnd w:id="210"/>
    <w:p>
      <w:pPr>
        <w:keepNext w:val="0"/>
        <w:keepLines w:val="0"/>
        <w:pageBreakBefore w:val="0"/>
        <w:shd w:val="clear"/>
        <w:kinsoku/>
        <w:wordWrap/>
        <w:topLinePunct/>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健全退伍军人服务保障体系。</w:t>
      </w:r>
      <w:r>
        <w:rPr>
          <w:rFonts w:hint="eastAsia" w:eastAsia="仿宋_GB2312"/>
          <w:color w:val="auto"/>
          <w:sz w:val="30"/>
          <w:szCs w:val="30"/>
          <w:highlight w:val="none"/>
        </w:rPr>
        <w:t>发挥“一中心两站”作用，建立退役军人就业创业扶持、信访首办、关爱帮扶、走访慰问等管理机制，</w:t>
      </w:r>
      <w:r>
        <w:rPr>
          <w:rFonts w:hint="eastAsia" w:eastAsia="仿宋_GB2312"/>
          <w:color w:val="auto"/>
          <w:sz w:val="30"/>
          <w:szCs w:val="30"/>
          <w:highlight w:val="none"/>
          <w:lang w:eastAsia="zh-CN"/>
        </w:rPr>
        <w:t>坚持和发展新时代“枫桥经验”，畅通和规范群众表达诉求和利益协调权益保障畅通。实施好烈士陵园提标改造项目。</w:t>
      </w:r>
      <w:r>
        <w:rPr>
          <w:rFonts w:hint="eastAsia" w:eastAsia="仿宋_GB2312"/>
          <w:color w:val="auto"/>
          <w:sz w:val="30"/>
          <w:szCs w:val="30"/>
          <w:highlight w:val="none"/>
        </w:rPr>
        <w:t>推动退役军人工作制度化、规范化。着力加强退役军人思想政治和权益维护，探索建立退役军人党组织体系。优化退役军人安置体系，建立军转干部“阳光安置”机制。围绕退役军人数据安全体系、退役军人事务大数据应用平台、“智慧+”退役军人服务平台和退役军人事务综合协同管理平台等平台建设，加快提升退役军人事务信息化水平。</w:t>
      </w:r>
    </w:p>
    <w:p>
      <w:pPr>
        <w:keepNext w:val="0"/>
        <w:keepLines w:val="0"/>
        <w:pageBreakBefore w:val="0"/>
        <w:shd w:val="clear"/>
        <w:kinsoku/>
        <w:wordWrap/>
        <w:topLinePunct/>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大力发展慈善事业。</w:t>
      </w:r>
      <w:r>
        <w:rPr>
          <w:rFonts w:hint="eastAsia" w:eastAsia="仿宋_GB2312"/>
          <w:color w:val="auto"/>
          <w:sz w:val="30"/>
          <w:szCs w:val="30"/>
          <w:highlight w:val="none"/>
        </w:rPr>
        <w:t>动员社会力量积极参与慈善与公益事业。稳妥做好慈善组织认定、慈善组织公开募捐资格认定工作，加强慈善组织活动的监管，促进慈善事业健康发展。加强福利彩票公益金的使用、管理和监管力度，提高使用质量和效益，切实发挥公益慈善助力民生保障的作用。</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加快完善社会事务管理。</w:t>
      </w:r>
      <w:r>
        <w:rPr>
          <w:rFonts w:hint="eastAsia" w:eastAsia="仿宋_GB2312"/>
          <w:color w:val="auto"/>
          <w:sz w:val="30"/>
          <w:szCs w:val="30"/>
          <w:highlight w:val="none"/>
        </w:rPr>
        <w:t>推进建立统一规范的社区工作标准体系和评估制度。出台推进城乡社区治理创新、加强基层政权建设等政策制度，建立社区公共服务准入制度和社区协助服务事项。充分发挥社会组织的协调管理和行业自律作用，社会事务管理更趋完善。积极做好撤县设市工作。</w:t>
      </w:r>
      <w:r>
        <w:rPr>
          <w:rFonts w:hint="eastAsia" w:eastAsia="仿宋_GB2312"/>
          <w:color w:val="auto"/>
          <w:sz w:val="30"/>
          <w:szCs w:val="30"/>
          <w:highlight w:val="none"/>
          <w:lang w:eastAsia="zh-CN"/>
        </w:rPr>
        <w:t>积极</w:t>
      </w:r>
      <w:r>
        <w:rPr>
          <w:rFonts w:hint="eastAsia" w:eastAsia="仿宋_GB2312"/>
          <w:color w:val="auto"/>
          <w:sz w:val="30"/>
          <w:szCs w:val="30"/>
          <w:highlight w:val="none"/>
        </w:rPr>
        <w:t>与上级民政部门对接，力争完成10个乡的撤乡设镇和恰其库木管理区新设镇工作</w:t>
      </w:r>
      <w:r>
        <w:rPr>
          <w:rFonts w:hint="eastAsia" w:eastAsia="仿宋_GB2312"/>
          <w:color w:val="auto"/>
          <w:sz w:val="30"/>
          <w:szCs w:val="30"/>
          <w:highlight w:val="none"/>
          <w:lang w:eastAsia="zh-CN"/>
        </w:rPr>
        <w:t>及</w:t>
      </w:r>
      <w:r>
        <w:rPr>
          <w:rFonts w:hint="eastAsia" w:eastAsia="仿宋_GB2312"/>
          <w:color w:val="auto"/>
          <w:sz w:val="30"/>
          <w:szCs w:val="30"/>
          <w:highlight w:val="none"/>
        </w:rPr>
        <w:t>东城、南城、西城、中城街道办事处设立工作。继续推进婚姻登记规范化建设，依法开展收养登记工作。健全基本殡葬服务体系，提高惠民殡葬政策的覆盖面。</w:t>
      </w:r>
    </w:p>
    <w:p>
      <w:pPr>
        <w:keepNext w:val="0"/>
        <w:keepLines w:val="0"/>
        <w:pageBreakBefore w:val="0"/>
        <w:widowControl w:val="0"/>
        <w:shd w:val="clear"/>
        <w:kinsoku/>
        <w:wordWrap/>
        <w:overflowPunct/>
        <w:topLinePunct w:val="0"/>
        <w:autoSpaceDE/>
        <w:autoSpaceDN/>
        <w:bidi w:val="0"/>
        <w:adjustRightInd/>
        <w:snapToGrid/>
        <w:spacing w:after="410" w:afterLines="100" w:line="560" w:lineRule="exact"/>
        <w:ind w:firstLine="602" w:firstLineChars="200"/>
        <w:textAlignment w:val="auto"/>
        <w:rPr>
          <w:rFonts w:hint="eastAsia" w:eastAsia="仿宋_GB2312"/>
          <w:color w:val="auto"/>
          <w:sz w:val="30"/>
          <w:szCs w:val="30"/>
          <w:highlight w:val="none"/>
        </w:rPr>
      </w:pPr>
      <w:r>
        <w:rPr>
          <w:rFonts w:hint="eastAsia" w:eastAsia="仿宋_GB2312"/>
          <w:b/>
          <w:color w:val="auto"/>
          <w:sz w:val="30"/>
          <w:szCs w:val="30"/>
          <w:highlight w:val="none"/>
        </w:rPr>
        <w:t>促进人口均衡发展。</w:t>
      </w:r>
      <w:r>
        <w:rPr>
          <w:rFonts w:hint="eastAsia" w:eastAsia="仿宋_GB2312"/>
          <w:color w:val="auto"/>
          <w:sz w:val="30"/>
          <w:szCs w:val="30"/>
          <w:highlight w:val="none"/>
        </w:rPr>
        <w:t>推进人口总量平稳发展，“十四五”末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人口总量控制在58万人以内，年均人口自然增长率控制在4‰以内，年均人口出生率控制在9‰以内。提高人口素质，持续开展免费孕前优生健康检查，努力减少出生缺陷的发生</w:t>
      </w:r>
      <w:r>
        <w:rPr>
          <w:rFonts w:hint="eastAsia" w:eastAsia="仿宋_GB2312"/>
          <w:color w:val="auto"/>
          <w:sz w:val="30"/>
          <w:szCs w:val="30"/>
          <w:highlight w:val="none"/>
          <w:lang w:eastAsia="zh-CN"/>
        </w:rPr>
        <w:t>，</w:t>
      </w:r>
      <w:r>
        <w:rPr>
          <w:rFonts w:hint="eastAsia" w:eastAsia="仿宋_GB2312"/>
          <w:color w:val="auto"/>
          <w:sz w:val="30"/>
          <w:szCs w:val="30"/>
          <w:highlight w:val="none"/>
        </w:rPr>
        <w:t>孕检率达到100%。深化宣传教育活动，促进形成新型婚育观念和生育文化</w:t>
      </w:r>
      <w:r>
        <w:rPr>
          <w:rFonts w:hint="eastAsia" w:eastAsia="仿宋_GB2312"/>
          <w:color w:val="auto"/>
          <w:sz w:val="30"/>
          <w:szCs w:val="30"/>
          <w:highlight w:val="none"/>
          <w:lang w:eastAsia="zh-CN"/>
        </w:rPr>
        <w:t>。</w:t>
      </w:r>
      <w:r>
        <w:rPr>
          <w:rFonts w:hint="eastAsia" w:eastAsia="仿宋_GB2312"/>
          <w:color w:val="auto"/>
          <w:sz w:val="30"/>
          <w:szCs w:val="30"/>
          <w:highlight w:val="none"/>
        </w:rPr>
        <w:t>广泛开展青春期卫生健康教育、“人口知识进校园活动”。转变服务理念，提升技术服务水平。提高信息化管理水平，实现与卫生健康部门等的信息共享，提高人口统计工作的准确率。</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vAlign w:val="top"/>
          </w:tcPr>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专栏14：社会服务兜底保障重点工程</w:t>
            </w:r>
          </w:p>
          <w:p>
            <w:pPr>
              <w:pStyle w:val="2"/>
              <w:keepNext/>
              <w:keepLines/>
              <w:pageBreakBefore w:val="0"/>
              <w:widowControl w:val="0"/>
              <w:shd w:val="clear"/>
              <w:kinsoku/>
              <w:wordWrap/>
              <w:overflowPunct/>
              <w:topLinePunct w:val="0"/>
              <w:autoSpaceDE/>
              <w:autoSpaceDN/>
              <w:bidi w:val="0"/>
              <w:adjustRightInd/>
              <w:snapToGrid/>
              <w:spacing w:before="0" w:after="0" w:line="500" w:lineRule="exact"/>
              <w:ind w:firstLine="560" w:firstLineChars="200"/>
              <w:jc w:val="left"/>
              <w:textAlignment w:val="auto"/>
              <w:rPr>
                <w:rFonts w:hint="eastAsia"/>
                <w:color w:val="auto"/>
                <w:highlight w:val="none"/>
                <w:u w:val="none" w:color="auto"/>
                <w:lang w:val="en-US" w:eastAsia="zh-CN"/>
              </w:rPr>
            </w:pPr>
            <w:bookmarkStart w:id="220" w:name="_Toc27714"/>
            <w:bookmarkStart w:id="221" w:name="_Toc28375"/>
            <w:bookmarkStart w:id="222" w:name="_Toc31663"/>
            <w:r>
              <w:rPr>
                <w:rFonts w:hint="eastAsia" w:ascii="楷体" w:hAnsi="楷体" w:eastAsia="楷体" w:cs="楷体"/>
                <w:b w:val="0"/>
                <w:bCs w:val="0"/>
                <w:color w:val="auto"/>
                <w:kern w:val="0"/>
                <w:sz w:val="28"/>
                <w:szCs w:val="28"/>
                <w:highlight w:val="none"/>
                <w:lang w:val="en-US" w:eastAsia="zh-CN" w:bidi="ar-SA"/>
              </w:rPr>
              <w:t>推进改扩建县残疾人托养中心、残疾人康复中心建设；实施医养结合养老中心、未成年人保护中心、殡葬服务中心、老年养护院、新生儿示范性托育中心、烈士纪念公共服务设施等项目</w:t>
            </w:r>
            <w:bookmarkEnd w:id="220"/>
            <w:bookmarkEnd w:id="221"/>
            <w:bookmarkEnd w:id="222"/>
            <w:r>
              <w:rPr>
                <w:rFonts w:hint="eastAsia" w:ascii="楷体" w:hAnsi="楷体" w:eastAsia="楷体" w:cs="楷体"/>
                <w:b w:val="0"/>
                <w:bCs w:val="0"/>
                <w:color w:val="auto"/>
                <w:kern w:val="0"/>
                <w:sz w:val="28"/>
                <w:szCs w:val="28"/>
                <w:highlight w:val="none"/>
                <w:lang w:val="en-US" w:eastAsia="zh-CN" w:bidi="ar-SA"/>
              </w:rPr>
              <w:t>。</w:t>
            </w:r>
          </w:p>
        </w:tc>
      </w:tr>
    </w:tbl>
    <w:p>
      <w:pPr>
        <w:pStyle w:val="3"/>
        <w:keepNext w:val="0"/>
        <w:keepLines w:val="0"/>
        <w:pageBreakBefore w:val="0"/>
        <w:widowControl w:val="0"/>
        <w:shd w:val="clear"/>
        <w:kinsoku/>
        <w:wordWrap/>
        <w:overflowPunct/>
        <w:topLinePunct w:val="0"/>
        <w:autoSpaceDE/>
        <w:autoSpaceDN/>
        <w:bidi w:val="0"/>
        <w:adjustRightInd/>
        <w:snapToGrid/>
        <w:spacing w:before="410" w:beforeLines="100" w:after="410" w:afterLines="100" w:line="560" w:lineRule="exact"/>
        <w:jc w:val="center"/>
        <w:textAlignment w:val="auto"/>
        <w:rPr>
          <w:rFonts w:hint="eastAsia" w:ascii="Times New Roman" w:hAnsi="Times New Roman" w:eastAsia="黑体" w:cs="Times New Roman"/>
          <w:b w:val="0"/>
          <w:bCs w:val="0"/>
          <w:color w:val="auto"/>
          <w:sz w:val="30"/>
          <w:szCs w:val="30"/>
          <w:highlight w:val="none"/>
          <w:lang w:val="zh-CN" w:eastAsia="zh-CN"/>
        </w:rPr>
      </w:pPr>
      <w:bookmarkStart w:id="223" w:name="_Toc7759"/>
      <w:bookmarkStart w:id="224" w:name="_Toc7742"/>
      <w:r>
        <w:rPr>
          <w:rFonts w:hint="eastAsia" w:ascii="Times New Roman" w:hAnsi="Times New Roman" w:eastAsia="黑体" w:cs="Times New Roman"/>
          <w:b w:val="0"/>
          <w:bCs w:val="0"/>
          <w:color w:val="auto"/>
          <w:sz w:val="30"/>
          <w:szCs w:val="30"/>
          <w:highlight w:val="none"/>
          <w:lang w:val="en-US" w:eastAsia="zh-CN"/>
        </w:rPr>
        <w:t>第十</w:t>
      </w:r>
      <w:r>
        <w:rPr>
          <w:rFonts w:hint="eastAsia" w:eastAsia="黑体" w:cs="Times New Roman"/>
          <w:b w:val="0"/>
          <w:bCs w:val="0"/>
          <w:color w:val="auto"/>
          <w:sz w:val="30"/>
          <w:szCs w:val="30"/>
          <w:highlight w:val="none"/>
          <w:lang w:val="en-US" w:eastAsia="zh-CN"/>
        </w:rPr>
        <w:t>一</w:t>
      </w:r>
      <w:r>
        <w:rPr>
          <w:rFonts w:hint="eastAsia" w:ascii="Times New Roman" w:hAnsi="Times New Roman" w:eastAsia="黑体" w:cs="Times New Roman"/>
          <w:b w:val="0"/>
          <w:bCs w:val="0"/>
          <w:color w:val="auto"/>
          <w:sz w:val="30"/>
          <w:szCs w:val="30"/>
          <w:highlight w:val="none"/>
          <w:lang w:val="en-US" w:eastAsia="zh-CN"/>
        </w:rPr>
        <w:t xml:space="preserve">章 </w:t>
      </w:r>
      <w:bookmarkEnd w:id="223"/>
      <w:r>
        <w:rPr>
          <w:rFonts w:hint="eastAsia" w:ascii="Times New Roman" w:hAnsi="Times New Roman" w:eastAsia="黑体" w:cs="Times New Roman"/>
          <w:b w:val="0"/>
          <w:bCs w:val="0"/>
          <w:color w:val="auto"/>
          <w:sz w:val="30"/>
          <w:szCs w:val="30"/>
          <w:highlight w:val="none"/>
          <w:lang w:val="en-US" w:eastAsia="zh-CN"/>
        </w:rPr>
        <w:t>推进文化润疆，筑牢共同团结奋斗的思想基础</w:t>
      </w:r>
      <w:bookmarkEnd w:id="22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00" w:firstLineChars="200"/>
        <w:jc w:val="both"/>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坚持社会主义核心价值观，推动文化事业和文化产业繁荣发展。绕举旗帜、聚民心、育新人、兴文化、展形象的使命任务，坚持为人民服务、为社会主义服务的方向，坚持百花齐放、百家争鸣的方针，坚持创造性转化、创新性发展，完善现代文化产业体系和市场体系，提升叶城文化软实力和社会文明程度。</w:t>
      </w:r>
    </w:p>
    <w:p>
      <w:pPr>
        <w:pStyle w:val="18"/>
        <w:keepNext w:val="0"/>
        <w:keepLines w:val="0"/>
        <w:shd w:val="clear"/>
        <w:spacing w:beforeLines="50" w:afterLines="50"/>
        <w:rPr>
          <w:rFonts w:hint="eastAsia" w:ascii="Times New Roman" w:hAnsi="Times New Roman"/>
          <w:lang w:val="en-US" w:eastAsia="zh-CN"/>
        </w:rPr>
      </w:pPr>
      <w:bookmarkStart w:id="225" w:name="_Toc14984"/>
      <w:bookmarkStart w:id="226" w:name="_Toc8838"/>
      <w:bookmarkStart w:id="227" w:name="_Toc29980"/>
      <w:r>
        <w:rPr>
          <w:rFonts w:hint="eastAsia" w:ascii="Times New Roman" w:hAnsi="Times New Roman"/>
          <w:lang w:val="en-US" w:eastAsia="zh-CN"/>
        </w:rPr>
        <w:t>第一节 深入实施文化润疆工程</w:t>
      </w:r>
      <w:bookmarkEnd w:id="225"/>
      <w:bookmarkEnd w:id="226"/>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sz w:val="30"/>
          <w:szCs w:val="30"/>
          <w:highlight w:val="none"/>
        </w:rPr>
      </w:pPr>
      <w:r>
        <w:rPr>
          <w:rFonts w:hint="eastAsia" w:eastAsia="仿宋_GB2312"/>
          <w:color w:val="auto"/>
          <w:sz w:val="30"/>
          <w:szCs w:val="30"/>
          <w:highlight w:val="none"/>
        </w:rPr>
        <w:t>坚持用习近平新时代中国特色社会主义思想武装头脑，凝聚共识，引导各族群众增强“四个意识”，坚定“四个自信”，</w:t>
      </w:r>
      <w:r>
        <w:rPr>
          <w:rFonts w:hint="eastAsia" w:eastAsia="仿宋_GB2312"/>
          <w:color w:val="auto"/>
          <w:sz w:val="30"/>
          <w:szCs w:val="30"/>
          <w:highlight w:val="none"/>
          <w:lang w:val="en-US" w:eastAsia="zh-CN"/>
        </w:rPr>
        <w:t>做到</w:t>
      </w:r>
      <w:r>
        <w:rPr>
          <w:rFonts w:hint="eastAsia" w:eastAsia="仿宋_GB2312"/>
          <w:color w:val="auto"/>
          <w:sz w:val="30"/>
          <w:szCs w:val="30"/>
          <w:highlight w:val="none"/>
        </w:rPr>
        <w:t>“两个维护”。围绕贯通中华文化血脉、融入现代文明、彰显中华优秀传统文化和社会主义核心价值观，谋划落实文化润疆项目，推动中华优秀传统文化融入节日纪念日，建设一批具有中华文化特征和中华民族视觉形象的重点工程。深入贯彻落实关于新疆若干历史问题研究座谈纪要精神，教育引导全县各族人民树立正确的国家观、历史观、民族观、文化观、宗教观，推动学习贯彻习近平新时代中国特色社会主义思想常态化制度化。加强党史、新中国史、改革开放史、社会主义发展史教育，加强爱国主义、集体主义、社会主义教育。</w:t>
      </w:r>
      <w:r>
        <w:rPr>
          <w:rFonts w:hint="eastAsia" w:ascii="Times New Roman" w:hAnsi="Times New Roman" w:eastAsia="仿宋_GB2312" w:cs="Times New Roman"/>
          <w:color w:val="auto"/>
          <w:sz w:val="30"/>
          <w:szCs w:val="30"/>
          <w:highlight w:val="none"/>
        </w:rPr>
        <w:t>坚持以社会主义核心价值观引领文化建设，形成适应新时代要求的思想观念、精神风貌、文明风尚、行为规范</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加强公民道德建设，实施文明创建工程，推进中华优秀传统文化传承发展工程</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加强家庭、家教、家风建设</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开展以劳动创造幸福为主题的宣传教育，弘扬劳模精神、劳动精神深化群众性精神文明创建活动，大力推进移风易俗，提高全社会文明程度。加强新时代文明实践中心和融媒体中心建设，建立完善文明实践中心、所、站、点四级联动机制。实施文艺产品质量提升工程，打造一批文艺精品，培育一批知名文化企业。</w:t>
      </w:r>
      <w:r>
        <w:rPr>
          <w:rFonts w:hint="eastAsia" w:eastAsia="仿宋_GB2312"/>
          <w:color w:val="auto"/>
          <w:sz w:val="30"/>
          <w:szCs w:val="30"/>
          <w:highlight w:val="none"/>
        </w:rPr>
        <w:t>实施县融媒体中心改造升级工程，提升县融媒体中心功能配套</w:t>
      </w:r>
      <w:r>
        <w:rPr>
          <w:rFonts w:hint="eastAsia" w:eastAsia="仿宋_GB2312"/>
          <w:color w:val="auto"/>
          <w:sz w:val="30"/>
          <w:szCs w:val="30"/>
          <w:highlight w:val="none"/>
          <w:lang w:eastAsia="zh-CN"/>
        </w:rPr>
        <w:t>，</w:t>
      </w:r>
      <w:r>
        <w:rPr>
          <w:rFonts w:hint="eastAsia" w:ascii="Times New Roman" w:hAnsi="Times New Roman" w:eastAsia="仿宋_GB2312" w:cs="Times New Roman"/>
          <w:color w:val="auto"/>
          <w:sz w:val="30"/>
          <w:szCs w:val="30"/>
          <w:highlight w:val="none"/>
        </w:rPr>
        <w:t>建强用好县级融媒体中心</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rPr>
        <w:t>推动媒体深度融合</w:t>
      </w:r>
      <w:r>
        <w:rPr>
          <w:rFonts w:hint="eastAsia" w:eastAsia="仿宋_GB2312"/>
          <w:color w:val="auto"/>
          <w:sz w:val="30"/>
          <w:szCs w:val="30"/>
          <w:highlight w:val="none"/>
        </w:rPr>
        <w:t>。充分发挥新时代文明实践中心（站点）、老三馆新三馆、民族团结教育基地、红色教育基地等文化主阵地的作用</w:t>
      </w:r>
      <w:r>
        <w:rPr>
          <w:rFonts w:hint="eastAsia" w:eastAsia="仿宋_GB2312"/>
          <w:color w:val="auto"/>
          <w:sz w:val="30"/>
          <w:szCs w:val="30"/>
          <w:highlight w:val="none"/>
          <w:lang w:eastAsia="zh-CN"/>
        </w:rPr>
        <w:t>，</w:t>
      </w:r>
      <w:r>
        <w:rPr>
          <w:rFonts w:hint="eastAsia" w:eastAsia="仿宋_GB2312"/>
          <w:color w:val="auto"/>
          <w:sz w:val="30"/>
          <w:szCs w:val="30"/>
          <w:highlight w:val="none"/>
        </w:rPr>
        <w:t>旗帜鲜明坚持真理，立场坚定批驳谬误，筑牢各族干部群众共同团结奋斗的思想基础。引导文艺工作者多创作小品、相声、歌舞、舞台剧等文艺精品，把中华文化蕴涵的优秀思想和理念用群众喜闻乐见的形式展现出来，为建设新时代中国特色社会主义叶城提供文化支撑。</w:t>
      </w:r>
    </w:p>
    <w:p>
      <w:pPr>
        <w:pStyle w:val="18"/>
        <w:keepNext w:val="0"/>
        <w:keepLines w:val="0"/>
        <w:shd w:val="clear"/>
        <w:spacing w:beforeLines="50" w:afterLines="50"/>
        <w:rPr>
          <w:rFonts w:hint="eastAsia" w:ascii="Times New Roman" w:hAnsi="Times New Roman"/>
          <w:lang w:val="zh-CN" w:eastAsia="zh-CN"/>
        </w:rPr>
      </w:pPr>
      <w:bookmarkStart w:id="228" w:name="_Toc6204"/>
      <w:bookmarkStart w:id="229" w:name="_Toc27627"/>
      <w:bookmarkStart w:id="230" w:name="_Toc14227"/>
      <w:r>
        <w:rPr>
          <w:rFonts w:hint="eastAsia" w:ascii="Times New Roman" w:hAnsi="Times New Roman"/>
          <w:lang w:val="zh-CN" w:eastAsia="zh-CN"/>
        </w:rPr>
        <w:t>第</w:t>
      </w:r>
      <w:r>
        <w:rPr>
          <w:rFonts w:hint="eastAsia" w:ascii="Times New Roman" w:hAnsi="Times New Roman"/>
          <w:lang w:val="en-US" w:eastAsia="zh-CN"/>
        </w:rPr>
        <w:t>二</w:t>
      </w:r>
      <w:r>
        <w:rPr>
          <w:rFonts w:hint="eastAsia" w:ascii="Times New Roman" w:hAnsi="Times New Roman"/>
          <w:lang w:val="zh-CN" w:eastAsia="zh-CN"/>
        </w:rPr>
        <w:t xml:space="preserve">节 </w:t>
      </w:r>
      <w:bookmarkEnd w:id="228"/>
      <w:bookmarkEnd w:id="229"/>
      <w:r>
        <w:rPr>
          <w:rFonts w:hint="eastAsia" w:ascii="Times New Roman" w:hAnsi="Times New Roman"/>
          <w:lang w:val="zh-CN" w:eastAsia="zh-CN"/>
        </w:rPr>
        <w:t>铸牢中华民族共同体意识</w:t>
      </w:r>
      <w:bookmarkEnd w:id="230"/>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深化民族团结进步宣传教育和民族团结进步创建活动，引导各族干部群众树牢“三个离不开”思想、增强“五个认同”。</w:t>
      </w:r>
      <w:r>
        <w:rPr>
          <w:rFonts w:hint="eastAsia" w:ascii="仿宋_GB2312" w:hAnsi="宋体" w:eastAsia="仿宋_GB2312" w:cs="仿宋_GB2312"/>
          <w:color w:val="auto"/>
          <w:sz w:val="30"/>
          <w:szCs w:val="30"/>
          <w:highlight w:val="none"/>
        </w:rPr>
        <w:t>促进各民族广泛交往、全面交流、深度交融</w:t>
      </w:r>
      <w:r>
        <w:rPr>
          <w:rFonts w:hint="eastAsia" w:ascii="仿宋_GB2312" w:hAnsi="宋体" w:eastAsia="仿宋_GB2312" w:cs="仿宋_GB2312"/>
          <w:color w:val="auto"/>
          <w:sz w:val="30"/>
          <w:szCs w:val="30"/>
          <w:highlight w:val="none"/>
          <w:lang w:eastAsia="zh-CN"/>
        </w:rPr>
        <w:t>，</w:t>
      </w:r>
      <w:r>
        <w:rPr>
          <w:rFonts w:hint="eastAsia" w:ascii="仿宋_GB2312" w:hAnsi="宋体" w:eastAsia="仿宋_GB2312" w:cs="仿宋_GB2312"/>
          <w:color w:val="auto"/>
          <w:sz w:val="30"/>
          <w:szCs w:val="30"/>
          <w:highlight w:val="none"/>
        </w:rPr>
        <w:t>全面贯彻执行党的民族政策，</w:t>
      </w:r>
      <w:r>
        <w:rPr>
          <w:rFonts w:hint="eastAsia" w:ascii="仿宋_GB2312" w:eastAsia="仿宋_GB2312"/>
          <w:color w:val="auto"/>
          <w:sz w:val="30"/>
          <w:szCs w:val="30"/>
          <w:highlight w:val="none"/>
        </w:rPr>
        <w:t>高举民族团结旗帜，</w:t>
      </w:r>
      <w:r>
        <w:rPr>
          <w:rFonts w:hint="eastAsia" w:eastAsia="仿宋_GB2312" w:cstheme="minorBidi"/>
          <w:color w:val="auto"/>
          <w:sz w:val="30"/>
          <w:szCs w:val="30"/>
          <w:highlight w:val="none"/>
        </w:rPr>
        <w:t>促进各民族和睦相处、和衷共济、和谐发展。</w:t>
      </w:r>
      <w:r>
        <w:rPr>
          <w:rFonts w:hint="eastAsia" w:eastAsia="仿宋_GB2312"/>
          <w:color w:val="auto"/>
          <w:sz w:val="30"/>
          <w:szCs w:val="30"/>
          <w:highlight w:val="none"/>
        </w:rPr>
        <w:t>坚持把民族团结作为各族人民的生命线、作为叶城最大的群众工作。积极推进构建互嵌式社会结构，逐步由空间互嵌拓展到经济、文化、社会和心理互嵌，营造各民族共居共学共事共乐的良好氛围。鼓励和引导少数民族群众到内地务工、经商、居住，做好叶城籍少数民族流动人员服务管理。常态化推进“访惠聚”驻村工作、“民族团结一家亲”和民族团结联谊活动，促进各民族交往交流交融。</w:t>
      </w:r>
    </w:p>
    <w:p>
      <w:pPr>
        <w:pStyle w:val="18"/>
        <w:keepNext w:val="0"/>
        <w:keepLines w:val="0"/>
        <w:shd w:val="clear"/>
        <w:spacing w:beforeLines="50" w:afterLines="50"/>
        <w:rPr>
          <w:rFonts w:hint="eastAsia" w:ascii="Times New Roman" w:hAnsi="Times New Roman"/>
          <w:lang w:val="zh-CN" w:eastAsia="zh-CN"/>
        </w:rPr>
      </w:pPr>
      <w:bookmarkStart w:id="231" w:name="_Toc11200"/>
      <w:bookmarkStart w:id="232" w:name="_Toc7540"/>
      <w:bookmarkStart w:id="233" w:name="_Toc1112"/>
      <w:bookmarkStart w:id="234" w:name="_Toc20835"/>
      <w:r>
        <w:rPr>
          <w:rFonts w:hint="eastAsia" w:ascii="Times New Roman" w:hAnsi="Times New Roman"/>
          <w:lang w:val="zh-CN" w:eastAsia="zh-CN"/>
        </w:rPr>
        <w:t>第</w:t>
      </w:r>
      <w:r>
        <w:rPr>
          <w:rFonts w:hint="eastAsia" w:ascii="Times New Roman" w:hAnsi="Times New Roman"/>
          <w:lang w:val="en-US" w:eastAsia="zh-CN"/>
        </w:rPr>
        <w:t>三</w:t>
      </w:r>
      <w:r>
        <w:rPr>
          <w:rFonts w:hint="eastAsia" w:ascii="Times New Roman" w:hAnsi="Times New Roman"/>
          <w:lang w:val="zh-CN" w:eastAsia="zh-CN"/>
        </w:rPr>
        <w:t>节 维护意识形态领域安全</w:t>
      </w:r>
      <w:bookmarkEnd w:id="231"/>
      <w:bookmarkEnd w:id="232"/>
    </w:p>
    <w:p>
      <w:pPr>
        <w:pStyle w:val="14"/>
        <w:keepNext w:val="0"/>
        <w:keepLines w:val="0"/>
        <w:pageBreakBefore w:val="0"/>
        <w:shd w:val="clear"/>
        <w:kinsoku/>
        <w:wordWrap/>
        <w:autoSpaceDE/>
        <w:autoSpaceDN/>
        <w:bidi w:val="0"/>
        <w:spacing w:after="0" w:line="560" w:lineRule="exact"/>
        <w:ind w:left="0" w:leftChars="0" w:firstLine="600"/>
        <w:textAlignment w:val="auto"/>
        <w:rPr>
          <w:rFonts w:eastAsia="仿宋_GB2312"/>
          <w:color w:val="auto"/>
          <w:sz w:val="30"/>
          <w:szCs w:val="30"/>
          <w:highlight w:val="none"/>
        </w:rPr>
      </w:pPr>
      <w:r>
        <w:rPr>
          <w:rFonts w:hint="eastAsia" w:eastAsia="仿宋_GB2312"/>
          <w:color w:val="auto"/>
          <w:sz w:val="30"/>
          <w:szCs w:val="30"/>
          <w:highlight w:val="none"/>
        </w:rPr>
        <w:t>坚持马克思主义在意识形态领域的指导地位，严格落实意识形态工作责任制，强化阵地建设和管理。用党的理论创新成果武装头脑、指导实践、推动工作，确保习近平新时代中国特色社会主义思想在叶城落地生根。巩固发展主流媒体阵地，着力增强舆论宣传工作的传播力、引导力、影响力、公信力，推动传统媒体和新媒体深度融合。深化中国特色社会主义、社会主义核心价值观和中国梦宣传教育，持续推进群众性思想教育，增强各族群众的国家意识、公民意识、法治意识和中华民族共同体意识。坚守中华文化立场，繁荣文艺创作，推进文化惠民，大力发展文化产业，传承优秀文化，增强各族群众对中华文化的获得感、认同感。加强党对意识形态工作的领导，提升意识形态领域治理能力，加大对期刊读物、文艺节目、场馆景区内容等审读工作力度，严厉打击“三非”物品，持续开展扫黑除恶和“扫黄打非”专项行动，确保意识形态领域文化阵地绝对安全，坚决杜绝文化领域出现的“杂音”“噪音”，使全县各族干部群众切实感受到先进文化的浸润洗礼</w:t>
      </w:r>
      <w:r>
        <w:rPr>
          <w:rFonts w:hint="eastAsia" w:eastAsia="仿宋_GB2312"/>
          <w:color w:val="auto"/>
          <w:sz w:val="30"/>
          <w:szCs w:val="30"/>
          <w:highlight w:val="none"/>
          <w:lang w:eastAsia="zh-CN"/>
        </w:rPr>
        <w:t>，</w:t>
      </w:r>
      <w:r>
        <w:rPr>
          <w:rFonts w:hint="eastAsia" w:eastAsia="仿宋_GB2312"/>
          <w:color w:val="auto"/>
          <w:sz w:val="30"/>
          <w:szCs w:val="30"/>
          <w:highlight w:val="none"/>
        </w:rPr>
        <w:t>确保叶城意识形态领域安全。</w:t>
      </w:r>
    </w:p>
    <w:p>
      <w:pPr>
        <w:pStyle w:val="18"/>
        <w:keepNext w:val="0"/>
        <w:keepLines w:val="0"/>
        <w:shd w:val="clear"/>
        <w:spacing w:beforeLines="50" w:afterLines="50"/>
        <w:rPr>
          <w:rFonts w:hint="eastAsia" w:ascii="Times New Roman" w:hAnsi="Times New Roman"/>
          <w:lang w:val="zh-CN" w:eastAsia="zh-CN"/>
        </w:rPr>
      </w:pPr>
      <w:bookmarkStart w:id="235" w:name="_Toc7339"/>
      <w:r>
        <w:rPr>
          <w:rFonts w:hint="eastAsia" w:ascii="Times New Roman" w:hAnsi="Times New Roman"/>
          <w:lang w:val="zh-CN" w:eastAsia="zh-CN"/>
        </w:rPr>
        <w:t>第</w:t>
      </w:r>
      <w:r>
        <w:rPr>
          <w:rFonts w:hint="eastAsia" w:ascii="Times New Roman" w:hAnsi="Times New Roman"/>
          <w:lang w:val="en-US" w:eastAsia="zh-CN"/>
        </w:rPr>
        <w:t>四</w:t>
      </w:r>
      <w:r>
        <w:rPr>
          <w:rFonts w:hint="eastAsia" w:ascii="Times New Roman" w:hAnsi="Times New Roman"/>
          <w:lang w:val="zh-CN" w:eastAsia="zh-CN"/>
        </w:rPr>
        <w:t xml:space="preserve">节 </w:t>
      </w:r>
      <w:bookmarkEnd w:id="233"/>
      <w:bookmarkEnd w:id="234"/>
      <w:bookmarkEnd w:id="235"/>
      <w:r>
        <w:rPr>
          <w:rFonts w:hint="eastAsia" w:ascii="Times New Roman" w:hAnsi="Times New Roman"/>
          <w:lang w:val="zh-CN" w:eastAsia="zh-CN"/>
        </w:rPr>
        <w:t>涉密依法不公开</w:t>
      </w:r>
    </w:p>
    <w:bookmarkEnd w:id="227"/>
    <w:p>
      <w:pPr>
        <w:pStyle w:val="18"/>
        <w:keepNext w:val="0"/>
        <w:keepLines w:val="0"/>
        <w:shd w:val="clear"/>
        <w:spacing w:beforeLines="50" w:afterLines="50"/>
        <w:rPr>
          <w:rFonts w:hint="default" w:ascii="Times New Roman" w:hAnsi="Times New Roman"/>
          <w:lang w:val="en-US" w:eastAsia="zh-CN"/>
        </w:rPr>
      </w:pPr>
      <w:bookmarkStart w:id="236" w:name="_Toc19102"/>
      <w:bookmarkStart w:id="237" w:name="_Toc27814"/>
      <w:r>
        <w:rPr>
          <w:rFonts w:hint="eastAsia" w:ascii="Times New Roman" w:hAnsi="Times New Roman"/>
          <w:lang w:val="en-US" w:eastAsia="zh-CN"/>
        </w:rPr>
        <w:t xml:space="preserve">第五节 </w:t>
      </w:r>
      <w:bookmarkEnd w:id="236"/>
      <w:r>
        <w:rPr>
          <w:rFonts w:hint="eastAsia" w:ascii="Times New Roman" w:hAnsi="Times New Roman"/>
          <w:lang w:val="en-US" w:eastAsia="zh-CN"/>
        </w:rPr>
        <w:t>提升公共文化服务水平</w:t>
      </w:r>
      <w:bookmarkEnd w:id="237"/>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sz w:val="30"/>
          <w:szCs w:val="30"/>
          <w:highlight w:val="none"/>
        </w:rPr>
      </w:pPr>
      <w:r>
        <w:rPr>
          <w:rFonts w:hint="eastAsia" w:eastAsia="仿宋_GB2312"/>
          <w:color w:val="auto"/>
          <w:sz w:val="30"/>
          <w:szCs w:val="30"/>
          <w:highlight w:val="none"/>
        </w:rPr>
        <w:t>推进基本公共文化服务标准化、均等化。健全公共文化设施运行管理和服务标准体系，规范县、乡、村三级公共文化服务项目和流程。开发和提供适合老年人、未成年人，残疾人等群体的基本公共文化产品和服务。深入推进公共文化馆、图书馆、美术馆等公共文化设施免费开放，提升服务水平，提高群众文化参与程度，建立群众文化需求反馈机制，推广菜单式服务模式，加快数字文化馆、图书馆、美术馆等公共数字文化设施建设，提高优质资源的供给能力。县图书馆、文化馆达到国家三级标准以上。以文化馆、图书馆、乡镇（区）综合文化服务中心、村（社区）综合性文化服务中心为重点，以流动文化和数字文化设施为补充，统筹规划，均衡配置，推动各级公共文化设施基本达到国家建设标准。提高公共文化服务效能，建立健全县级文化馆、图书馆总分馆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sz w:val="30"/>
          <w:szCs w:val="30"/>
          <w:highlight w:val="none"/>
        </w:rPr>
      </w:pPr>
      <w:r>
        <w:rPr>
          <w:rFonts w:hint="eastAsia" w:eastAsia="仿宋_GB2312"/>
          <w:color w:val="auto"/>
          <w:sz w:val="30"/>
          <w:szCs w:val="30"/>
          <w:highlight w:val="none"/>
        </w:rPr>
        <w:t>加强非物质文化遗产保护。制定文化遗产保护与开发利用规划，对历史文化、传统文化、原生态文化等优秀地域文化及遗址遗迹进行保护和修复，保护和培养传承人，明确保护范围，功能分区、建立保护管理体系，明确保障措施等，实现文化遗产可持续发展，对民族服饰特色民居，民间工艺等非物质文化遗产，建立科学合理的保护体系，构建以非物质文化遗产传承为核心的开发利用体系。</w:t>
      </w:r>
    </w:p>
    <w:p>
      <w:pPr>
        <w:pStyle w:val="18"/>
        <w:keepNext w:val="0"/>
        <w:keepLines w:val="0"/>
        <w:spacing w:beforeLines="50" w:afterLines="50"/>
        <w:rPr>
          <w:rFonts w:hint="default" w:ascii="Times New Roman" w:hAnsi="Times New Roman"/>
          <w:lang w:val="en-US" w:eastAsia="zh-CN"/>
        </w:rPr>
      </w:pPr>
      <w:bookmarkStart w:id="238" w:name="_Toc30282"/>
      <w:bookmarkStart w:id="239" w:name="_Toc13122"/>
      <w:bookmarkStart w:id="240" w:name="_Toc24291"/>
      <w:r>
        <w:rPr>
          <w:rFonts w:hint="default" w:ascii="Times New Roman" w:hAnsi="Times New Roman"/>
          <w:lang w:val="en-US" w:eastAsia="zh-CN"/>
        </w:rPr>
        <w:t>第</w:t>
      </w:r>
      <w:r>
        <w:rPr>
          <w:rFonts w:hint="eastAsia" w:ascii="Times New Roman" w:hAnsi="Times New Roman"/>
          <w:lang w:val="en-US" w:eastAsia="zh-CN"/>
        </w:rPr>
        <w:t>六</w:t>
      </w:r>
      <w:r>
        <w:rPr>
          <w:rFonts w:hint="default" w:ascii="Times New Roman" w:hAnsi="Times New Roman"/>
          <w:lang w:val="en-US" w:eastAsia="zh-CN"/>
        </w:rPr>
        <w:t>节</w:t>
      </w:r>
      <w:r>
        <w:rPr>
          <w:rFonts w:hint="eastAsia" w:ascii="Times New Roman" w:hAnsi="Times New Roman"/>
          <w:lang w:val="en-US" w:eastAsia="zh-CN"/>
        </w:rPr>
        <w:t xml:space="preserve"> </w:t>
      </w:r>
      <w:r>
        <w:rPr>
          <w:rFonts w:hint="default" w:ascii="Times New Roman" w:hAnsi="Times New Roman"/>
          <w:lang w:val="en-US" w:eastAsia="zh-CN"/>
        </w:rPr>
        <w:t>加快</w:t>
      </w:r>
      <w:r>
        <w:rPr>
          <w:rFonts w:hint="eastAsia" w:ascii="Times New Roman" w:hAnsi="Times New Roman"/>
          <w:lang w:val="en-US" w:eastAsia="zh-CN"/>
        </w:rPr>
        <w:t>发展特色</w:t>
      </w:r>
      <w:r>
        <w:rPr>
          <w:rFonts w:hint="default" w:ascii="Times New Roman" w:hAnsi="Times New Roman"/>
          <w:lang w:val="en-US" w:eastAsia="zh-CN"/>
        </w:rPr>
        <w:t>文化产业</w:t>
      </w:r>
      <w:bookmarkEnd w:id="238"/>
      <w:bookmarkEnd w:id="239"/>
    </w:p>
    <w:p>
      <w:pPr>
        <w:spacing w:line="560" w:lineRule="exact"/>
        <w:ind w:firstLine="600" w:firstLineChars="200"/>
        <w:rPr>
          <w:rFonts w:hint="eastAsia" w:ascii="Times New Roman" w:hAnsi="Times New Roman" w:eastAsia="仿宋_GB2312" w:cs="仿宋"/>
          <w:sz w:val="30"/>
          <w:szCs w:val="30"/>
          <w:lang w:eastAsia="zh-CN"/>
        </w:rPr>
      </w:pPr>
      <w:r>
        <w:rPr>
          <w:rFonts w:hint="default" w:ascii="Times New Roman" w:hAnsi="Times New Roman" w:eastAsia="仿宋_GB2312" w:cs="仿宋"/>
          <w:sz w:val="30"/>
          <w:szCs w:val="30"/>
          <w:lang w:val="en-US" w:eastAsia="zh-CN"/>
        </w:rPr>
        <w:t>坚持把社会效益放在首位，深化文化体制机制改革，推动文化事业和产业协调发展，深入推进文化和旅游深度融合，提升</w:t>
      </w:r>
      <w:r>
        <w:rPr>
          <w:rFonts w:hint="eastAsia" w:ascii="Times New Roman" w:hAnsi="Times New Roman" w:eastAsia="仿宋_GB2312" w:cs="仿宋"/>
          <w:sz w:val="30"/>
          <w:szCs w:val="30"/>
          <w:lang w:val="en-US" w:eastAsia="zh-CN"/>
        </w:rPr>
        <w:t>叶城</w:t>
      </w:r>
      <w:r>
        <w:rPr>
          <w:rFonts w:hint="default" w:ascii="Times New Roman" w:hAnsi="Times New Roman" w:eastAsia="仿宋_GB2312" w:cs="仿宋"/>
          <w:sz w:val="30"/>
          <w:szCs w:val="30"/>
          <w:lang w:val="en-US" w:eastAsia="zh-CN"/>
        </w:rPr>
        <w:t>文化</w:t>
      </w:r>
      <w:r>
        <w:rPr>
          <w:rFonts w:hint="eastAsia" w:ascii="Times New Roman" w:hAnsi="Times New Roman" w:eastAsia="仿宋_GB2312" w:cs="仿宋"/>
          <w:sz w:val="30"/>
          <w:szCs w:val="30"/>
          <w:lang w:val="en-US" w:eastAsia="zh-CN"/>
        </w:rPr>
        <w:t>软</w:t>
      </w:r>
      <w:r>
        <w:rPr>
          <w:rFonts w:hint="default" w:ascii="Times New Roman" w:hAnsi="Times New Roman" w:eastAsia="仿宋_GB2312" w:cs="仿宋"/>
          <w:sz w:val="30"/>
          <w:szCs w:val="30"/>
          <w:lang w:val="en-US" w:eastAsia="zh-CN"/>
        </w:rPr>
        <w:t>实力</w:t>
      </w:r>
      <w:r>
        <w:rPr>
          <w:rFonts w:hint="eastAsia" w:ascii="Times New Roman" w:hAnsi="Times New Roman" w:eastAsia="仿宋_GB2312" w:cs="仿宋"/>
          <w:sz w:val="30"/>
          <w:szCs w:val="30"/>
          <w:lang w:val="en-US" w:eastAsia="zh-CN"/>
        </w:rPr>
        <w:t>，扩大文化知名度</w:t>
      </w:r>
      <w:r>
        <w:rPr>
          <w:rFonts w:hint="default" w:ascii="Times New Roman" w:hAnsi="Times New Roman" w:eastAsia="仿宋_GB2312" w:cs="仿宋"/>
          <w:sz w:val="30"/>
          <w:szCs w:val="30"/>
          <w:lang w:val="en-US" w:eastAsia="zh-CN"/>
        </w:rPr>
        <w:t>。整合优势资源，加强重点文化产业建设，积极扶持高成长性、高创新性文化企业，</w:t>
      </w:r>
      <w:r>
        <w:rPr>
          <w:rFonts w:hint="eastAsia" w:ascii="仿宋_GB2312" w:hAnsi="仿宋_GB2312" w:eastAsia="仿宋_GB2312" w:cs="仿宋_GB2312"/>
          <w:sz w:val="30"/>
          <w:szCs w:val="30"/>
          <w:lang w:val="en-US" w:eastAsia="zh-CN"/>
        </w:rPr>
        <w:t>支持“专精特新”的中小微文化企业。全方位研究谋划振兴传统工艺、文物保护利</w:t>
      </w:r>
      <w:r>
        <w:rPr>
          <w:rFonts w:hint="default" w:ascii="Times New Roman" w:hAnsi="Times New Roman" w:eastAsia="仿宋_GB2312" w:cs="仿宋"/>
          <w:sz w:val="30"/>
          <w:szCs w:val="30"/>
          <w:lang w:val="en-US" w:eastAsia="zh-CN"/>
        </w:rPr>
        <w:t>用、文化创意产业等文化产业发展政策体系</w:t>
      </w:r>
      <w:r>
        <w:rPr>
          <w:rFonts w:hint="eastAsia" w:ascii="Times New Roman" w:hAnsi="Times New Roman" w:eastAsia="仿宋_GB2312" w:cs="仿宋"/>
          <w:sz w:val="30"/>
          <w:szCs w:val="30"/>
          <w:lang w:val="en-US" w:eastAsia="zh-CN"/>
        </w:rPr>
        <w:t>。</w:t>
      </w:r>
      <w:r>
        <w:rPr>
          <w:rFonts w:hint="eastAsia" w:ascii="Times New Roman" w:hAnsi="Times New Roman" w:eastAsia="仿宋_GB2312" w:cs="仿宋"/>
          <w:sz w:val="30"/>
          <w:szCs w:val="30"/>
        </w:rPr>
        <w:t>加强公共文化产品的创作与生产，完善文艺精品创作扶持奖励政策，引导和鼓励搭建网络文艺创作和传播平台。打造</w:t>
      </w:r>
      <w:r>
        <w:rPr>
          <w:rFonts w:hint="eastAsia" w:ascii="Times New Roman" w:hAnsi="Times New Roman" w:eastAsia="仿宋_GB2312" w:cs="仿宋"/>
          <w:sz w:val="30"/>
          <w:szCs w:val="30"/>
          <w:lang w:val="en-US" w:eastAsia="zh-CN"/>
        </w:rPr>
        <w:t>具有鲜明叶城特色的</w:t>
      </w:r>
      <w:r>
        <w:rPr>
          <w:rFonts w:hint="eastAsia" w:ascii="Times New Roman" w:hAnsi="Times New Roman" w:eastAsia="仿宋_GB2312" w:cs="仿宋"/>
          <w:sz w:val="30"/>
          <w:szCs w:val="30"/>
        </w:rPr>
        <w:t>民族民俗节日庆典系列活动和传统音乐舞蹈精品节目</w:t>
      </w:r>
      <w:r>
        <w:rPr>
          <w:rFonts w:hint="eastAsia" w:ascii="Times New Roman" w:hAnsi="Times New Roman" w:eastAsia="仿宋_GB2312" w:cs="仿宋"/>
          <w:sz w:val="30"/>
          <w:szCs w:val="30"/>
          <w:lang w:eastAsia="zh-CN"/>
        </w:rPr>
        <w:t>，</w:t>
      </w:r>
      <w:r>
        <w:rPr>
          <w:rFonts w:hint="eastAsia" w:ascii="Times New Roman" w:hAnsi="Times New Roman" w:eastAsia="仿宋_GB2312" w:cs="仿宋"/>
          <w:sz w:val="30"/>
          <w:szCs w:val="30"/>
          <w:lang w:val="en-US" w:eastAsia="zh-CN"/>
        </w:rPr>
        <w:t>建设</w:t>
      </w:r>
      <w:r>
        <w:rPr>
          <w:rFonts w:hint="eastAsia" w:ascii="Times New Roman" w:hAnsi="Times New Roman" w:eastAsia="仿宋_GB2312" w:cs="仿宋"/>
          <w:sz w:val="30"/>
          <w:szCs w:val="30"/>
        </w:rPr>
        <w:t>具有广泛影响力和示范带动作用的县级文化品牌</w:t>
      </w:r>
      <w:r>
        <w:rPr>
          <w:rFonts w:hint="eastAsia" w:ascii="Times New Roman" w:hAnsi="Times New Roman" w:eastAsia="仿宋_GB2312" w:cs="仿宋"/>
          <w:sz w:val="30"/>
          <w:szCs w:val="30"/>
          <w:lang w:eastAsia="zh-CN"/>
        </w:rPr>
        <w:t>，</w:t>
      </w:r>
      <w:r>
        <w:rPr>
          <w:rFonts w:hint="eastAsia" w:ascii="Times New Roman" w:hAnsi="Times New Roman" w:eastAsia="仿宋_GB2312" w:cs="仿宋"/>
          <w:sz w:val="30"/>
          <w:szCs w:val="30"/>
        </w:rPr>
        <w:t>形成覆盖全县、特色鲜明的文化品牌群</w:t>
      </w:r>
      <w:r>
        <w:rPr>
          <w:rFonts w:hint="eastAsia" w:ascii="Times New Roman" w:hAnsi="Times New Roman" w:eastAsia="仿宋_GB2312" w:cs="仿宋"/>
          <w:sz w:val="30"/>
          <w:szCs w:val="30"/>
          <w:lang w:eastAsia="zh-CN"/>
        </w:rPr>
        <w:t>。</w:t>
      </w:r>
      <w:r>
        <w:rPr>
          <w:rFonts w:hint="eastAsia" w:ascii="Times New Roman" w:hAnsi="Times New Roman" w:eastAsia="仿宋_GB2312" w:cs="仿宋"/>
          <w:sz w:val="30"/>
          <w:szCs w:val="30"/>
        </w:rPr>
        <w:t>加强数字公共文化服务</w:t>
      </w:r>
      <w:r>
        <w:rPr>
          <w:rFonts w:hint="eastAsia" w:ascii="Times New Roman" w:hAnsi="Times New Roman" w:eastAsia="仿宋_GB2312" w:cs="仿宋"/>
          <w:sz w:val="30"/>
          <w:szCs w:val="30"/>
          <w:lang w:eastAsia="zh-CN"/>
        </w:rPr>
        <w:t>，</w:t>
      </w:r>
      <w:r>
        <w:rPr>
          <w:rFonts w:hint="eastAsia" w:ascii="Times New Roman" w:hAnsi="Times New Roman" w:eastAsia="仿宋_GB2312" w:cs="仿宋"/>
          <w:sz w:val="30"/>
          <w:szCs w:val="30"/>
        </w:rPr>
        <w:t>实施“互联网+公共文化服务”“标准化+公共文化服务”工程</w:t>
      </w:r>
      <w:r>
        <w:rPr>
          <w:rFonts w:hint="eastAsia" w:ascii="Times New Roman" w:hAnsi="Times New Roman" w:eastAsia="仿宋_GB2312" w:cs="仿宋"/>
          <w:sz w:val="30"/>
          <w:szCs w:val="30"/>
          <w:lang w:eastAsia="zh-CN"/>
        </w:rPr>
        <w:t>。</w:t>
      </w:r>
    </w:p>
    <w:p>
      <w:pPr>
        <w:pStyle w:val="18"/>
        <w:keepNext w:val="0"/>
        <w:keepLines w:val="0"/>
        <w:shd w:val="clear"/>
        <w:spacing w:beforeLines="50" w:afterLines="50"/>
        <w:rPr>
          <w:rFonts w:hint="eastAsia" w:ascii="Times New Roman" w:hAnsi="Times New Roman"/>
          <w:lang w:val="en-US" w:eastAsia="zh-CN"/>
        </w:rPr>
      </w:pPr>
      <w:bookmarkStart w:id="241" w:name="_Toc7545"/>
      <w:r>
        <w:rPr>
          <w:rFonts w:hint="eastAsia" w:ascii="Times New Roman" w:hAnsi="Times New Roman"/>
          <w:lang w:val="en-US" w:eastAsia="zh-CN"/>
        </w:rPr>
        <w:t>第七节 促进全民健身活动蓬勃发展</w:t>
      </w:r>
      <w:bookmarkEnd w:id="240"/>
      <w:bookmarkEnd w:id="241"/>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科学规划和统筹建设全民健身场地设施，全县体育健身场地设施条件明显改善，缩小群众享有体育设施公共服务的活动半径，打造“10分钟健身圈”，人均体育场地面积达到2平方米上，公共体育设施利用率明显提高，鼓励机关、企事业单位和学校向公众开放体育场地，开放率达90%以上。壮大体育工作者队伍，加强社会体育指导员、基层群众体育教练员、裁判员队伍、社会体育志愿者队伍的建设，到2025年</w:t>
      </w:r>
      <w:r>
        <w:rPr>
          <w:rFonts w:hint="eastAsia" w:eastAsia="仿宋_GB2312"/>
          <w:color w:val="auto"/>
          <w:sz w:val="30"/>
          <w:szCs w:val="30"/>
          <w:highlight w:val="none"/>
          <w:lang w:eastAsia="zh-CN"/>
        </w:rPr>
        <w:t>，</w:t>
      </w:r>
      <w:r>
        <w:rPr>
          <w:rFonts w:hint="eastAsia" w:eastAsia="仿宋_GB2312"/>
          <w:color w:val="auto"/>
          <w:sz w:val="30"/>
          <w:szCs w:val="30"/>
          <w:highlight w:val="none"/>
        </w:rPr>
        <w:t>获得社会体育指导员技术等级证书的人员增加到1000人以上，支持开展各类体育活动，城乡居民的健身意识和身体素质明显增强。举办各级各类全民健身运动和综合性体育比赛，持续推进“篮、绳”行动，加快发展全民健身事业和体育产业，完善各类体育协会的发展，支持各类民办体育俱乐部建设，拓宽青少年训练体系，大力实施国家青少年体育锻炼标准，推动学校阳光体育深入开展。完善国民体质监测网络和监测运行机制。实施城乡居民《国民体质检测标准》，合格率达到60%以上，在校学生普遍达到《国家学生体质健康标准》基本要求，身体素质明显提高。到2025年，特色鲜明、覆盖城乡、功能齐全，可持续发展的全民健身公共服务体系日趋完善，经常参加体育锻炼人数显著增加，城乡居民的健身意识和身体素质明显增强，全县常年参与体育锻炼的人口占总人口的30%以上。</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242" w:name="_Toc16293"/>
      <w:bookmarkStart w:id="243" w:name="_Toc1339"/>
      <w:r>
        <w:rPr>
          <w:rFonts w:hint="eastAsia" w:ascii="Times New Roman" w:hAnsi="Times New Roman" w:eastAsia="黑体" w:cs="Times New Roman"/>
          <w:b w:val="0"/>
          <w:bCs w:val="0"/>
          <w:sz w:val="30"/>
          <w:szCs w:val="30"/>
          <w:lang w:val="en-US" w:eastAsia="zh-CN"/>
        </w:rPr>
        <w:t>第十</w:t>
      </w:r>
      <w:r>
        <w:rPr>
          <w:rFonts w:hint="eastAsia" w:eastAsia="黑体" w:cs="Times New Roman"/>
          <w:b w:val="0"/>
          <w:bCs w:val="0"/>
          <w:sz w:val="30"/>
          <w:szCs w:val="30"/>
          <w:lang w:val="en-US" w:eastAsia="zh-CN"/>
        </w:rPr>
        <w:t>二</w:t>
      </w:r>
      <w:r>
        <w:rPr>
          <w:rFonts w:hint="eastAsia" w:ascii="Times New Roman" w:hAnsi="Times New Roman" w:eastAsia="黑体" w:cs="Times New Roman"/>
          <w:b w:val="0"/>
          <w:bCs w:val="0"/>
          <w:sz w:val="30"/>
          <w:szCs w:val="30"/>
          <w:lang w:val="en-US" w:eastAsia="zh-CN"/>
        </w:rPr>
        <w:t>章 实施创新驱动发展战略，构建创新创业新局面</w:t>
      </w:r>
      <w:bookmarkEnd w:id="242"/>
      <w:bookmarkEnd w:id="243"/>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充分发挥科技创新引领作用，以体制机制改革激发创新活动，加快传统业态与新兴业态融合发展，加快先进适用技术成果转化，全面提升科技创新支撑和引领乡村振兴的能力和成效，为推进叶城跨越式发展、保障和改善民生提供强大的科技支撑和创新动力。</w:t>
      </w:r>
    </w:p>
    <w:p>
      <w:pPr>
        <w:pStyle w:val="18"/>
        <w:keepNext w:val="0"/>
        <w:keepLines w:val="0"/>
        <w:shd w:val="clear"/>
        <w:spacing w:beforeLines="50" w:afterLines="50"/>
        <w:rPr>
          <w:rFonts w:hint="eastAsia" w:ascii="Times New Roman" w:hAnsi="Times New Roman"/>
          <w:lang w:val="zh-CN" w:eastAsia="zh-CN"/>
        </w:rPr>
      </w:pPr>
      <w:bookmarkStart w:id="244" w:name="_Toc18667"/>
      <w:bookmarkStart w:id="245" w:name="_Toc9689"/>
      <w:r>
        <w:rPr>
          <w:rFonts w:hint="eastAsia" w:ascii="Times New Roman" w:hAnsi="Times New Roman"/>
          <w:lang w:val="zh-CN" w:eastAsia="zh-CN"/>
        </w:rPr>
        <w:t>第一节 推动农业科技</w:t>
      </w:r>
      <w:r>
        <w:rPr>
          <w:rFonts w:hint="eastAsia" w:ascii="Times New Roman" w:hAnsi="Times New Roman"/>
          <w:lang w:val="en-US" w:eastAsia="zh-CN"/>
        </w:rPr>
        <w:t>发展</w:t>
      </w:r>
      <w:bookmarkEnd w:id="244"/>
      <w:bookmarkEnd w:id="245"/>
    </w:p>
    <w:p>
      <w:pPr>
        <w:keepNext w:val="0"/>
        <w:keepLines w:val="0"/>
        <w:pageBreakBefore w:val="0"/>
        <w:shd w:val="clear"/>
        <w:kinsoku/>
        <w:wordWrap/>
        <w:autoSpaceDE/>
        <w:autoSpaceDN/>
        <w:bidi w:val="0"/>
        <w:spacing w:line="560" w:lineRule="exact"/>
        <w:ind w:left="0"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加强农业科技创新支撑</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引进各类先进实用技术，引导和支撑农业产业结构升级，大力引进培育农业产业新技术，引进高新技术农业产业化龙头企业。创新农村科技服务模式。加强农业核心技术攻关，推动现代种业自主创新，加快农产品深加工技术和农机装备升级换代。</w:t>
      </w:r>
      <w:r>
        <w:rPr>
          <w:rFonts w:hint="eastAsia" w:eastAsia="仿宋_GB2312"/>
          <w:b/>
          <w:bCs/>
          <w:color w:val="auto"/>
          <w:sz w:val="30"/>
          <w:szCs w:val="30"/>
          <w:highlight w:val="none"/>
        </w:rPr>
        <w:t>加强农业科技成果推广与服务</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引导各级农业科技人员下基层，健全基层农机推广体系，建立技术服务联盟，建设科技示范户、示范基地。</w:t>
      </w:r>
      <w:r>
        <w:rPr>
          <w:rFonts w:hint="eastAsia" w:eastAsia="仿宋_GB2312"/>
          <w:b/>
          <w:bCs/>
          <w:color w:val="auto"/>
          <w:sz w:val="30"/>
          <w:szCs w:val="30"/>
          <w:highlight w:val="none"/>
        </w:rPr>
        <w:t>完善农业科技创新体系</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支持具备条件的农业企业建设高水平研发中心，技术创新中心，参与或主持农业科技研发和成果转化项目。加速农业科技产业化示范基地建设，强化现代农业示范技术集成、转化推广和体制机制创新，</w:t>
      </w:r>
      <w:r>
        <w:rPr>
          <w:rFonts w:hint="eastAsia" w:eastAsia="仿宋_GB2312"/>
          <w:color w:val="auto"/>
          <w:sz w:val="30"/>
          <w:szCs w:val="30"/>
          <w:highlight w:val="none"/>
          <w:lang w:val="en-US" w:eastAsia="zh-CN"/>
        </w:rPr>
        <w:t>到</w:t>
      </w:r>
      <w:r>
        <w:rPr>
          <w:rFonts w:hint="eastAsia" w:eastAsia="仿宋_GB2312"/>
          <w:color w:val="auto"/>
          <w:sz w:val="30"/>
          <w:szCs w:val="30"/>
          <w:highlight w:val="none"/>
        </w:rPr>
        <w:t>“十四五”末</w:t>
      </w:r>
      <w:r>
        <w:rPr>
          <w:rFonts w:hint="eastAsia" w:eastAsia="仿宋_GB2312"/>
          <w:color w:val="auto"/>
          <w:sz w:val="30"/>
          <w:szCs w:val="30"/>
          <w:highlight w:val="none"/>
          <w:lang w:eastAsia="zh-CN"/>
        </w:rPr>
        <w:t>，</w:t>
      </w:r>
      <w:r>
        <w:rPr>
          <w:rFonts w:hint="eastAsia" w:eastAsia="仿宋_GB2312"/>
          <w:color w:val="auto"/>
          <w:sz w:val="30"/>
          <w:szCs w:val="30"/>
          <w:highlight w:val="none"/>
        </w:rPr>
        <w:t>建立1个设施农业科技成果转化示范基地。</w:t>
      </w:r>
      <w:r>
        <w:rPr>
          <w:rFonts w:hint="eastAsia" w:eastAsia="仿宋_GB2312"/>
          <w:b/>
          <w:bCs/>
          <w:color w:val="auto"/>
          <w:sz w:val="30"/>
          <w:szCs w:val="30"/>
          <w:highlight w:val="none"/>
        </w:rPr>
        <w:t>积极培育农业新业态。</w:t>
      </w:r>
      <w:r>
        <w:rPr>
          <w:rFonts w:hint="eastAsia" w:eastAsia="仿宋_GB2312"/>
          <w:color w:val="auto"/>
          <w:sz w:val="30"/>
          <w:szCs w:val="30"/>
          <w:highlight w:val="none"/>
        </w:rPr>
        <w:t>加快推进农业生产、农村文化和农家生活消费服务产品化，大力发展智慧乡村旅游，加快农村电子商务发展和“星创天地”建设。到2025年，建设自治区级“星创天地”1家，培育农业创新创业企业、新型农业经营主体1-3家，建设乡村振兴试点村1-2个。</w:t>
      </w:r>
    </w:p>
    <w:p>
      <w:pPr>
        <w:pStyle w:val="18"/>
        <w:keepNext w:val="0"/>
        <w:keepLines w:val="0"/>
        <w:shd w:val="clear"/>
        <w:spacing w:beforeLines="50" w:afterLines="50"/>
        <w:rPr>
          <w:rFonts w:hint="eastAsia" w:ascii="Times New Roman" w:hAnsi="Times New Roman"/>
          <w:lang w:val="zh-CN" w:eastAsia="zh-CN"/>
        </w:rPr>
      </w:pPr>
      <w:bookmarkStart w:id="246" w:name="_Toc32641"/>
      <w:bookmarkStart w:id="247" w:name="_Toc18142"/>
      <w:r>
        <w:rPr>
          <w:rFonts w:hint="eastAsia" w:ascii="Times New Roman" w:hAnsi="Times New Roman"/>
          <w:lang w:val="zh-CN" w:eastAsia="zh-CN"/>
        </w:rPr>
        <w:t>第二节 提升企业创新能力</w:t>
      </w:r>
      <w:bookmarkEnd w:id="246"/>
      <w:bookmarkEnd w:id="247"/>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强化企业创新主体地位</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发挥市场导向作用，促进科技资源加快向企业聚集，全面提升企业自主创新能力，培育高新技术企业</w:t>
      </w:r>
      <w:r>
        <w:rPr>
          <w:rFonts w:hint="eastAsia" w:eastAsia="仿宋_GB2312"/>
          <w:color w:val="auto"/>
          <w:kern w:val="0"/>
          <w:sz w:val="30"/>
          <w:szCs w:val="30"/>
          <w:highlight w:val="none"/>
        </w:rPr>
        <w:t>1</w:t>
      </w:r>
      <w:r>
        <w:rPr>
          <w:rFonts w:hint="eastAsia" w:eastAsia="仿宋_GB2312"/>
          <w:color w:val="auto"/>
          <w:sz w:val="30"/>
          <w:szCs w:val="30"/>
          <w:highlight w:val="none"/>
        </w:rPr>
        <w:t>-</w:t>
      </w:r>
      <w:r>
        <w:rPr>
          <w:rFonts w:hint="eastAsia" w:eastAsia="仿宋_GB2312"/>
          <w:color w:val="auto"/>
          <w:kern w:val="0"/>
          <w:sz w:val="30"/>
          <w:szCs w:val="30"/>
          <w:highlight w:val="none"/>
        </w:rPr>
        <w:t>3家</w:t>
      </w:r>
      <w:r>
        <w:rPr>
          <w:rFonts w:hint="eastAsia" w:eastAsia="仿宋_GB2312"/>
          <w:color w:val="auto"/>
          <w:sz w:val="30"/>
          <w:szCs w:val="30"/>
          <w:highlight w:val="none"/>
        </w:rPr>
        <w:t>，科技型中小企业</w:t>
      </w:r>
      <w:r>
        <w:rPr>
          <w:rFonts w:hint="eastAsia" w:eastAsia="仿宋_GB2312"/>
          <w:color w:val="auto"/>
          <w:sz w:val="30"/>
          <w:szCs w:val="30"/>
          <w:highlight w:val="none"/>
          <w:lang w:val="en-US" w:eastAsia="zh-CN"/>
        </w:rPr>
        <w:t>5-8</w:t>
      </w:r>
      <w:r>
        <w:rPr>
          <w:rFonts w:hint="eastAsia" w:eastAsia="仿宋_GB2312"/>
          <w:color w:val="auto"/>
          <w:sz w:val="30"/>
          <w:szCs w:val="30"/>
          <w:highlight w:val="none"/>
        </w:rPr>
        <w:t>家。探索按照企业主导、院校协作、多元投资、军民融合、成果分享的新模式，引导构建一批以企业为主导、产学研合作的产业技术创新战略联盟，促进产学研深度融合和科技成果转移转化。</w:t>
      </w:r>
      <w:r>
        <w:rPr>
          <w:rFonts w:hint="eastAsia" w:eastAsia="仿宋_GB2312"/>
          <w:b/>
          <w:bCs/>
          <w:color w:val="auto"/>
          <w:sz w:val="30"/>
          <w:szCs w:val="30"/>
          <w:highlight w:val="none"/>
        </w:rPr>
        <w:t>建立完善企业创新服务体系</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打造“创业+孵化器+产业基地”的孵化体系，建设高水平创新创业示范基地、小微企业创业基地，推进大众创业、万众创新向更深层次发展。大力增强信息服务、技术交易、科技成果转化等科技服务，进一步增强科技服务新型工业发展的能力。</w:t>
      </w:r>
    </w:p>
    <w:p>
      <w:pPr>
        <w:pStyle w:val="18"/>
        <w:keepNext w:val="0"/>
        <w:keepLines w:val="0"/>
        <w:shd w:val="clear"/>
        <w:spacing w:beforeLines="50" w:afterLines="50"/>
        <w:rPr>
          <w:rFonts w:hint="eastAsia" w:ascii="Times New Roman" w:hAnsi="Times New Roman"/>
          <w:lang w:val="zh-CN" w:eastAsia="zh-CN"/>
        </w:rPr>
      </w:pPr>
      <w:bookmarkStart w:id="248" w:name="_Toc27245"/>
      <w:bookmarkStart w:id="249" w:name="_Toc13938"/>
      <w:r>
        <w:rPr>
          <w:rFonts w:hint="eastAsia" w:ascii="Times New Roman" w:hAnsi="Times New Roman"/>
          <w:lang w:val="zh-CN" w:eastAsia="zh-CN"/>
        </w:rPr>
        <w:t>第三节 完善科技服务体系</w:t>
      </w:r>
      <w:bookmarkEnd w:id="248"/>
      <w:bookmarkEnd w:id="249"/>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加速新技术扩散，充分利用互联网技术提升创新服务能力，建立“科技综合服务中心”，形成转化成果、推广技术、传播信息、培训技能、科普宣传的综合性科技服务平台。优化科技供给，强化品牌建设，突出网络品牌营销，将叶城地理标志产品打造成为知名品牌。加大财政和金融支持，加大政府科技投入力度，形成以政府投入为引导，企业投入为主体，金融、社会广泛参与的科技投入体系。发挥政府投入的引导作用，积极争取一定数量的专项基金，用于支持科技型中小企业、民营科技企业的技术创新。建立协同推进机制，支持先进适用技术引进和消化吸收，创新科技成果转化体制机制</w:t>
      </w:r>
      <w:r>
        <w:rPr>
          <w:rFonts w:hint="eastAsia" w:eastAsia="仿宋_GB2312"/>
          <w:color w:val="auto"/>
          <w:sz w:val="30"/>
          <w:szCs w:val="30"/>
          <w:highlight w:val="none"/>
          <w:lang w:eastAsia="zh-CN"/>
        </w:rPr>
        <w:t>。</w:t>
      </w:r>
      <w:r>
        <w:rPr>
          <w:rFonts w:hint="eastAsia" w:eastAsia="仿宋_GB2312"/>
          <w:color w:val="auto"/>
          <w:sz w:val="30"/>
          <w:szCs w:val="30"/>
          <w:highlight w:val="none"/>
        </w:rPr>
        <w:t>营造有利的政策环境，加强经济政策和科技政策的相互协调，营造有利于加强技术创新、加快科技成果转化、发展高新技术并实现产业化的政策环境，实施科技成果转化的股权激励政策，进一步加大高新技术企业认定、研发费用税前加计扣除、技术转让免税等政策落实力度，推进内地科技成果在叶城县转化。</w:t>
      </w:r>
    </w:p>
    <w:p>
      <w:pPr>
        <w:pStyle w:val="18"/>
        <w:keepNext w:val="0"/>
        <w:keepLines w:val="0"/>
        <w:shd w:val="clear"/>
        <w:spacing w:beforeLines="50" w:afterLines="50"/>
        <w:rPr>
          <w:rFonts w:hint="eastAsia" w:ascii="Times New Roman" w:hAnsi="Times New Roman"/>
          <w:lang w:val="zh-CN" w:eastAsia="zh-CN"/>
        </w:rPr>
      </w:pPr>
      <w:bookmarkStart w:id="250" w:name="_Toc32319"/>
      <w:bookmarkStart w:id="251" w:name="_Toc19414"/>
      <w:r>
        <w:rPr>
          <w:rFonts w:hint="eastAsia" w:ascii="Times New Roman" w:hAnsi="Times New Roman"/>
          <w:lang w:val="zh-CN" w:eastAsia="zh-CN"/>
        </w:rPr>
        <w:t>第四节 完善人才发展机制</w:t>
      </w:r>
      <w:bookmarkEnd w:id="250"/>
      <w:bookmarkEnd w:id="251"/>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加强高层次科技人才队伍建设</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强化实施“人才强县”战略，完善科技人才发现、培养、激励机制，支持开展前瞻性、跨学科创新研究，鼓励引进</w:t>
      </w:r>
      <w:r>
        <w:rPr>
          <w:rFonts w:hint="eastAsia" w:eastAsia="仿宋_GB2312"/>
          <w:color w:val="auto"/>
          <w:sz w:val="30"/>
          <w:szCs w:val="30"/>
          <w:highlight w:val="none"/>
          <w:lang w:eastAsia="zh-CN"/>
        </w:rPr>
        <w:t>科</w:t>
      </w:r>
      <w:r>
        <w:rPr>
          <w:rFonts w:hint="eastAsia" w:eastAsia="仿宋_GB2312"/>
          <w:color w:val="auto"/>
          <w:sz w:val="30"/>
          <w:szCs w:val="30"/>
          <w:highlight w:val="none"/>
        </w:rPr>
        <w:t>研院所和高等学校科技创新人才做技术顾问，对引进高层次或紧缺人才实行年薪制、协议工资制和项目工资制</w:t>
      </w:r>
      <w:r>
        <w:rPr>
          <w:rFonts w:hint="eastAsia" w:eastAsia="仿宋_GB2312"/>
          <w:color w:val="auto"/>
          <w:sz w:val="30"/>
          <w:szCs w:val="30"/>
          <w:highlight w:val="none"/>
          <w:lang w:eastAsia="zh-CN"/>
        </w:rPr>
        <w:t>，搭建与科研院所和高等院校人才交流平台，完善人才交流、实习、挂职、培训、就业机制</w:t>
      </w:r>
      <w:r>
        <w:rPr>
          <w:rFonts w:hint="eastAsia" w:eastAsia="仿宋_GB2312"/>
          <w:color w:val="auto"/>
          <w:sz w:val="30"/>
          <w:szCs w:val="30"/>
          <w:highlight w:val="none"/>
        </w:rPr>
        <w:t>；建立以能力、贡献、绩效为导向的人才评价机制，对科技人才实施分类评价，激发科技人员创新创业积极性。</w:t>
      </w:r>
      <w:r>
        <w:rPr>
          <w:rFonts w:hint="eastAsia" w:eastAsia="仿宋_GB2312"/>
          <w:b/>
          <w:bCs/>
          <w:color w:val="auto"/>
          <w:sz w:val="30"/>
          <w:szCs w:val="30"/>
          <w:highlight w:val="none"/>
        </w:rPr>
        <w:t>强化科技特派员工作站、专业技术协会作用。</w:t>
      </w:r>
      <w:r>
        <w:rPr>
          <w:rFonts w:hint="eastAsia" w:eastAsia="仿宋_GB2312"/>
          <w:color w:val="auto"/>
          <w:sz w:val="30"/>
          <w:szCs w:val="30"/>
          <w:highlight w:val="none"/>
        </w:rPr>
        <w:t>大力实施科技特派员农村科技创业行动，建设2-3个示范性科技特派员创业链，10-15个科技特派员示范基地，引导科技特派员领办创办2-3个企业、培育科技特派员与农民共同建立的专业合作组织5-8个。</w:t>
      </w:r>
      <w:r>
        <w:rPr>
          <w:rFonts w:hint="eastAsia" w:eastAsia="仿宋_GB2312"/>
          <w:b/>
          <w:bCs/>
          <w:color w:val="auto"/>
          <w:sz w:val="30"/>
          <w:szCs w:val="30"/>
          <w:highlight w:val="none"/>
        </w:rPr>
        <w:t>加强乡村科技人才队伍建设。</w:t>
      </w:r>
      <w:r>
        <w:rPr>
          <w:rFonts w:hint="eastAsia" w:eastAsia="仿宋_GB2312"/>
          <w:color w:val="auto"/>
          <w:sz w:val="30"/>
          <w:szCs w:val="30"/>
          <w:highlight w:val="none"/>
          <w:lang w:val="en-US" w:eastAsia="zh-CN"/>
        </w:rPr>
        <w:t>强化</w:t>
      </w:r>
      <w:r>
        <w:rPr>
          <w:rFonts w:hint="eastAsia" w:eastAsia="仿宋_GB2312"/>
          <w:color w:val="auto"/>
          <w:sz w:val="30"/>
          <w:szCs w:val="30"/>
          <w:highlight w:val="none"/>
        </w:rPr>
        <w:t>农业科技领军人才、创新创业人才和创新团队培养</w:t>
      </w:r>
      <w:r>
        <w:rPr>
          <w:rFonts w:hint="eastAsia" w:eastAsia="仿宋_GB2312"/>
          <w:color w:val="auto"/>
          <w:sz w:val="30"/>
          <w:szCs w:val="30"/>
          <w:highlight w:val="none"/>
          <w:lang w:eastAsia="zh-CN"/>
        </w:rPr>
        <w:t>，</w:t>
      </w:r>
      <w:r>
        <w:rPr>
          <w:rFonts w:hint="eastAsia" w:eastAsia="仿宋_GB2312"/>
          <w:color w:val="auto"/>
          <w:sz w:val="30"/>
          <w:szCs w:val="30"/>
          <w:highlight w:val="none"/>
        </w:rPr>
        <w:t>充分发挥专业技术人才的传帮带作用，采取“一帮一”“一带多”等多种方式，加大对乡村科技骨干人才培养。</w:t>
      </w:r>
      <w:r>
        <w:rPr>
          <w:rFonts w:hint="eastAsia" w:eastAsia="仿宋_GB2312"/>
          <w:b/>
          <w:bCs/>
          <w:color w:val="auto"/>
          <w:sz w:val="30"/>
          <w:szCs w:val="30"/>
          <w:highlight w:val="none"/>
        </w:rPr>
        <w:t>继续深化实用技术培训工作</w:t>
      </w:r>
      <w:r>
        <w:rPr>
          <w:rFonts w:hint="eastAsia" w:eastAsia="仿宋_GB2312"/>
          <w:b/>
          <w:bCs/>
          <w:color w:val="auto"/>
          <w:sz w:val="30"/>
          <w:szCs w:val="30"/>
          <w:highlight w:val="none"/>
          <w:lang w:eastAsia="zh-CN"/>
        </w:rPr>
        <w:t>。</w:t>
      </w:r>
      <w:r>
        <w:rPr>
          <w:rFonts w:hint="eastAsia" w:eastAsia="仿宋_GB2312"/>
          <w:color w:val="auto"/>
          <w:sz w:val="30"/>
          <w:szCs w:val="30"/>
          <w:highlight w:val="none"/>
        </w:rPr>
        <w:t>全面发挥县星火学校、乡星火课堂、村星火培训室等科技培训阵地的功能，努力培养一大批技能型产业工人、工程技术人才、企业经营管理人才。</w:t>
      </w:r>
    </w:p>
    <w:p>
      <w:pPr>
        <w:pStyle w:val="18"/>
        <w:keepNext w:val="0"/>
        <w:keepLines w:val="0"/>
        <w:shd w:val="clear"/>
        <w:spacing w:beforeLines="50" w:afterLines="50"/>
        <w:rPr>
          <w:rFonts w:hint="eastAsia" w:ascii="Times New Roman" w:hAnsi="Times New Roman"/>
          <w:lang w:val="zh-CN" w:eastAsia="zh-CN"/>
        </w:rPr>
      </w:pPr>
      <w:bookmarkStart w:id="252" w:name="_Toc830"/>
      <w:bookmarkStart w:id="253" w:name="_Toc2872"/>
      <w:r>
        <w:rPr>
          <w:rFonts w:hint="eastAsia" w:ascii="Times New Roman" w:hAnsi="Times New Roman"/>
          <w:lang w:val="zh-CN" w:eastAsia="zh-CN"/>
        </w:rPr>
        <w:t>第五节 促进科技成果转化</w:t>
      </w:r>
      <w:bookmarkEnd w:id="252"/>
      <w:bookmarkEnd w:id="253"/>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加快公共事业与公共安全领域的科技成果转化，加强人口健康、减灾防灾、公共安全等领域的成果引进及应用推广</w:t>
      </w:r>
      <w:r>
        <w:rPr>
          <w:rFonts w:hint="eastAsia" w:eastAsia="仿宋_GB2312"/>
          <w:color w:val="auto"/>
          <w:sz w:val="30"/>
          <w:szCs w:val="30"/>
          <w:highlight w:val="none"/>
          <w:lang w:eastAsia="zh-CN"/>
        </w:rPr>
        <w:t>。</w:t>
      </w:r>
      <w:r>
        <w:rPr>
          <w:rFonts w:hint="eastAsia" w:eastAsia="仿宋_GB2312"/>
          <w:color w:val="auto"/>
          <w:sz w:val="30"/>
          <w:szCs w:val="30"/>
          <w:highlight w:val="none"/>
        </w:rPr>
        <w:t>支持叶城维药药材种植标准化建设，促进维药产业科学发展；</w:t>
      </w:r>
      <w:r>
        <w:rPr>
          <w:rFonts w:hint="eastAsia" w:eastAsia="仿宋_GB2312"/>
          <w:color w:val="auto"/>
          <w:sz w:val="30"/>
          <w:szCs w:val="30"/>
          <w:highlight w:val="none"/>
          <w:lang w:val="en-US" w:eastAsia="zh-CN"/>
        </w:rPr>
        <w:t>鼓励引进</w:t>
      </w:r>
      <w:r>
        <w:rPr>
          <w:rFonts w:hint="eastAsia" w:eastAsia="仿宋_GB2312"/>
          <w:color w:val="auto"/>
          <w:sz w:val="30"/>
          <w:szCs w:val="30"/>
          <w:highlight w:val="none"/>
        </w:rPr>
        <w:t>农产品与食品安全检测技术与先进设备。进一步提高社会事业和公共安全水平，强化重大科技创新的民生导向，大力实施乡村振兴科技行动，依靠科技促进农业全面升级、农村全面进步、农民全面发展。</w:t>
      </w:r>
      <w:r>
        <w:rPr>
          <w:rFonts w:hint="eastAsia" w:eastAsia="仿宋_GB2312"/>
          <w:bCs/>
          <w:color w:val="auto"/>
          <w:sz w:val="30"/>
          <w:szCs w:val="30"/>
          <w:highlight w:val="none"/>
        </w:rPr>
        <w:t>大力发展资源环境科学技术，</w:t>
      </w:r>
      <w:r>
        <w:rPr>
          <w:rFonts w:hint="eastAsia" w:eastAsia="仿宋_GB2312"/>
          <w:color w:val="auto"/>
          <w:sz w:val="30"/>
          <w:szCs w:val="30"/>
          <w:highlight w:val="none"/>
        </w:rPr>
        <w:t>进一步加快先进生态环境综合治理技术成果的引进和应用，重点引进防沙治沙、盐碱地治理等关键技术；针对未来新型工业和现代农业发展可能造成的环境污染，引进大气、水体和土壤污染综合治理技术。进一步推进科技强警工程，建立公共安全现代化体系，健全科技强警工作和保障机制，设立县科技强警专项，提高公安工作的现代化水平和队伍管理的正规化水平，</w:t>
      </w:r>
      <w:r>
        <w:rPr>
          <w:rFonts w:hint="eastAsia" w:eastAsia="仿宋_GB2312"/>
          <w:color w:val="auto"/>
          <w:sz w:val="30"/>
          <w:szCs w:val="30"/>
          <w:highlight w:val="none"/>
          <w:lang w:eastAsia="zh-CN"/>
        </w:rPr>
        <w:t>持续</w:t>
      </w:r>
      <w:r>
        <w:rPr>
          <w:rFonts w:hint="eastAsia" w:eastAsia="仿宋_GB2312"/>
          <w:color w:val="auto"/>
          <w:sz w:val="30"/>
          <w:szCs w:val="30"/>
          <w:highlight w:val="none"/>
        </w:rPr>
        <w:t>推进县、乡两级公共安全视频监控建设和联网应用，全面提升预防和应对突发事件的技术水平，为创建</w:t>
      </w:r>
      <w:r>
        <w:rPr>
          <w:rFonts w:hint="eastAsia" w:eastAsia="仿宋_GB2312"/>
          <w:color w:val="auto"/>
          <w:sz w:val="30"/>
          <w:szCs w:val="30"/>
          <w:highlight w:val="none"/>
          <w:lang w:eastAsia="zh-CN"/>
        </w:rPr>
        <w:t>“</w:t>
      </w:r>
      <w:r>
        <w:rPr>
          <w:rFonts w:hint="eastAsia" w:eastAsia="仿宋_GB2312"/>
          <w:color w:val="auto"/>
          <w:sz w:val="30"/>
          <w:szCs w:val="30"/>
          <w:highlight w:val="none"/>
        </w:rPr>
        <w:t>平安叶城</w:t>
      </w:r>
      <w:r>
        <w:rPr>
          <w:rFonts w:hint="eastAsia" w:eastAsia="仿宋_GB2312"/>
          <w:color w:val="auto"/>
          <w:sz w:val="30"/>
          <w:szCs w:val="30"/>
          <w:highlight w:val="none"/>
          <w:lang w:eastAsia="zh-CN"/>
        </w:rPr>
        <w:t>”“</w:t>
      </w:r>
      <w:r>
        <w:rPr>
          <w:rFonts w:hint="eastAsia" w:eastAsia="仿宋_GB2312"/>
          <w:color w:val="auto"/>
          <w:sz w:val="30"/>
          <w:szCs w:val="30"/>
          <w:highlight w:val="none"/>
        </w:rPr>
        <w:t>和谐叶城</w:t>
      </w:r>
      <w:r>
        <w:rPr>
          <w:rFonts w:hint="eastAsia" w:eastAsia="仿宋_GB2312"/>
          <w:color w:val="auto"/>
          <w:sz w:val="30"/>
          <w:szCs w:val="30"/>
          <w:highlight w:val="none"/>
          <w:lang w:eastAsia="zh-CN"/>
        </w:rPr>
        <w:t>”</w:t>
      </w:r>
      <w:r>
        <w:rPr>
          <w:rFonts w:hint="eastAsia" w:eastAsia="仿宋_GB2312"/>
          <w:color w:val="auto"/>
          <w:sz w:val="30"/>
          <w:szCs w:val="30"/>
          <w:highlight w:val="none"/>
        </w:rPr>
        <w:t>提供科技保障。</w:t>
      </w:r>
    </w:p>
    <w:p>
      <w:pPr>
        <w:pStyle w:val="18"/>
        <w:keepNext w:val="0"/>
        <w:keepLines w:val="0"/>
        <w:shd w:val="clear"/>
        <w:spacing w:beforeLines="50" w:afterLines="50"/>
        <w:rPr>
          <w:rFonts w:hint="eastAsia" w:ascii="Times New Roman" w:hAnsi="Times New Roman"/>
          <w:lang w:val="zh-CN" w:eastAsia="zh-CN"/>
        </w:rPr>
      </w:pPr>
      <w:bookmarkStart w:id="254" w:name="_Toc16145"/>
      <w:bookmarkStart w:id="255" w:name="_Toc980"/>
      <w:r>
        <w:rPr>
          <w:rFonts w:hint="eastAsia" w:ascii="Times New Roman" w:hAnsi="Times New Roman"/>
          <w:lang w:val="zh-CN" w:eastAsia="zh-CN"/>
        </w:rPr>
        <w:t>第六节 提升群众科学素质</w:t>
      </w:r>
      <w:bookmarkEnd w:id="254"/>
      <w:bookmarkEnd w:id="255"/>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完善科普宣传设施建设</w:t>
      </w:r>
      <w:r>
        <w:rPr>
          <w:rFonts w:hint="eastAsia" w:eastAsia="仿宋_GB2312"/>
          <w:color w:val="auto"/>
          <w:sz w:val="30"/>
          <w:szCs w:val="30"/>
          <w:highlight w:val="none"/>
          <w:lang w:eastAsia="zh-CN"/>
        </w:rPr>
        <w:t>。</w:t>
      </w:r>
      <w:r>
        <w:rPr>
          <w:rFonts w:hint="eastAsia" w:eastAsia="仿宋_GB2312"/>
          <w:color w:val="auto"/>
          <w:sz w:val="30"/>
          <w:szCs w:val="30"/>
          <w:highlight w:val="none"/>
        </w:rPr>
        <w:t>认真</w:t>
      </w:r>
      <w:r>
        <w:rPr>
          <w:rFonts w:hint="eastAsia" w:eastAsia="仿宋_GB2312"/>
          <w:color w:val="auto"/>
          <w:kern w:val="0"/>
          <w:sz w:val="30"/>
          <w:szCs w:val="30"/>
          <w:highlight w:val="none"/>
        </w:rPr>
        <w:t>落实</w:t>
      </w:r>
      <w:r>
        <w:rPr>
          <w:rFonts w:hint="eastAsia" w:eastAsia="仿宋_GB2312"/>
          <w:color w:val="auto"/>
          <w:sz w:val="30"/>
          <w:szCs w:val="30"/>
          <w:highlight w:val="none"/>
        </w:rPr>
        <w:t>《自治区全民科学素质行动计划纲要实施方案》，新建自治区级科普素质培训基地1个，</w:t>
      </w:r>
      <w:r>
        <w:rPr>
          <w:rFonts w:hint="eastAsia" w:eastAsia="仿宋_GB2312"/>
          <w:color w:val="auto"/>
          <w:kern w:val="0"/>
          <w:sz w:val="30"/>
          <w:szCs w:val="30"/>
          <w:highlight w:val="none"/>
        </w:rPr>
        <w:t>强化科技兴新素质工程培训和职业技能培训。加快先进适用技术集成应用和示范推广，</w:t>
      </w:r>
      <w:r>
        <w:rPr>
          <w:rFonts w:hint="eastAsia" w:eastAsia="仿宋_GB2312"/>
          <w:color w:val="auto"/>
          <w:kern w:val="0"/>
          <w:sz w:val="30"/>
          <w:szCs w:val="30"/>
          <w:highlight w:val="none"/>
          <w:lang w:val="en-US" w:eastAsia="zh-CN"/>
        </w:rPr>
        <w:t>引导</w:t>
      </w:r>
      <w:r>
        <w:rPr>
          <w:rFonts w:hint="eastAsia" w:eastAsia="仿宋_GB2312"/>
          <w:color w:val="auto"/>
          <w:kern w:val="0"/>
          <w:sz w:val="30"/>
          <w:szCs w:val="30"/>
          <w:highlight w:val="none"/>
        </w:rPr>
        <w:t>农牧民运用科技致富、树立健康文明现代的生产生活方式。</w:t>
      </w:r>
      <w:r>
        <w:rPr>
          <w:rFonts w:hint="eastAsia" w:eastAsia="仿宋_GB2312"/>
          <w:color w:val="auto"/>
          <w:sz w:val="30"/>
          <w:szCs w:val="30"/>
          <w:highlight w:val="none"/>
        </w:rPr>
        <w:t>认真实施《自治区基层科普行动计划》，聚焦基层一线，深入基层，充分发挥科技馆、科普大篷车等以及媒体科普宣传主阵地作用，积极举办科技下乡、科技活动周、科普日、科普进校园、科普进乡村、科普进军营等各类科普活动。提升群众科学理念，充分利用科技馆内设的科技人才培训基地、学术报告厅，通过举办科技讲座、科技报告会、科技论坛，以及线上抖音、微信公众号、线下实地参观相结合的多种形式，推动科技知识进村入户</w:t>
      </w:r>
      <w:r>
        <w:rPr>
          <w:rFonts w:hint="eastAsia" w:eastAsia="仿宋_GB2312"/>
          <w:color w:val="auto"/>
          <w:sz w:val="30"/>
          <w:szCs w:val="30"/>
          <w:highlight w:val="none"/>
          <w:lang w:eastAsia="zh-CN"/>
        </w:rPr>
        <w:t>，争取创建</w:t>
      </w:r>
      <w:r>
        <w:rPr>
          <w:rFonts w:hint="eastAsia" w:eastAsia="仿宋_GB2312"/>
          <w:color w:val="auto"/>
          <w:sz w:val="30"/>
          <w:szCs w:val="30"/>
          <w:highlight w:val="none"/>
        </w:rPr>
        <w:t>全国科普宣传基地。“十四五”末，</w:t>
      </w:r>
      <w:r>
        <w:rPr>
          <w:rFonts w:hint="eastAsia" w:eastAsia="仿宋_GB2312"/>
          <w:color w:val="auto"/>
          <w:sz w:val="30"/>
          <w:szCs w:val="30"/>
          <w:highlight w:val="none"/>
          <w:lang w:eastAsia="zh-CN"/>
        </w:rPr>
        <w:t>确保</w:t>
      </w:r>
      <w:r>
        <w:rPr>
          <w:rFonts w:hint="eastAsia" w:eastAsia="仿宋_GB2312"/>
          <w:color w:val="auto"/>
          <w:sz w:val="30"/>
          <w:szCs w:val="30"/>
          <w:highlight w:val="none"/>
        </w:rPr>
        <w:t>叶城具备科学素质的公民达到8%</w:t>
      </w:r>
      <w:r>
        <w:rPr>
          <w:rFonts w:hint="eastAsia" w:eastAsia="仿宋_GB2312"/>
          <w:color w:val="auto"/>
          <w:sz w:val="30"/>
          <w:szCs w:val="30"/>
          <w:highlight w:val="none"/>
          <w:lang w:eastAsia="zh-CN"/>
        </w:rPr>
        <w:t>的目标</w:t>
      </w:r>
      <w:r>
        <w:rPr>
          <w:rFonts w:hint="eastAsia" w:eastAsia="仿宋_GB2312"/>
          <w:color w:val="auto"/>
          <w:sz w:val="30"/>
          <w:szCs w:val="30"/>
          <w:highlight w:val="none"/>
        </w:rPr>
        <w:t>。</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256" w:name="_Toc5475"/>
      <w:bookmarkStart w:id="257" w:name="_Toc18070"/>
      <w:r>
        <w:rPr>
          <w:rFonts w:hint="eastAsia" w:ascii="Times New Roman" w:hAnsi="Times New Roman" w:eastAsia="黑体" w:cs="Times New Roman"/>
          <w:b w:val="0"/>
          <w:bCs w:val="0"/>
          <w:sz w:val="30"/>
          <w:szCs w:val="30"/>
          <w:lang w:val="en-US" w:eastAsia="zh-CN"/>
        </w:rPr>
        <w:t>第十</w:t>
      </w:r>
      <w:r>
        <w:rPr>
          <w:rFonts w:hint="eastAsia" w:eastAsia="黑体" w:cs="Times New Roman"/>
          <w:b w:val="0"/>
          <w:bCs w:val="0"/>
          <w:sz w:val="30"/>
          <w:szCs w:val="30"/>
          <w:lang w:val="en-US" w:eastAsia="zh-CN"/>
        </w:rPr>
        <w:t>三</w:t>
      </w:r>
      <w:r>
        <w:rPr>
          <w:rFonts w:hint="eastAsia" w:ascii="Times New Roman" w:hAnsi="Times New Roman" w:eastAsia="黑体" w:cs="Times New Roman"/>
          <w:b w:val="0"/>
          <w:bCs w:val="0"/>
          <w:sz w:val="30"/>
          <w:szCs w:val="30"/>
          <w:lang w:val="en-US" w:eastAsia="zh-CN"/>
        </w:rPr>
        <w:t>章 优化国土空间开发格局</w:t>
      </w:r>
      <w:bookmarkStart w:id="258" w:name="_Toc35428972"/>
      <w:bookmarkStart w:id="259" w:name="_Toc29812989"/>
      <w:bookmarkStart w:id="260" w:name="_Toc32156"/>
      <w:r>
        <w:rPr>
          <w:rFonts w:hint="eastAsia" w:ascii="Times New Roman" w:hAnsi="Times New Roman" w:eastAsia="黑体" w:cs="Times New Roman"/>
          <w:b w:val="0"/>
          <w:bCs w:val="0"/>
          <w:sz w:val="30"/>
          <w:szCs w:val="30"/>
          <w:lang w:val="en-US" w:eastAsia="zh-CN"/>
        </w:rPr>
        <w:t>，建设新型国土空间治理体系</w:t>
      </w:r>
      <w:bookmarkEnd w:id="256"/>
      <w:bookmarkEnd w:id="257"/>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bCs/>
          <w:color w:val="auto"/>
          <w:kern w:val="0"/>
          <w:sz w:val="30"/>
          <w:szCs w:val="30"/>
          <w:highlight w:val="none"/>
        </w:rPr>
      </w:pPr>
      <w:r>
        <w:rPr>
          <w:rFonts w:hint="eastAsia" w:eastAsia="仿宋_GB2312"/>
          <w:bCs/>
          <w:color w:val="auto"/>
          <w:kern w:val="0"/>
          <w:sz w:val="30"/>
          <w:szCs w:val="30"/>
          <w:highlight w:val="none"/>
        </w:rPr>
        <w:t>构建科学合理国土空间布局，以国土空间规划为引领，深入落实重大国家战略、区域协调发展战略、主体功能区战略，构建高质量发展的国土空间布局和支撑体系。强化国土空间开发管控，健全国土空间开发保护制度，构建安全、和谐、开放、协调、富有竞争力和可持续发展的美丽国土空间。</w:t>
      </w:r>
    </w:p>
    <w:p>
      <w:pPr>
        <w:pStyle w:val="18"/>
        <w:keepNext w:val="0"/>
        <w:keepLines w:val="0"/>
        <w:shd w:val="clear"/>
        <w:spacing w:beforeLines="50" w:afterLines="50"/>
        <w:rPr>
          <w:rFonts w:hint="eastAsia" w:ascii="Times New Roman" w:hAnsi="Times New Roman"/>
          <w:lang w:val="zh-CN" w:eastAsia="zh-CN"/>
        </w:rPr>
      </w:pPr>
      <w:bookmarkStart w:id="261" w:name="_Toc20348"/>
      <w:bookmarkStart w:id="262" w:name="_Toc27832"/>
      <w:bookmarkStart w:id="263" w:name="_Toc7516"/>
      <w:r>
        <w:rPr>
          <w:rFonts w:hint="eastAsia" w:ascii="Times New Roman" w:hAnsi="Times New Roman"/>
          <w:lang w:val="zh-CN" w:eastAsia="zh-CN"/>
        </w:rPr>
        <w:t>第一节</w:t>
      </w:r>
      <w:r>
        <w:rPr>
          <w:rFonts w:hint="eastAsia" w:ascii="Times New Roman" w:hAnsi="Times New Roman"/>
          <w:lang w:val="en-US" w:eastAsia="zh-CN"/>
        </w:rPr>
        <w:t xml:space="preserve"> </w:t>
      </w:r>
      <w:r>
        <w:rPr>
          <w:rFonts w:hint="eastAsia" w:ascii="Times New Roman" w:hAnsi="Times New Roman"/>
          <w:lang w:val="zh-CN" w:eastAsia="zh-CN"/>
        </w:rPr>
        <w:t>建立国土空间规划体系</w:t>
      </w:r>
      <w:bookmarkEnd w:id="261"/>
      <w:bookmarkEnd w:id="262"/>
      <w:r>
        <w:rPr>
          <w:rFonts w:hint="eastAsia" w:ascii="Times New Roman" w:hAnsi="Times New Roman"/>
          <w:lang w:val="zh-CN"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rPr>
          <w:rFonts w:hint="eastAsia" w:ascii="Times New Roman" w:hAnsi="Times New Roman" w:eastAsia="仿宋_GB2312" w:cs="Times New Roman"/>
          <w:bCs/>
          <w:color w:val="auto"/>
          <w:kern w:val="0"/>
          <w:sz w:val="30"/>
          <w:szCs w:val="30"/>
          <w:highlight w:val="none"/>
          <w:lang w:val="en-US" w:eastAsia="zh-CN" w:bidi="ar-SA"/>
        </w:rPr>
      </w:pPr>
      <w:r>
        <w:rPr>
          <w:rFonts w:hint="eastAsia" w:ascii="Times New Roman" w:hAnsi="Times New Roman" w:eastAsia="仿宋_GB2312" w:cs="Times New Roman"/>
          <w:bCs/>
          <w:color w:val="auto"/>
          <w:kern w:val="0"/>
          <w:sz w:val="30"/>
          <w:szCs w:val="30"/>
          <w:highlight w:val="none"/>
          <w:lang w:val="en-US" w:eastAsia="zh-CN" w:bidi="ar-SA"/>
        </w:rPr>
        <w:t>全面落实国家国土空间规划纲要，推动总体规划与专项规划和详细规划有机衔接。科学划定生态保护红线、永久基本农田、城镇开发边界三条控制线，逐步形成城市化地区、农产品主产区、生态功能区三大空间格局，优化重大基础设施、重大生产力和公共资源布局。支持城市化地区高效率聚集经济和人口、保护基本农田和生态空间，支持农产品主产区增强农业生产能力，支持生态功能区把发展重点放在保护生态环境、提供生态产品上，支持生态功能区的人口逐步有序转移，科学合理调整优化生态功能布局。完善规划法规政策体系，强化规划监督实施，严格审批和监管，确保“一张蓝图干到底”。</w:t>
      </w:r>
    </w:p>
    <w:p>
      <w:pPr>
        <w:pStyle w:val="18"/>
        <w:keepNext w:val="0"/>
        <w:keepLines w:val="0"/>
        <w:shd w:val="clear"/>
        <w:spacing w:beforeLines="50" w:afterLines="50"/>
        <w:rPr>
          <w:rFonts w:hint="eastAsia" w:ascii="Times New Roman" w:hAnsi="Times New Roman"/>
          <w:lang w:val="zh-CN" w:eastAsia="zh-CN"/>
        </w:rPr>
      </w:pPr>
      <w:bookmarkStart w:id="264" w:name="_Toc29202"/>
      <w:bookmarkStart w:id="265" w:name="_Toc15152"/>
      <w:r>
        <w:rPr>
          <w:rFonts w:hint="eastAsia" w:ascii="Times New Roman" w:hAnsi="Times New Roman"/>
          <w:lang w:val="zh-CN" w:eastAsia="zh-CN"/>
        </w:rPr>
        <w:t>第二节</w:t>
      </w:r>
      <w:r>
        <w:rPr>
          <w:rFonts w:hint="eastAsia" w:ascii="Times New Roman" w:hAnsi="Times New Roman"/>
          <w:lang w:val="en-US" w:eastAsia="zh-CN"/>
        </w:rPr>
        <w:t xml:space="preserve"> </w:t>
      </w:r>
      <w:r>
        <w:rPr>
          <w:rFonts w:hint="eastAsia" w:ascii="Times New Roman" w:hAnsi="Times New Roman"/>
          <w:lang w:val="zh-CN" w:eastAsia="zh-CN"/>
        </w:rPr>
        <w:t>科学合理布局国土空间</w:t>
      </w:r>
      <w:bookmarkEnd w:id="263"/>
      <w:bookmarkEnd w:id="264"/>
      <w:bookmarkEnd w:id="265"/>
    </w:p>
    <w:p>
      <w:pPr>
        <w:keepNext w:val="0"/>
        <w:keepLines w:val="0"/>
        <w:pageBreakBefore w:val="0"/>
        <w:shd w:val="clear"/>
        <w:kinsoku/>
        <w:wordWrap/>
        <w:autoSpaceDE/>
        <w:autoSpaceDN/>
        <w:bidi w:val="0"/>
        <w:spacing w:line="560" w:lineRule="exact"/>
        <w:ind w:firstLine="600" w:firstLineChars="200"/>
        <w:textAlignment w:val="auto"/>
        <w:rPr>
          <w:rFonts w:eastAsia="仿宋_GB2312"/>
          <w:bCs/>
          <w:color w:val="auto"/>
          <w:kern w:val="0"/>
          <w:sz w:val="30"/>
          <w:szCs w:val="30"/>
          <w:highlight w:val="none"/>
        </w:rPr>
      </w:pPr>
      <w:r>
        <w:rPr>
          <w:rFonts w:hint="eastAsia" w:eastAsia="仿宋_GB2312"/>
          <w:bCs/>
          <w:color w:val="auto"/>
          <w:kern w:val="0"/>
          <w:sz w:val="30"/>
          <w:szCs w:val="30"/>
          <w:highlight w:val="none"/>
        </w:rPr>
        <w:t>优化山水林城田的</w:t>
      </w:r>
      <w:r>
        <w:rPr>
          <w:rFonts w:hint="eastAsia" w:eastAsia="仿宋_GB2312"/>
          <w:bCs/>
          <w:color w:val="auto"/>
          <w:kern w:val="0"/>
          <w:sz w:val="30"/>
          <w:szCs w:val="30"/>
          <w:highlight w:val="none"/>
          <w:lang w:eastAsia="zh-CN"/>
        </w:rPr>
        <w:t>县</w:t>
      </w:r>
      <w:r>
        <w:rPr>
          <w:rFonts w:hint="eastAsia" w:eastAsia="仿宋_GB2312"/>
          <w:bCs/>
          <w:color w:val="auto"/>
          <w:kern w:val="0"/>
          <w:sz w:val="30"/>
          <w:szCs w:val="30"/>
          <w:highlight w:val="none"/>
        </w:rPr>
        <w:t>域空间格局，强化国土空间底线管控，科学配置国土空间资源，构建</w:t>
      </w:r>
      <w:r>
        <w:rPr>
          <w:rFonts w:hint="eastAsia" w:eastAsia="仿宋_GB2312"/>
          <w:bCs/>
          <w:color w:val="auto"/>
          <w:kern w:val="0"/>
          <w:sz w:val="30"/>
          <w:szCs w:val="30"/>
          <w:highlight w:val="none"/>
          <w:lang w:eastAsia="zh-CN"/>
        </w:rPr>
        <w:t>科学合理的生产空间、生活空间、生态空间，</w:t>
      </w:r>
      <w:r>
        <w:rPr>
          <w:rFonts w:hint="eastAsia" w:eastAsia="仿宋_GB2312"/>
          <w:bCs/>
          <w:color w:val="auto"/>
          <w:kern w:val="0"/>
          <w:sz w:val="30"/>
          <w:szCs w:val="30"/>
          <w:highlight w:val="none"/>
        </w:rPr>
        <w:t>健康韧性的沙漠、绿洲生态空间网络。促进区域协同发展，明确各区功能定位，确定产业发展重点方向。</w:t>
      </w:r>
      <w:r>
        <w:rPr>
          <w:rFonts w:hint="eastAsia" w:eastAsia="仿宋_GB2312"/>
          <w:color w:val="auto"/>
          <w:sz w:val="30"/>
          <w:szCs w:val="30"/>
          <w:highlight w:val="none"/>
        </w:rPr>
        <w:t>根据产业发展规划，对特色产业园建设给予土地利用方面政策支持。建立建设用地集约利用准入机制，制定工业项目入园标准和联席会议审查制度；建立土地利用综合评价体系和土地利用奖惩机制，提升土地使用效率。积极做好土地储备，研究建立产业发展与建设用地联动机制，实现良性滚动开发。</w:t>
      </w:r>
      <w:r>
        <w:rPr>
          <w:rFonts w:hint="eastAsia" w:eastAsia="仿宋_GB2312"/>
          <w:color w:val="auto"/>
          <w:kern w:val="0"/>
          <w:sz w:val="30"/>
          <w:szCs w:val="30"/>
          <w:highlight w:val="none"/>
        </w:rPr>
        <w:t>严格建设用地总量和强度“双控”目标，建立节约集约用地激励和约束机制，加大批而未供土地的有效利用，加快闲置土地处置，积极推动划拨土地盘活利用和城市土地综合利用。深入推进农村集体经营性建设用地入市，有序推进城乡建设用地增减挂钩。深化农村宅基地制度改革，探索开展宅基地上市交易试点。</w:t>
      </w:r>
      <w:r>
        <w:rPr>
          <w:rFonts w:hint="eastAsia" w:eastAsia="仿宋_GB2312"/>
          <w:color w:val="auto"/>
          <w:kern w:val="0"/>
          <w:sz w:val="30"/>
          <w:szCs w:val="28"/>
          <w:highlight w:val="none"/>
        </w:rPr>
        <w:t>加大矿产资源勘查力度，增强战略合作，开展县域矿产资源摸底勘察。</w:t>
      </w:r>
      <w:r>
        <w:rPr>
          <w:rFonts w:hint="eastAsia" w:eastAsia="仿宋_GB2312"/>
          <w:color w:val="auto"/>
          <w:kern w:val="0"/>
          <w:sz w:val="30"/>
          <w:szCs w:val="30"/>
          <w:highlight w:val="none"/>
        </w:rPr>
        <w:t>提高矿产资源开采回采率、选矿回收率、综合利用率，不断完善矿山地质环境保护和土地复垦制度。</w:t>
      </w:r>
    </w:p>
    <w:p>
      <w:pPr>
        <w:pStyle w:val="18"/>
        <w:keepNext w:val="0"/>
        <w:keepLines w:val="0"/>
        <w:shd w:val="clear"/>
        <w:spacing w:beforeLines="50" w:afterLines="50"/>
        <w:rPr>
          <w:rFonts w:hint="eastAsia" w:ascii="Times New Roman" w:hAnsi="Times New Roman"/>
          <w:lang w:val="zh-CN" w:eastAsia="zh-CN"/>
        </w:rPr>
      </w:pPr>
      <w:bookmarkStart w:id="266" w:name="_Toc31529"/>
      <w:bookmarkStart w:id="267" w:name="_Toc26720"/>
      <w:bookmarkStart w:id="268" w:name="_Toc29639"/>
      <w:r>
        <w:rPr>
          <w:rFonts w:hint="eastAsia" w:ascii="Times New Roman" w:hAnsi="Times New Roman"/>
          <w:lang w:val="zh-CN" w:eastAsia="zh-CN"/>
        </w:rPr>
        <w:t>第三节 强化国土空间开发管控</w:t>
      </w:r>
      <w:bookmarkEnd w:id="266"/>
      <w:bookmarkEnd w:id="267"/>
      <w:bookmarkEnd w:id="268"/>
    </w:p>
    <w:p>
      <w:pPr>
        <w:keepNext w:val="0"/>
        <w:keepLines w:val="0"/>
        <w:pageBreakBefore w:val="0"/>
        <w:shd w:val="clear"/>
        <w:kinsoku/>
        <w:wordWrap/>
        <w:autoSpaceDE/>
        <w:autoSpaceDN/>
        <w:bidi w:val="0"/>
        <w:spacing w:line="560" w:lineRule="exact"/>
        <w:ind w:firstLine="600" w:firstLineChars="200"/>
        <w:textAlignment w:val="auto"/>
        <w:rPr>
          <w:rFonts w:eastAsia="仿宋_GB2312"/>
          <w:bCs/>
          <w:color w:val="auto"/>
          <w:kern w:val="0"/>
          <w:sz w:val="30"/>
          <w:szCs w:val="30"/>
          <w:highlight w:val="none"/>
        </w:rPr>
      </w:pPr>
      <w:r>
        <w:rPr>
          <w:rFonts w:hint="eastAsia" w:eastAsia="仿宋_GB2312"/>
          <w:bCs/>
          <w:color w:val="auto"/>
          <w:kern w:val="0"/>
          <w:sz w:val="30"/>
          <w:szCs w:val="30"/>
          <w:highlight w:val="none"/>
        </w:rPr>
        <w:t>按照生态功能、农业功能、城市功能，根据资源环境承载能力和国土空间开发适宜性评价，</w:t>
      </w:r>
      <w:r>
        <w:rPr>
          <w:rFonts w:hint="eastAsia" w:eastAsia="仿宋_GB2312"/>
          <w:color w:val="auto"/>
          <w:sz w:val="30"/>
          <w:szCs w:val="30"/>
          <w:highlight w:val="none"/>
        </w:rPr>
        <w:t>科学划定城镇、农业、生态空间以及生态保护红线、永久基本农田、城镇开发边界（三区三线）。深入实施山水林田湖草一体化的生态保护修复，规划布局一批重大工程，</w:t>
      </w:r>
      <w:r>
        <w:rPr>
          <w:rFonts w:hint="eastAsia" w:eastAsia="仿宋_GB2312"/>
          <w:bCs/>
          <w:color w:val="auto"/>
          <w:kern w:val="0"/>
          <w:sz w:val="30"/>
          <w:szCs w:val="30"/>
          <w:highlight w:val="none"/>
        </w:rPr>
        <w:t>推进生态修复与环境治理，开展水土保持治理、生态荒漠植被恢复、湿地进行改造和保护、森林植被修复、土壤污染防治、小流域整治、海绵城市建设、矿山地质环境整治和修复等生态修复项目，促进山水林田湖</w:t>
      </w:r>
      <w:r>
        <w:rPr>
          <w:rFonts w:hint="eastAsia" w:eastAsia="仿宋_GB2312"/>
          <w:bCs/>
          <w:color w:val="auto"/>
          <w:kern w:val="0"/>
          <w:sz w:val="30"/>
          <w:szCs w:val="30"/>
          <w:highlight w:val="none"/>
          <w:lang w:val="en-US" w:eastAsia="zh-CN"/>
        </w:rPr>
        <w:t>草</w:t>
      </w:r>
      <w:r>
        <w:rPr>
          <w:rFonts w:hint="eastAsia" w:eastAsia="仿宋_GB2312"/>
          <w:bCs/>
          <w:color w:val="auto"/>
          <w:kern w:val="0"/>
          <w:sz w:val="30"/>
          <w:szCs w:val="30"/>
          <w:highlight w:val="none"/>
        </w:rPr>
        <w:t>的统一保护和修复。</w:t>
      </w:r>
      <w:r>
        <w:rPr>
          <w:rFonts w:hint="eastAsia" w:eastAsia="仿宋_GB2312"/>
          <w:color w:val="auto"/>
          <w:sz w:val="30"/>
          <w:szCs w:val="30"/>
          <w:highlight w:val="none"/>
        </w:rPr>
        <w:t>完善城市外围周边防护林体系，构建城区外围生态屏障，以更高的国土空间利用质量和效益推动县域可持续发展。积极探索推进“多规合一”，加快各级各类资源空间规划的整合和融合及规划规范化、制度化进程，</w:t>
      </w:r>
      <w:r>
        <w:rPr>
          <w:rFonts w:hint="eastAsia" w:eastAsia="仿宋_GB2312"/>
          <w:color w:val="auto"/>
          <w:sz w:val="30"/>
          <w:szCs w:val="30"/>
          <w:highlight w:val="none"/>
          <w:lang w:val="en-US" w:eastAsia="zh-CN"/>
        </w:rPr>
        <w:t>提高</w:t>
      </w:r>
      <w:r>
        <w:rPr>
          <w:rFonts w:hint="eastAsia" w:eastAsia="仿宋_GB2312"/>
          <w:color w:val="auto"/>
          <w:sz w:val="30"/>
          <w:szCs w:val="30"/>
          <w:highlight w:val="none"/>
        </w:rPr>
        <w:t>空间开发利用的社会整体利益及经济</w:t>
      </w:r>
      <w:r>
        <w:rPr>
          <w:rFonts w:hint="eastAsia" w:eastAsia="仿宋_GB2312"/>
          <w:color w:val="auto"/>
          <w:sz w:val="30"/>
          <w:szCs w:val="30"/>
          <w:highlight w:val="none"/>
          <w:lang w:val="en-US" w:eastAsia="zh-CN"/>
        </w:rPr>
        <w:t>效益</w:t>
      </w:r>
      <w:r>
        <w:rPr>
          <w:rFonts w:hint="eastAsia" w:eastAsia="仿宋_GB2312"/>
          <w:color w:val="auto"/>
          <w:sz w:val="30"/>
          <w:szCs w:val="30"/>
          <w:highlight w:val="none"/>
        </w:rPr>
        <w:t>。</w:t>
      </w:r>
      <w:r>
        <w:rPr>
          <w:rFonts w:hint="eastAsia" w:eastAsia="仿宋_GB2312"/>
          <w:bCs/>
          <w:color w:val="auto"/>
          <w:kern w:val="0"/>
          <w:sz w:val="30"/>
          <w:szCs w:val="30"/>
          <w:highlight w:val="none"/>
        </w:rPr>
        <w:t>针对水体、大气等，加强区域联防联控，增强区域合作协作能力。建设用地精准调控，建立土地主导用途分区引导，坚持“盘活存量、管控增量、问题导向、分类施策”，不断推动城市低效用地的再开发，为城市产业提升和经济社会发展提供空间保障。</w:t>
      </w:r>
    </w:p>
    <w:p>
      <w:pPr>
        <w:pStyle w:val="18"/>
        <w:keepNext w:val="0"/>
        <w:keepLines w:val="0"/>
        <w:shd w:val="clear"/>
        <w:spacing w:beforeLines="50" w:afterLines="50"/>
        <w:rPr>
          <w:rFonts w:hint="eastAsia" w:ascii="Times New Roman" w:hAnsi="Times New Roman"/>
          <w:lang w:val="zh-CN" w:eastAsia="zh-CN"/>
        </w:rPr>
      </w:pPr>
      <w:bookmarkStart w:id="269" w:name="_Toc17781"/>
      <w:bookmarkStart w:id="270" w:name="_Toc18007"/>
      <w:bookmarkStart w:id="271" w:name="_Toc11054"/>
      <w:r>
        <w:rPr>
          <w:rFonts w:hint="eastAsia" w:ascii="Times New Roman" w:hAnsi="Times New Roman"/>
          <w:lang w:val="zh-CN" w:eastAsia="zh-CN"/>
        </w:rPr>
        <w:t>第四节 健全国土开发保护制度</w:t>
      </w:r>
      <w:bookmarkEnd w:id="269"/>
      <w:bookmarkEnd w:id="270"/>
      <w:bookmarkEnd w:id="271"/>
    </w:p>
    <w:p>
      <w:pPr>
        <w:keepNext w:val="0"/>
        <w:keepLines w:val="0"/>
        <w:pageBreakBefore w:val="0"/>
        <w:shd w:val="clear"/>
        <w:kinsoku/>
        <w:wordWrap/>
        <w:autoSpaceDE/>
        <w:autoSpaceDN/>
        <w:bidi w:val="0"/>
        <w:spacing w:line="560" w:lineRule="exact"/>
        <w:ind w:firstLine="600" w:firstLineChars="200"/>
        <w:textAlignment w:val="auto"/>
        <w:rPr>
          <w:rFonts w:eastAsia="仿宋_GB2312"/>
          <w:bCs/>
          <w:color w:val="auto"/>
          <w:kern w:val="0"/>
          <w:sz w:val="30"/>
          <w:szCs w:val="30"/>
          <w:highlight w:val="none"/>
        </w:rPr>
      </w:pPr>
      <w:r>
        <w:rPr>
          <w:rFonts w:hint="eastAsia" w:eastAsia="仿宋_GB2312"/>
          <w:bCs/>
          <w:color w:val="auto"/>
          <w:kern w:val="0"/>
          <w:sz w:val="30"/>
          <w:szCs w:val="30"/>
          <w:highlight w:val="none"/>
        </w:rPr>
        <w:t>健全完善规划实施传导和管控体系，建立规划传导管控机制，横向强化对各专项规划的指导约束。建立国土空间开发动态评估调整机制，建立公开、透明、制度化的动态维护机制；建立国土空间信息平台，形成全县国土空间规划“一张图”，按照系统性、整体性、协同性的总体要求开展平台建设。健全规划实施保障体系，落实自然资源统一管理，完善规划实施法规政策，健全相关配套政策。</w:t>
      </w:r>
    </w:p>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272" w:name="_Toc13558"/>
      <w:bookmarkStart w:id="273" w:name="_Toc27707"/>
      <w:r>
        <w:rPr>
          <w:rFonts w:hint="eastAsia" w:ascii="Times New Roman" w:hAnsi="Times New Roman" w:eastAsia="黑体" w:cs="Times New Roman"/>
          <w:b w:val="0"/>
          <w:bCs w:val="0"/>
          <w:sz w:val="30"/>
          <w:szCs w:val="30"/>
          <w:lang w:val="en-US" w:eastAsia="zh-CN"/>
        </w:rPr>
        <w:t>第十</w:t>
      </w:r>
      <w:r>
        <w:rPr>
          <w:rFonts w:hint="eastAsia" w:eastAsia="黑体" w:cs="Times New Roman"/>
          <w:b w:val="0"/>
          <w:bCs w:val="0"/>
          <w:sz w:val="30"/>
          <w:szCs w:val="30"/>
          <w:lang w:val="en-US" w:eastAsia="zh-CN"/>
        </w:rPr>
        <w:t>四</w:t>
      </w:r>
      <w:r>
        <w:rPr>
          <w:rFonts w:hint="eastAsia" w:ascii="Times New Roman" w:hAnsi="Times New Roman" w:eastAsia="黑体" w:cs="Times New Roman"/>
          <w:b w:val="0"/>
          <w:bCs w:val="0"/>
          <w:sz w:val="30"/>
          <w:szCs w:val="30"/>
          <w:lang w:val="en-US" w:eastAsia="zh-CN"/>
        </w:rPr>
        <w:t>章 践行绿色发展理念，确立生态安全格局</w:t>
      </w:r>
      <w:bookmarkEnd w:id="272"/>
      <w:bookmarkEnd w:id="273"/>
    </w:p>
    <w:p>
      <w:pPr>
        <w:keepNext w:val="0"/>
        <w:keepLines w:val="0"/>
        <w:pageBreakBefore w:val="0"/>
        <w:shd w:val="clear"/>
        <w:kinsoku/>
        <w:wordWrap/>
        <w:autoSpaceDE/>
        <w:autoSpaceDN/>
        <w:bidi w:val="0"/>
        <w:spacing w:line="560" w:lineRule="exact"/>
        <w:ind w:firstLine="600" w:firstLineChars="200"/>
        <w:textAlignment w:val="auto"/>
        <w:rPr>
          <w:rFonts w:hint="eastAsia" w:eastAsia="仿宋_GB2312"/>
          <w:bCs/>
          <w:color w:val="auto"/>
          <w:kern w:val="0"/>
          <w:sz w:val="30"/>
          <w:szCs w:val="30"/>
          <w:highlight w:val="none"/>
        </w:rPr>
      </w:pPr>
      <w:r>
        <w:rPr>
          <w:rFonts w:hint="eastAsia" w:eastAsia="仿宋_GB2312"/>
          <w:bCs/>
          <w:color w:val="auto"/>
          <w:kern w:val="0"/>
          <w:sz w:val="30"/>
          <w:szCs w:val="30"/>
          <w:highlight w:val="none"/>
          <w:lang w:val="en-US" w:eastAsia="zh-CN"/>
        </w:rPr>
        <w:t>深入贯彻落实习近平生态文明思想，以持续提高环境质量为核心，促进地区绿色转型发展为主线，着力补齐生态环境短板，打好重污染天气歼灭战，持续改善PM2.5、流域、土壤等环境质量，健全生态环境保护领域的体制机制，形成绿色低碳发展，实现经济高质量发展和生态环境高水平保护，推动叶城县生态文明建设迈上新台阶。</w:t>
      </w:r>
    </w:p>
    <w:p>
      <w:pPr>
        <w:pStyle w:val="18"/>
        <w:keepNext w:val="0"/>
        <w:keepLines w:val="0"/>
        <w:shd w:val="clear"/>
        <w:spacing w:beforeLines="50" w:afterLines="50"/>
        <w:rPr>
          <w:rFonts w:hint="eastAsia" w:ascii="Times New Roman" w:hAnsi="Times New Roman"/>
          <w:lang w:val="zh-CN" w:eastAsia="zh-CN"/>
        </w:rPr>
      </w:pPr>
      <w:bookmarkStart w:id="274" w:name="_Toc28602"/>
      <w:bookmarkStart w:id="275" w:name="_Toc29731"/>
      <w:r>
        <w:rPr>
          <w:rFonts w:hint="eastAsia" w:ascii="Times New Roman" w:hAnsi="Times New Roman"/>
          <w:lang w:val="zh-CN" w:eastAsia="zh-CN"/>
        </w:rPr>
        <w:t>第一节 打赢蓝天保卫战</w:t>
      </w:r>
      <w:bookmarkEnd w:id="274"/>
      <w:bookmarkEnd w:id="275"/>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推进防风固沙工程和绿化工程，进一步推进燃煤污染控制、工业污染源和机动车污染治理，深入推进煤改电，加快充电桩、加气站等设施建设，推广清洁能源汽车应用。城市空气质量优良天数比例达到28.3%以上。强化区域性和局域性的二氧化硫、烟粉尘、氮氧化物、挥发性有机物、氨气、臭氧以及温室气体等多污染物协同控制。稳定优化能源结构，建立以电力、天然气等优质清洁能源为主的能源供应体系，发展以电力、液化石油气、天然气等新能源，提高清洁能源的使用率。加强钢铁行业、水泥行业、其他工业污染源、以燃煤废气和工艺废气等为重点的大气污染综合整治，持续淘汰分散燃煤小锅炉，加快燃煤燃气锅炉升级改造，强力推进移动污染源防止。采取有效的治理技术措施，实施污染治理工程项目，严格各类大气污染源的环境监督管理。制定并实施扬尘污染控制规定，建立扬尘污染防治长效管理机制。通过改善道路质量，实施路面硬化，加强道路洒水及清扫，减少车辆抛撒逸散，减轻路面扬尘污染和交通扬尘污染。加大城镇裸露地面的绿化力度，控制自然扬尘和施工扬尘的产生。</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加大大气质量监测及治理力度，加强空气质量预警及应急能力建设，配置大气环境质量监测和应急仪器设备。强化城乡交通污染源治理，在公共交通、中短途客运、物流运输、出租车行业、城镇公共事业车辆（垃圾运输、洒水等）等领域，分步骤推广应用新能源和清洁能源车，筹建车用废电池回收利用体系，积极应对电动车报废高潮期的到来；完善城市绿色公共交通体系，加强与周边地区的公交系统衔接和覆盖，引导共享出行有序发展。到2025年，县城空气质量优良天数比例持续上升；PM2.5年均浓度控制在80微克/立方米以下；二氧化氮与臭氧浓度得到改善；重度污染天数持续下降，二氧化硫、氮氧化物排放分别减排5.3%、5.2%以上，</w:t>
      </w:r>
      <w:r>
        <w:rPr>
          <w:rFonts w:hint="eastAsia" w:eastAsia="仿宋_GB2312" w:cs="Times New Roman"/>
          <w:b w:val="0"/>
          <w:bCs w:val="0"/>
          <w:color w:val="auto"/>
          <w:kern w:val="2"/>
          <w:sz w:val="30"/>
          <w:szCs w:val="30"/>
          <w:highlight w:val="none"/>
          <w:lang w:val="en-US" w:eastAsia="zh-CN" w:bidi="ar-SA"/>
        </w:rPr>
        <w:t>严格</w:t>
      </w:r>
      <w:r>
        <w:rPr>
          <w:rFonts w:hint="eastAsia" w:ascii="Times New Roman" w:hAnsi="Times New Roman" w:eastAsia="仿宋_GB2312" w:cs="Times New Roman"/>
          <w:b w:val="0"/>
          <w:bCs w:val="0"/>
          <w:color w:val="auto"/>
          <w:kern w:val="2"/>
          <w:sz w:val="30"/>
          <w:szCs w:val="30"/>
          <w:highlight w:val="none"/>
          <w:lang w:val="en-US" w:eastAsia="zh-CN" w:bidi="ar-SA"/>
        </w:rPr>
        <w:t>控制污染物减排重点区域，大气污染物排放量明显下降。</w:t>
      </w:r>
    </w:p>
    <w:p>
      <w:pPr>
        <w:pStyle w:val="18"/>
        <w:keepNext w:val="0"/>
        <w:keepLines w:val="0"/>
        <w:shd w:val="clear"/>
        <w:spacing w:beforeLines="50" w:afterLines="50"/>
        <w:rPr>
          <w:rFonts w:hint="eastAsia" w:ascii="Times New Roman" w:hAnsi="Times New Roman"/>
          <w:lang w:val="en-US" w:eastAsia="zh-CN"/>
        </w:rPr>
      </w:pPr>
      <w:bookmarkStart w:id="276" w:name="_Toc9065"/>
      <w:bookmarkStart w:id="277" w:name="_Toc26554"/>
      <w:r>
        <w:rPr>
          <w:rFonts w:hint="eastAsia" w:ascii="Times New Roman" w:hAnsi="Times New Roman"/>
          <w:lang w:val="en-US" w:eastAsia="zh-CN"/>
        </w:rPr>
        <w:t>第二节 打赢碧水保卫战</w:t>
      </w:r>
      <w:bookmarkEnd w:id="276"/>
      <w:bookmarkEnd w:id="277"/>
    </w:p>
    <w:p>
      <w:pPr>
        <w:pStyle w:val="13"/>
        <w:keepNext w:val="0"/>
        <w:keepLines w:val="0"/>
        <w:pageBreakBefore w:val="0"/>
        <w:shd w:val="clear"/>
        <w:kinsoku/>
        <w:wordWrap/>
        <w:autoSpaceDE/>
        <w:autoSpaceDN/>
        <w:bidi w:val="0"/>
        <w:spacing w:beforeAutospacing="0" w:afterAutospacing="0" w:line="560" w:lineRule="exact"/>
        <w:ind w:firstLine="600" w:firstLineChars="200"/>
        <w:textAlignment w:val="auto"/>
        <w:rPr>
          <w:rFonts w:hint="eastAsia" w:ascii="Times New Roman" w:hAnsi="Times New Roman" w:eastAsia="仿宋_GB2312"/>
          <w:bCs/>
          <w:color w:val="auto"/>
          <w:sz w:val="30"/>
          <w:szCs w:val="30"/>
          <w:highlight w:val="none"/>
        </w:rPr>
      </w:pPr>
      <w:r>
        <w:rPr>
          <w:rFonts w:hint="eastAsia" w:ascii="Times New Roman" w:hAnsi="Times New Roman" w:eastAsia="仿宋_GB2312"/>
          <w:color w:val="auto"/>
          <w:sz w:val="30"/>
          <w:szCs w:val="30"/>
          <w:highlight w:val="none"/>
        </w:rPr>
        <w:t>全面落实最严格水资源管理制度，推进实施工业节水、农业灌溉节水、城镇生活节水、完成县域节水型社会达标建设，推进水资源论证工作，加大地下水治理保护力度，严格控制地下水开采，加快再生水回用设施建设，推进中水回用（需提高污水处理能力和标准，建设中水库等工程措施，利用中水进行生态灌溉和城市绿化，提高水资源利用效率）。实施“一河一湖一策”，强化不达标水体治理，实施河流两侧1公里范围傍水村庄农村生活污水治理和垃圾处置工程建设；</w:t>
      </w:r>
      <w:r>
        <w:rPr>
          <w:rFonts w:hint="eastAsia" w:ascii="Times New Roman" w:hAnsi="Times New Roman" w:eastAsia="仿宋_GB2312"/>
          <w:color w:val="auto"/>
          <w:sz w:val="30"/>
          <w:szCs w:val="30"/>
          <w:highlight w:val="none"/>
          <w:lang w:eastAsia="zh-CN"/>
        </w:rPr>
        <w:t>对现有灌区建设生态沟渠、污水净化塘、地表经流集蓄池等设施严禁农排水直接进入河道。</w:t>
      </w:r>
      <w:r>
        <w:rPr>
          <w:rFonts w:hint="eastAsia" w:ascii="Times New Roman" w:hAnsi="Times New Roman" w:eastAsia="仿宋_GB2312"/>
          <w:color w:val="auto"/>
          <w:sz w:val="30"/>
          <w:szCs w:val="30"/>
          <w:highlight w:val="none"/>
        </w:rPr>
        <w:t>全面实施“河（湖）长制”，建设河流岸线、河湖生态保护机制，积极开展河道整治工作，常态化开展禁养区治理、污染排放等专项治理行动，实现叶城“河畅、水清、岸绿、景美”的目标。实施农村饮水安全巩固提升工程，加快应急水源地建设，切实保障饮水安全，强化水源水、出厂水、管网水、末梢水的全过程管理。</w:t>
      </w:r>
      <w:r>
        <w:rPr>
          <w:rFonts w:hint="eastAsia" w:ascii="Times New Roman" w:hAnsi="Times New Roman" w:eastAsia="仿宋_GB2312"/>
          <w:color w:val="auto"/>
          <w:sz w:val="30"/>
          <w:szCs w:val="30"/>
          <w:highlight w:val="none"/>
          <w:lang w:eastAsia="zh-CN"/>
        </w:rPr>
        <w:t>加快城镇生活污水处理厂扩能，提高污水收集处理能力，强化老旧城区和城乡结合部污水节流、收集，完善城市排水体制，新建城区采用分流制排水系统。</w:t>
      </w:r>
      <w:r>
        <w:rPr>
          <w:rFonts w:hint="eastAsia" w:ascii="Times New Roman" w:hAnsi="Times New Roman" w:eastAsia="仿宋_GB2312"/>
          <w:color w:val="auto"/>
          <w:sz w:val="30"/>
          <w:szCs w:val="30"/>
          <w:highlight w:val="none"/>
        </w:rPr>
        <w:t>加大</w:t>
      </w:r>
      <w:r>
        <w:rPr>
          <w:rFonts w:hint="eastAsia" w:ascii="Times New Roman" w:hAnsi="Times New Roman" w:eastAsia="仿宋_GB2312"/>
          <w:color w:val="auto"/>
          <w:sz w:val="30"/>
          <w:szCs w:val="30"/>
          <w:highlight w:val="none"/>
          <w:lang w:eastAsia="zh-CN"/>
        </w:rPr>
        <w:t>第一、</w:t>
      </w:r>
      <w:r>
        <w:rPr>
          <w:rFonts w:hint="eastAsia" w:ascii="Times New Roman" w:hAnsi="Times New Roman" w:eastAsia="仿宋_GB2312"/>
          <w:color w:val="auto"/>
          <w:sz w:val="30"/>
          <w:szCs w:val="30"/>
          <w:highlight w:val="none"/>
        </w:rPr>
        <w:t>第二污水处理厂运营监管力度，保证在线监控设施正常运行，污水达标排放。全面推进重工业园区、畜牧养殖园区污水处理厂高效运行，确保工业污水、畜禽屠宰厂废水达标排放。坚决落实“零打井”制度，推进“井电双控”智能在线监控，严禁违法开荒和开采地下水。</w:t>
      </w:r>
      <w:r>
        <w:rPr>
          <w:rFonts w:hint="eastAsia" w:ascii="Times New Roman" w:hAnsi="Times New Roman" w:eastAsia="仿宋_GB2312"/>
          <w:color w:val="auto"/>
          <w:spacing w:val="3"/>
          <w:sz w:val="30"/>
          <w:szCs w:val="30"/>
          <w:highlight w:val="none"/>
        </w:rPr>
        <w:t>到2025年，</w:t>
      </w:r>
      <w:r>
        <w:rPr>
          <w:rFonts w:hint="eastAsia" w:ascii="Times New Roman" w:hAnsi="Times New Roman" w:eastAsia="仿宋_GB2312"/>
          <w:bCs/>
          <w:color w:val="auto"/>
          <w:sz w:val="30"/>
          <w:szCs w:val="30"/>
          <w:highlight w:val="none"/>
        </w:rPr>
        <w:t>全县</w:t>
      </w:r>
      <w:r>
        <w:rPr>
          <w:rFonts w:hint="eastAsia" w:ascii="Times New Roman" w:hAnsi="Times New Roman" w:eastAsia="仿宋_GB2312"/>
          <w:bCs/>
          <w:color w:val="auto"/>
          <w:sz w:val="30"/>
          <w:szCs w:val="30"/>
          <w:highlight w:val="none"/>
          <w:lang w:val="en-US" w:eastAsia="zh-CN"/>
        </w:rPr>
        <w:t>2</w:t>
      </w:r>
      <w:r>
        <w:rPr>
          <w:rFonts w:hint="eastAsia" w:ascii="Times New Roman" w:hAnsi="Times New Roman" w:eastAsia="仿宋_GB2312"/>
          <w:bCs/>
          <w:color w:val="auto"/>
          <w:sz w:val="30"/>
          <w:szCs w:val="30"/>
          <w:highlight w:val="none"/>
        </w:rPr>
        <w:t>条河流</w:t>
      </w:r>
      <w:r>
        <w:rPr>
          <w:rFonts w:hint="eastAsia" w:ascii="Times New Roman" w:hAnsi="Times New Roman" w:eastAsia="仿宋_GB2312"/>
          <w:bCs/>
          <w:color w:val="auto"/>
          <w:sz w:val="30"/>
          <w:szCs w:val="30"/>
          <w:highlight w:val="none"/>
          <w:lang w:val="en-US" w:eastAsia="zh-CN"/>
        </w:rPr>
        <w:t>3</w:t>
      </w:r>
      <w:r>
        <w:rPr>
          <w:rFonts w:hint="eastAsia" w:ascii="Times New Roman" w:hAnsi="Times New Roman" w:eastAsia="仿宋_GB2312"/>
          <w:bCs/>
          <w:color w:val="auto"/>
          <w:sz w:val="30"/>
          <w:szCs w:val="30"/>
          <w:highlight w:val="none"/>
        </w:rPr>
        <w:t>个监测断面水质优良（达到或优于Ⅲ类）比例100%；5座湖库水质优良（达到或优于Ⅲ类）比例100%；城镇集中式饮用水水源地水质达到或优于Ⅲ类；地下水水质保持稳定。</w:t>
      </w:r>
    </w:p>
    <w:p>
      <w:pPr>
        <w:pStyle w:val="18"/>
        <w:keepNext w:val="0"/>
        <w:keepLines w:val="0"/>
        <w:shd w:val="clear"/>
        <w:spacing w:beforeLines="50" w:afterLines="50"/>
        <w:rPr>
          <w:rFonts w:hint="eastAsia" w:ascii="Times New Roman" w:hAnsi="Times New Roman"/>
          <w:lang w:val="en-US" w:eastAsia="zh-CN"/>
        </w:rPr>
      </w:pPr>
      <w:bookmarkStart w:id="278" w:name="_Toc13509"/>
      <w:bookmarkStart w:id="279" w:name="_Toc29271_WPSOffice_Level2"/>
      <w:bookmarkStart w:id="280" w:name="_Toc11022"/>
      <w:r>
        <w:rPr>
          <w:rFonts w:hint="eastAsia" w:ascii="Times New Roman" w:hAnsi="Times New Roman"/>
          <w:lang w:val="en-US" w:eastAsia="zh-CN"/>
        </w:rPr>
        <w:t>第三节 打赢净土保卫战</w:t>
      </w:r>
      <w:bookmarkEnd w:id="278"/>
      <w:bookmarkEnd w:id="279"/>
      <w:bookmarkEnd w:id="280"/>
    </w:p>
    <w:p>
      <w:pPr>
        <w:pStyle w:val="13"/>
        <w:keepNext w:val="0"/>
        <w:keepLines w:val="0"/>
        <w:pageBreakBefore w:val="0"/>
        <w:shd w:val="clear"/>
        <w:kinsoku/>
        <w:wordWrap/>
        <w:autoSpaceDE/>
        <w:autoSpaceDN/>
        <w:bidi w:val="0"/>
        <w:spacing w:beforeAutospacing="0" w:afterAutospacing="0" w:line="560" w:lineRule="exact"/>
        <w:ind w:firstLine="600" w:firstLineChars="200"/>
        <w:textAlignment w:val="auto"/>
        <w:rPr>
          <w:rFonts w:hint="eastAsia" w:ascii="Times New Roman" w:hAnsi="Times New Roman" w:eastAsia="仿宋_GB2312"/>
          <w:bCs/>
          <w:color w:val="auto"/>
          <w:sz w:val="30"/>
          <w:szCs w:val="30"/>
          <w:highlight w:val="none"/>
        </w:rPr>
      </w:pPr>
      <w:r>
        <w:rPr>
          <w:rFonts w:hint="eastAsia" w:ascii="Times New Roman" w:hAnsi="Times New Roman" w:eastAsia="仿宋_GB2312"/>
          <w:color w:val="auto"/>
          <w:sz w:val="30"/>
          <w:szCs w:val="30"/>
          <w:highlight w:val="none"/>
        </w:rPr>
        <w:t>建立完善土壤环境风险预警技术体系，强化农业面源污染治理，废旧地膜回收，合理使用农药，加强工业固废、生活固废处理力度，医疗废物集中处置。强化土壤环境</w:t>
      </w:r>
      <w:r>
        <w:rPr>
          <w:rFonts w:hint="eastAsia" w:ascii="Times New Roman" w:hAnsi="Times New Roman" w:eastAsia="仿宋_GB2312"/>
          <w:color w:val="auto"/>
          <w:sz w:val="30"/>
          <w:szCs w:val="30"/>
          <w:highlight w:val="none"/>
          <w:lang w:eastAsia="zh-CN"/>
        </w:rPr>
        <w:t>质量</w:t>
      </w:r>
      <w:r>
        <w:rPr>
          <w:rFonts w:hint="eastAsia" w:ascii="Times New Roman" w:hAnsi="Times New Roman" w:eastAsia="仿宋_GB2312"/>
          <w:color w:val="auto"/>
          <w:sz w:val="30"/>
          <w:szCs w:val="30"/>
          <w:highlight w:val="none"/>
        </w:rPr>
        <w:t>监管</w:t>
      </w:r>
      <w:r>
        <w:rPr>
          <w:rFonts w:hint="eastAsia" w:ascii="Times New Roman" w:hAnsi="Times New Roman" w:eastAsia="仿宋_GB2312"/>
          <w:color w:val="auto"/>
          <w:sz w:val="30"/>
          <w:szCs w:val="30"/>
          <w:highlight w:val="none"/>
          <w:lang w:eastAsia="zh-CN"/>
        </w:rPr>
        <w:t>，</w:t>
      </w:r>
      <w:r>
        <w:rPr>
          <w:rFonts w:hint="eastAsia" w:ascii="Times New Roman" w:hAnsi="Times New Roman" w:eastAsia="仿宋_GB2312"/>
          <w:color w:val="auto"/>
          <w:sz w:val="30"/>
          <w:szCs w:val="30"/>
          <w:highlight w:val="none"/>
        </w:rPr>
        <w:t>开展重点地区土壤污染状况调查，完成耕地土壤环境安全性评估和等级划分。开展粮食产区、蔬菜基地和集中式饮用水源地土壤环境质量动态</w:t>
      </w:r>
      <w:r>
        <w:rPr>
          <w:rFonts w:hint="eastAsia" w:ascii="Times New Roman" w:hAnsi="Times New Roman" w:eastAsia="仿宋_GB2312"/>
          <w:color w:val="auto"/>
          <w:sz w:val="30"/>
          <w:szCs w:val="30"/>
          <w:highlight w:val="none"/>
          <w:lang w:val="en-US" w:eastAsia="zh-CN"/>
        </w:rPr>
        <w:t>监</w:t>
      </w:r>
      <w:r>
        <w:rPr>
          <w:rFonts w:hint="eastAsia" w:ascii="Times New Roman" w:hAnsi="Times New Roman" w:eastAsia="仿宋_GB2312"/>
          <w:color w:val="auto"/>
          <w:sz w:val="30"/>
          <w:szCs w:val="30"/>
          <w:highlight w:val="none"/>
        </w:rPr>
        <w:t>测，掌握土壤环境变化情况。定期对排放重金属、有机污染物的工矿企业以及污水、垃圾、危险废物等处理设施周边土壤进行监测，造成污染的限期予以治理。强化被污染耕地安全利用和被污染地块开发利用的环境风险控制。</w:t>
      </w:r>
      <w:r>
        <w:rPr>
          <w:rFonts w:hint="eastAsia" w:ascii="Times New Roman" w:hAnsi="Times New Roman" w:eastAsia="仿宋_GB2312"/>
          <w:color w:val="auto"/>
          <w:kern w:val="2"/>
          <w:sz w:val="30"/>
          <w:szCs w:val="30"/>
          <w:highlight w:val="none"/>
        </w:rPr>
        <w:t>建立全地区土壤环境风险预警技术体系和业务化运行的土壤环境风险预警信息平台。强化固体废物（危险废物）环境监测和治理，加强重金属污染防控；强化农业面源污染控制，完善地膜回收机制，确保农业废旧地膜回收率达到</w:t>
      </w:r>
      <w:r>
        <w:rPr>
          <w:rFonts w:hint="eastAsia" w:ascii="Times New Roman" w:hAnsi="Times New Roman" w:eastAsia="仿宋_GB2312"/>
          <w:color w:val="auto"/>
          <w:kern w:val="2"/>
          <w:sz w:val="30"/>
          <w:szCs w:val="30"/>
          <w:highlight w:val="none"/>
          <w:lang w:val="en-US" w:eastAsia="zh-CN"/>
        </w:rPr>
        <w:t>9</w:t>
      </w:r>
      <w:r>
        <w:rPr>
          <w:rFonts w:hint="eastAsia" w:ascii="Times New Roman" w:hAnsi="Times New Roman" w:eastAsia="仿宋_GB2312"/>
          <w:color w:val="auto"/>
          <w:kern w:val="2"/>
          <w:sz w:val="30"/>
          <w:szCs w:val="30"/>
          <w:highlight w:val="none"/>
        </w:rPr>
        <w:t>0%以上。</w:t>
      </w:r>
      <w:r>
        <w:rPr>
          <w:rFonts w:hint="eastAsia" w:ascii="Times New Roman" w:hAnsi="Times New Roman" w:eastAsia="仿宋_GB2312"/>
          <w:color w:val="auto"/>
          <w:kern w:val="2"/>
          <w:sz w:val="30"/>
          <w:szCs w:val="30"/>
          <w:highlight w:val="none"/>
          <w:lang w:eastAsia="zh-CN"/>
        </w:rPr>
        <w:t>资源化利用</w:t>
      </w:r>
      <w:r>
        <w:rPr>
          <w:rFonts w:hint="eastAsia" w:ascii="Times New Roman" w:hAnsi="Times New Roman" w:eastAsia="仿宋_GB2312"/>
          <w:color w:val="auto"/>
          <w:kern w:val="2"/>
          <w:sz w:val="30"/>
          <w:szCs w:val="30"/>
          <w:highlight w:val="none"/>
          <w:lang w:val="en-US" w:eastAsia="zh-CN"/>
        </w:rPr>
        <w:t>率</w:t>
      </w:r>
      <w:r>
        <w:rPr>
          <w:rFonts w:hint="eastAsia" w:ascii="Times New Roman" w:hAnsi="Times New Roman" w:eastAsia="仿宋_GB2312"/>
          <w:color w:val="auto"/>
          <w:kern w:val="2"/>
          <w:sz w:val="30"/>
          <w:szCs w:val="30"/>
          <w:highlight w:val="none"/>
          <w:lang w:eastAsia="zh-CN"/>
        </w:rPr>
        <w:t>达到</w:t>
      </w:r>
      <w:r>
        <w:rPr>
          <w:rFonts w:hint="eastAsia" w:ascii="Times New Roman" w:hAnsi="Times New Roman" w:eastAsia="仿宋_GB2312"/>
          <w:color w:val="auto"/>
          <w:kern w:val="2"/>
          <w:sz w:val="30"/>
          <w:szCs w:val="30"/>
          <w:highlight w:val="none"/>
          <w:lang w:val="en-US" w:eastAsia="zh-CN"/>
        </w:rPr>
        <w:t>95%以上，农田废旧地膜污染治理实现全覆盖。</w:t>
      </w:r>
      <w:r>
        <w:rPr>
          <w:rFonts w:hint="eastAsia" w:ascii="Times New Roman" w:hAnsi="Times New Roman" w:eastAsia="仿宋_GB2312"/>
          <w:color w:val="auto"/>
          <w:kern w:val="2"/>
          <w:sz w:val="30"/>
          <w:szCs w:val="30"/>
          <w:highlight w:val="none"/>
        </w:rPr>
        <w:t>加强重点行业企业监管，以工业集聚区为重点，加强对一般工业固体废物处理处置。强化畜禽养殖污染防治。提高危险废物处理水平，逐步扩大医疗废物集中处置设施服务范围，积极推进乡镇、农村和偏远地区医疗废物安全处置。</w:t>
      </w:r>
      <w:r>
        <w:rPr>
          <w:rFonts w:hint="eastAsia" w:ascii="Times New Roman" w:hAnsi="Times New Roman" w:eastAsia="仿宋_GB2312"/>
          <w:color w:val="auto"/>
          <w:sz w:val="30"/>
          <w:szCs w:val="30"/>
          <w:highlight w:val="none"/>
        </w:rPr>
        <w:t>加强对生活垃圾填埋场渗滤液排放的监管，建设厨余垃圾处理和渗滤液污染控制示范工程。对垃圾简易处理或堆放设施和场所进行整治，对已封场的垃圾填埋场和旧垃圾场进行生态修复、改造。加强电动车废旧铅蓄酸电池的环境监管；鼓励有资质的企业实施集中回收、集中储运和利用。到2025年</w:t>
      </w:r>
      <w:r>
        <w:rPr>
          <w:rFonts w:hint="eastAsia" w:ascii="Times New Roman" w:hAnsi="Times New Roman" w:eastAsia="仿宋_GB2312"/>
          <w:color w:val="auto"/>
          <w:sz w:val="30"/>
          <w:szCs w:val="30"/>
          <w:highlight w:val="none"/>
          <w:lang w:val="en-US" w:eastAsia="zh-CN"/>
        </w:rPr>
        <w:t>末</w:t>
      </w:r>
      <w:r>
        <w:rPr>
          <w:rFonts w:hint="eastAsia" w:ascii="Times New Roman" w:hAnsi="Times New Roman" w:eastAsia="仿宋_GB2312"/>
          <w:color w:val="auto"/>
          <w:sz w:val="30"/>
          <w:szCs w:val="30"/>
          <w:highlight w:val="none"/>
          <w:lang w:eastAsia="zh-CN"/>
        </w:rPr>
        <w:t>，</w:t>
      </w:r>
      <w:r>
        <w:rPr>
          <w:rFonts w:hint="eastAsia" w:ascii="Times New Roman" w:hAnsi="Times New Roman" w:eastAsia="仿宋_GB2312"/>
          <w:color w:val="auto"/>
          <w:sz w:val="30"/>
          <w:szCs w:val="30"/>
          <w:highlight w:val="none"/>
          <w:lang w:val="zh-CN"/>
        </w:rPr>
        <w:t>城镇生活垃圾无害化处理率</w:t>
      </w:r>
      <w:r>
        <w:rPr>
          <w:rFonts w:hint="eastAsia" w:ascii="Times New Roman" w:hAnsi="Times New Roman" w:eastAsia="仿宋_GB2312"/>
          <w:color w:val="auto"/>
          <w:sz w:val="30"/>
          <w:szCs w:val="30"/>
          <w:highlight w:val="none"/>
          <w:lang w:val="en-US" w:eastAsia="zh-CN"/>
        </w:rPr>
        <w:t>达95</w:t>
      </w:r>
      <w:r>
        <w:rPr>
          <w:rFonts w:hint="eastAsia" w:ascii="Times New Roman" w:hAnsi="Times New Roman" w:eastAsia="仿宋_GB2312"/>
          <w:color w:val="auto"/>
          <w:sz w:val="30"/>
          <w:szCs w:val="30"/>
          <w:highlight w:val="none"/>
        </w:rPr>
        <w:t>%</w:t>
      </w:r>
      <w:r>
        <w:rPr>
          <w:rFonts w:hint="eastAsia" w:ascii="Times New Roman" w:hAnsi="Times New Roman" w:eastAsia="仿宋_GB2312"/>
          <w:color w:val="auto"/>
          <w:sz w:val="30"/>
          <w:szCs w:val="30"/>
          <w:highlight w:val="none"/>
          <w:lang w:eastAsia="zh-CN"/>
        </w:rPr>
        <w:t>以上</w:t>
      </w:r>
      <w:r>
        <w:rPr>
          <w:rFonts w:hint="eastAsia" w:ascii="Times New Roman" w:hAnsi="Times New Roman" w:eastAsia="仿宋_GB2312"/>
          <w:color w:val="auto"/>
          <w:sz w:val="30"/>
          <w:szCs w:val="30"/>
          <w:highlight w:val="none"/>
        </w:rPr>
        <w:t>，工业固体废物综合利用率</w:t>
      </w:r>
      <w:r>
        <w:rPr>
          <w:rFonts w:hint="eastAsia" w:ascii="Times New Roman" w:hAnsi="Times New Roman" w:eastAsia="仿宋_GB2312"/>
          <w:color w:val="auto"/>
          <w:sz w:val="30"/>
          <w:szCs w:val="30"/>
          <w:highlight w:val="none"/>
          <w:lang w:eastAsia="zh-CN"/>
        </w:rPr>
        <w:t>达</w:t>
      </w:r>
      <w:r>
        <w:rPr>
          <w:rFonts w:hint="eastAsia" w:ascii="Times New Roman" w:hAnsi="Times New Roman" w:eastAsia="仿宋_GB2312"/>
          <w:color w:val="auto"/>
          <w:sz w:val="30"/>
          <w:szCs w:val="30"/>
          <w:highlight w:val="none"/>
          <w:lang w:val="en-US" w:eastAsia="zh-CN"/>
        </w:rPr>
        <w:t>7</w:t>
      </w:r>
      <w:r>
        <w:rPr>
          <w:rFonts w:hint="eastAsia" w:ascii="Times New Roman" w:hAnsi="Times New Roman" w:eastAsia="仿宋_GB2312"/>
          <w:color w:val="auto"/>
          <w:sz w:val="30"/>
          <w:szCs w:val="30"/>
          <w:highlight w:val="none"/>
        </w:rPr>
        <w:t>0%</w:t>
      </w:r>
      <w:r>
        <w:rPr>
          <w:rFonts w:hint="eastAsia" w:ascii="Times New Roman" w:hAnsi="Times New Roman" w:eastAsia="仿宋_GB2312"/>
          <w:color w:val="auto"/>
          <w:sz w:val="30"/>
          <w:szCs w:val="30"/>
          <w:highlight w:val="none"/>
          <w:lang w:eastAsia="zh-CN"/>
        </w:rPr>
        <w:t>。</w:t>
      </w:r>
    </w:p>
    <w:p>
      <w:pPr>
        <w:pStyle w:val="18"/>
        <w:keepNext w:val="0"/>
        <w:keepLines w:val="0"/>
        <w:shd w:val="clear"/>
        <w:spacing w:beforeLines="50" w:afterLines="50"/>
        <w:rPr>
          <w:rFonts w:hint="eastAsia" w:ascii="Times New Roman" w:hAnsi="Times New Roman"/>
          <w:lang w:val="zh-CN" w:eastAsia="zh-CN"/>
        </w:rPr>
      </w:pPr>
      <w:bookmarkStart w:id="281" w:name="_Toc12924"/>
      <w:bookmarkStart w:id="282" w:name="_Toc1702"/>
      <w:r>
        <w:rPr>
          <w:rFonts w:hint="eastAsia" w:ascii="Times New Roman" w:hAnsi="Times New Roman"/>
          <w:lang w:val="en-US" w:eastAsia="zh-CN"/>
        </w:rPr>
        <w:t xml:space="preserve">第四节 </w:t>
      </w:r>
      <w:r>
        <w:rPr>
          <w:rFonts w:hint="eastAsia" w:ascii="Times New Roman" w:hAnsi="Times New Roman"/>
          <w:lang w:val="zh-CN" w:eastAsia="zh-CN"/>
        </w:rPr>
        <w:t>深入推进农村环境综合整治</w:t>
      </w:r>
      <w:bookmarkEnd w:id="281"/>
      <w:bookmarkEnd w:id="282"/>
    </w:p>
    <w:p>
      <w:pPr>
        <w:pStyle w:val="20"/>
        <w:keepNext w:val="0"/>
        <w:keepLines w:val="0"/>
        <w:pageBreakBefore w:val="0"/>
        <w:numPr>
          <w:ilvl w:val="0"/>
          <w:numId w:val="0"/>
        </w:numPr>
        <w:shd w:val="clear"/>
        <w:kinsoku/>
        <w:wordWrap/>
        <w:autoSpaceDE/>
        <w:autoSpaceDN/>
        <w:bidi w:val="0"/>
        <w:spacing w:line="560" w:lineRule="exact"/>
        <w:ind w:firstLine="612" w:firstLineChars="200"/>
        <w:textAlignment w:val="auto"/>
        <w:rPr>
          <w:rFonts w:hint="eastAsia" w:eastAsia="仿宋_GB2312"/>
          <w:color w:val="auto"/>
          <w:spacing w:val="3"/>
          <w:sz w:val="30"/>
          <w:szCs w:val="30"/>
          <w:highlight w:val="none"/>
          <w:lang w:eastAsia="zh-CN"/>
        </w:rPr>
      </w:pPr>
      <w:r>
        <w:rPr>
          <w:rFonts w:hint="eastAsia"/>
          <w:color w:val="auto"/>
          <w:spacing w:val="3"/>
          <w:sz w:val="30"/>
          <w:szCs w:val="30"/>
          <w:highlight w:val="none"/>
        </w:rPr>
        <w:t>以污水、垃圾处理和厕所革命为重点，加强农村环境综合整治。</w:t>
      </w:r>
      <w:r>
        <w:rPr>
          <w:rFonts w:hint="eastAsia"/>
          <w:color w:val="auto"/>
          <w:kern w:val="2"/>
          <w:sz w:val="30"/>
          <w:szCs w:val="30"/>
          <w:highlight w:val="none"/>
          <w:lang w:val="zh-CN"/>
        </w:rPr>
        <w:t>以乡级行政区域为单元，实行农村污水处理和垃圾处理统一规划、统一建设、统一管理，有条件的地区积极推进城镇污水处理设施和服务向农村延伸。深化“以奖促治”政策，实施农村垃圾清洁工程，鼓励建立完善“村收集、镇中转、区域集中处理”的农村垃圾回收，推进农村环境连片整治，</w:t>
      </w:r>
      <w:r>
        <w:rPr>
          <w:rFonts w:hint="eastAsia"/>
          <w:color w:val="auto"/>
          <w:sz w:val="30"/>
          <w:szCs w:val="30"/>
          <w:highlight w:val="none"/>
          <w:lang w:val="zh-CN"/>
        </w:rPr>
        <w:t>积极创建环境优美乡镇、生态村。</w:t>
      </w:r>
      <w:r>
        <w:rPr>
          <w:rFonts w:hint="eastAsia"/>
          <w:color w:val="auto"/>
          <w:kern w:val="2"/>
          <w:sz w:val="30"/>
          <w:szCs w:val="30"/>
          <w:highlight w:val="none"/>
        </w:rPr>
        <w:t>提升生态农业发展水平，推广农业清洁生产技术，引导农业向循环经济、清洁生产和无公害处理方向发展。加强农药包装物处置和废旧农膜的回收利用，鼓励生产使用</w:t>
      </w:r>
      <w:r>
        <w:rPr>
          <w:rFonts w:hint="eastAsia"/>
          <w:color w:val="auto"/>
          <w:kern w:val="2"/>
          <w:sz w:val="30"/>
          <w:szCs w:val="30"/>
          <w:highlight w:val="none"/>
          <w:lang w:val="zh-CN"/>
        </w:rPr>
        <w:t>可降解农膜。加强规模化畜禽养殖基地污染防治，促进畜禽粪便的综合利用。实现畜禽养殖废弃物资源化和无害化。</w:t>
      </w:r>
      <w:r>
        <w:rPr>
          <w:rFonts w:hint="eastAsia"/>
          <w:color w:val="auto"/>
          <w:spacing w:val="3"/>
          <w:sz w:val="30"/>
          <w:szCs w:val="30"/>
          <w:highlight w:val="none"/>
        </w:rPr>
        <w:t>减少化肥的使用量，在收集牲畜粪便发酵处理以及植物秸秆还田发酵处理积肥方面，积极主动引进相关生产企业，增加推广有机肥的生产、使用面，引进生物可</w:t>
      </w:r>
      <w:r>
        <w:rPr>
          <w:rFonts w:hint="default"/>
          <w:color w:val="auto"/>
          <w:spacing w:val="3"/>
          <w:sz w:val="30"/>
          <w:szCs w:val="30"/>
          <w:highlight w:val="none"/>
          <w:lang w:val="en-US"/>
        </w:rPr>
        <w:t>将</w:t>
      </w:r>
      <w:r>
        <w:rPr>
          <w:rFonts w:hint="eastAsia"/>
          <w:color w:val="auto"/>
          <w:spacing w:val="3"/>
          <w:sz w:val="30"/>
          <w:szCs w:val="30"/>
          <w:highlight w:val="none"/>
          <w:lang w:val="en-US" w:eastAsia="zh-CN"/>
        </w:rPr>
        <w:t>降</w:t>
      </w:r>
      <w:r>
        <w:rPr>
          <w:rFonts w:hint="eastAsia"/>
          <w:color w:val="auto"/>
          <w:spacing w:val="3"/>
          <w:sz w:val="30"/>
          <w:szCs w:val="30"/>
          <w:highlight w:val="none"/>
        </w:rPr>
        <w:t>解生产资料。“十四五”期间，完成6万户农户煤改电项目</w:t>
      </w:r>
      <w:r>
        <w:rPr>
          <w:rFonts w:hint="eastAsia"/>
          <w:color w:val="auto"/>
          <w:spacing w:val="3"/>
          <w:sz w:val="30"/>
          <w:szCs w:val="30"/>
          <w:highlight w:val="none"/>
          <w:lang w:eastAsia="zh-CN"/>
        </w:rPr>
        <w:t>，达到全覆盖</w:t>
      </w:r>
      <w:r>
        <w:rPr>
          <w:rFonts w:hint="eastAsia"/>
          <w:color w:val="auto"/>
          <w:spacing w:val="3"/>
          <w:sz w:val="30"/>
          <w:szCs w:val="30"/>
          <w:highlight w:val="none"/>
        </w:rPr>
        <w:t>，建设4个煤炭交易市场，硬化地面2万平方米，配备装卸装备4套。开展中水调节池治理项目，</w:t>
      </w:r>
      <w:r>
        <w:rPr>
          <w:rFonts w:hint="eastAsia"/>
          <w:color w:val="auto"/>
          <w:sz w:val="30"/>
          <w:szCs w:val="30"/>
          <w:highlight w:val="none"/>
        </w:rPr>
        <w:t>铺设中水回用管道及滴</w:t>
      </w:r>
      <w:r>
        <w:rPr>
          <w:rFonts w:hint="eastAsia"/>
          <w:color w:val="auto"/>
          <w:sz w:val="30"/>
          <w:szCs w:val="30"/>
          <w:highlight w:val="none"/>
          <w:lang w:val="en-US" w:eastAsia="zh-CN"/>
        </w:rPr>
        <w:t>灌</w:t>
      </w:r>
      <w:r>
        <w:rPr>
          <w:rFonts w:hint="eastAsia"/>
          <w:color w:val="auto"/>
          <w:sz w:val="30"/>
          <w:szCs w:val="30"/>
          <w:highlight w:val="none"/>
        </w:rPr>
        <w:t>带100千米。新建65座垃圾中转站（分类分捡中心）。</w:t>
      </w:r>
      <w:r>
        <w:rPr>
          <w:rFonts w:hint="eastAsia"/>
          <w:color w:val="auto"/>
          <w:spacing w:val="3"/>
          <w:sz w:val="30"/>
          <w:szCs w:val="30"/>
          <w:highlight w:val="none"/>
        </w:rPr>
        <w:t>新建农村化粪池6万座，</w:t>
      </w:r>
      <w:r>
        <w:rPr>
          <w:rFonts w:hint="eastAsia"/>
          <w:color w:val="auto"/>
          <w:sz w:val="30"/>
          <w:szCs w:val="30"/>
          <w:highlight w:val="none"/>
        </w:rPr>
        <w:t>每个乡购置吸粪车2-3辆，建设日生产能力10000吨的生物有机肥加工厂1座。复垦36座废弃矿坑，新建固体废物填埋场1座，清理固体废物乱堆场面积2平方公里</w:t>
      </w:r>
      <w:r>
        <w:rPr>
          <w:rFonts w:hint="eastAsia"/>
          <w:color w:val="auto"/>
          <w:sz w:val="30"/>
          <w:szCs w:val="30"/>
          <w:highlight w:val="none"/>
          <w:lang w:eastAsia="zh-CN"/>
        </w:rPr>
        <w:t>，基本消除垃圾污染。</w:t>
      </w:r>
    </w:p>
    <w:p>
      <w:pPr>
        <w:pStyle w:val="18"/>
        <w:keepNext w:val="0"/>
        <w:keepLines w:val="0"/>
        <w:shd w:val="clear"/>
        <w:spacing w:beforeLines="50" w:afterLines="50"/>
        <w:rPr>
          <w:rFonts w:hint="eastAsia" w:ascii="Times New Roman" w:hAnsi="Times New Roman"/>
          <w:lang w:val="zh-CN" w:eastAsia="zh-CN"/>
        </w:rPr>
      </w:pPr>
      <w:bookmarkStart w:id="283" w:name="_Toc7572"/>
      <w:bookmarkStart w:id="284" w:name="_Toc25825"/>
      <w:r>
        <w:rPr>
          <w:rFonts w:hint="eastAsia" w:ascii="Times New Roman" w:hAnsi="Times New Roman"/>
          <w:lang w:val="zh-CN" w:eastAsia="zh-CN"/>
        </w:rPr>
        <w:t>第五节 加强生态环境保护</w:t>
      </w:r>
      <w:bookmarkEnd w:id="283"/>
      <w:bookmarkEnd w:id="284"/>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严守生态保护红线。</w:t>
      </w:r>
      <w:r>
        <w:rPr>
          <w:rFonts w:hint="eastAsia" w:eastAsia="仿宋_GB2312"/>
          <w:color w:val="auto"/>
          <w:sz w:val="30"/>
          <w:szCs w:val="30"/>
          <w:highlight w:val="none"/>
        </w:rPr>
        <w:t>按照</w:t>
      </w:r>
      <w:r>
        <w:rPr>
          <w:rFonts w:hint="eastAsia" w:eastAsia="仿宋_GB2312"/>
          <w:color w:val="auto"/>
          <w:sz w:val="30"/>
          <w:szCs w:val="30"/>
          <w:highlight w:val="none"/>
          <w:lang w:eastAsia="zh-CN"/>
        </w:rPr>
        <w:t>“</w:t>
      </w:r>
      <w:r>
        <w:rPr>
          <w:rFonts w:hint="eastAsia" w:eastAsia="仿宋_GB2312"/>
          <w:color w:val="auto"/>
          <w:sz w:val="30"/>
          <w:szCs w:val="30"/>
          <w:highlight w:val="none"/>
        </w:rPr>
        <w:t>应保尽保、应划尽划</w:t>
      </w:r>
      <w:r>
        <w:rPr>
          <w:rFonts w:hint="eastAsia" w:eastAsia="仿宋_GB2312"/>
          <w:color w:val="auto"/>
          <w:sz w:val="30"/>
          <w:szCs w:val="30"/>
          <w:highlight w:val="none"/>
          <w:lang w:eastAsia="zh-CN"/>
        </w:rPr>
        <w:t>”</w:t>
      </w:r>
      <w:r>
        <w:rPr>
          <w:rFonts w:hint="eastAsia" w:eastAsia="仿宋_GB2312"/>
          <w:color w:val="auto"/>
          <w:sz w:val="30"/>
          <w:szCs w:val="30"/>
          <w:highlight w:val="none"/>
        </w:rPr>
        <w:t>原则，将县域内生态功能重要区域、生态环境敏感脆弱区域纳入生态保护红线，实现一条红线管控重要生态空间。贯彻落实制定实施生态保护红线管理办法、保护修复方案，推进建立全县生态保护红线监管平台，开展生态保护红线监测预警与评估考核。严肃查处各类违法违规行为，限期进行整治修复。</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构建生态保护屏障。</w:t>
      </w:r>
      <w:r>
        <w:rPr>
          <w:rFonts w:hint="eastAsia" w:eastAsia="仿宋_GB2312"/>
          <w:color w:val="auto"/>
          <w:sz w:val="30"/>
          <w:szCs w:val="30"/>
          <w:highlight w:val="none"/>
        </w:rPr>
        <w:t>深入实施山水林田湖草一体化的生态保护修复，规划布局一批重大工程。积极加强交通干道沿线、县城周边荒山荒地、重要水源地、绿洲荒漠过渡带、防风固沙基干林的造林绿化工作，推进山水林田湖草综合治理。大力开展果园周边和基本农田退化防护林的修复改造工作，加强林木管护，有效巩固现有造林绿化成果。全面保护天然林，推进荒漠化、石漠化、水土流失综合治理，强化湿地保护和恢复。对生态严重退化地区实行封禁管理，稳步实施退耕还林还草和退牧还草，扩大轮作休耕试点，全面推行草原禁牧休牧和草畜平衡制度。</w:t>
      </w:r>
      <w:r>
        <w:rPr>
          <w:rFonts w:hint="eastAsia" w:eastAsia="仿宋_GB2312"/>
          <w:color w:val="auto"/>
          <w:sz w:val="30"/>
          <w:szCs w:val="30"/>
          <w:highlight w:val="none"/>
          <w:lang w:val="zh-CN"/>
        </w:rPr>
        <w:t>加快</w:t>
      </w:r>
      <w:r>
        <w:rPr>
          <w:rFonts w:hint="eastAsia" w:eastAsia="仿宋_GB2312"/>
          <w:color w:val="auto"/>
          <w:sz w:val="30"/>
          <w:szCs w:val="30"/>
          <w:highlight w:val="none"/>
        </w:rPr>
        <w:t>建立森林防火、病虫害防控体系，完善监测预警机制，建立健全应急人员队伍和应急设施配置，定期开展应急演练，为绿色屏障安全健康运行提供保障。</w:t>
      </w:r>
    </w:p>
    <w:p>
      <w:pPr>
        <w:pStyle w:val="18"/>
        <w:keepNext w:val="0"/>
        <w:keepLines w:val="0"/>
        <w:shd w:val="clear"/>
        <w:spacing w:beforeLines="50" w:afterLines="50"/>
        <w:rPr>
          <w:rFonts w:hint="eastAsia" w:ascii="Times New Roman" w:hAnsi="Times New Roman"/>
          <w:lang w:val="zh-CN" w:eastAsia="zh-CN"/>
        </w:rPr>
      </w:pPr>
      <w:bookmarkStart w:id="285" w:name="_Toc31952"/>
      <w:bookmarkStart w:id="286" w:name="_Toc6087"/>
      <w:r>
        <w:rPr>
          <w:rFonts w:hint="eastAsia" w:ascii="Times New Roman" w:hAnsi="Times New Roman"/>
          <w:lang w:val="zh-CN" w:eastAsia="zh-CN"/>
        </w:rPr>
        <w:t>第六节 推动绿色转型发展</w:t>
      </w:r>
      <w:bookmarkEnd w:id="285"/>
      <w:bookmarkEnd w:id="286"/>
    </w:p>
    <w:p>
      <w:pPr>
        <w:pStyle w:val="20"/>
        <w:keepNext w:val="0"/>
        <w:keepLines w:val="0"/>
        <w:pageBreakBefore w:val="0"/>
        <w:shd w:val="clear"/>
        <w:kinsoku/>
        <w:wordWrap/>
        <w:autoSpaceDE/>
        <w:autoSpaceDN/>
        <w:bidi w:val="0"/>
        <w:spacing w:line="560" w:lineRule="exact"/>
        <w:ind w:firstLine="602"/>
        <w:textAlignment w:val="auto"/>
        <w:rPr>
          <w:color w:val="auto"/>
          <w:sz w:val="30"/>
          <w:szCs w:val="30"/>
          <w:highlight w:val="none"/>
        </w:rPr>
      </w:pPr>
      <w:r>
        <w:rPr>
          <w:rFonts w:hint="eastAsia"/>
          <w:b/>
          <w:bCs/>
          <w:color w:val="auto"/>
          <w:sz w:val="30"/>
          <w:szCs w:val="30"/>
          <w:highlight w:val="none"/>
        </w:rPr>
        <w:t>全面推行清洁生产</w:t>
      </w:r>
      <w:r>
        <w:rPr>
          <w:rFonts w:hint="eastAsia"/>
          <w:b/>
          <w:bCs/>
          <w:color w:val="auto"/>
          <w:sz w:val="30"/>
          <w:szCs w:val="30"/>
          <w:highlight w:val="none"/>
          <w:lang w:eastAsia="zh-CN"/>
        </w:rPr>
        <w:t>。</w:t>
      </w:r>
      <w:r>
        <w:rPr>
          <w:rFonts w:hint="eastAsia"/>
          <w:color w:val="auto"/>
          <w:sz w:val="30"/>
          <w:szCs w:val="30"/>
          <w:highlight w:val="none"/>
        </w:rPr>
        <w:t>坚持低碳经济的理念，以清洁生产、节约降耗和资源综合利用为重点，加快产业园区绿色化循环化改造，建设绿色低碳的交通网络、建筑体系和工业体系，从源头减少能耗、物耗和污染物排放。</w:t>
      </w:r>
      <w:r>
        <w:rPr>
          <w:rFonts w:hint="eastAsia"/>
          <w:color w:val="auto"/>
          <w:kern w:val="2"/>
          <w:sz w:val="30"/>
          <w:szCs w:val="30"/>
          <w:highlight w:val="none"/>
        </w:rPr>
        <w:t>严格执行国家绿色产业指导目录标准，严禁“三高”项目进叶城。</w:t>
      </w:r>
      <w:r>
        <w:rPr>
          <w:rFonts w:hint="eastAsia"/>
          <w:color w:val="auto"/>
          <w:sz w:val="30"/>
          <w:szCs w:val="30"/>
          <w:highlight w:val="none"/>
        </w:rPr>
        <w:t>严格执行环评一票否决制，加强对污染源的环境监管</w:t>
      </w:r>
      <w:r>
        <w:rPr>
          <w:rFonts w:hint="eastAsia"/>
          <w:color w:val="auto"/>
          <w:sz w:val="30"/>
          <w:szCs w:val="30"/>
          <w:highlight w:val="none"/>
          <w:lang w:eastAsia="zh-CN"/>
        </w:rPr>
        <w:t>。</w:t>
      </w:r>
      <w:r>
        <w:rPr>
          <w:rFonts w:hint="eastAsia"/>
          <w:color w:val="auto"/>
          <w:sz w:val="30"/>
          <w:szCs w:val="30"/>
          <w:highlight w:val="none"/>
        </w:rPr>
        <w:t>切实抓好重点用能单位能耗管理</w:t>
      </w:r>
      <w:r>
        <w:rPr>
          <w:rFonts w:hint="eastAsia"/>
          <w:color w:val="auto"/>
          <w:sz w:val="30"/>
          <w:szCs w:val="30"/>
          <w:highlight w:val="none"/>
          <w:lang w:eastAsia="zh-CN"/>
        </w:rPr>
        <w:t>，</w:t>
      </w:r>
      <w:r>
        <w:rPr>
          <w:rFonts w:hint="eastAsia"/>
          <w:color w:val="auto"/>
          <w:kern w:val="2"/>
          <w:sz w:val="30"/>
          <w:szCs w:val="30"/>
          <w:highlight w:val="none"/>
        </w:rPr>
        <w:t>进一步挖掘重点领域节能的潜力，推进煤炭消费减量替代和清洁高效利用，持续降低煤炭消费比重。积极推行区域、规划环境影响评价</w:t>
      </w:r>
      <w:r>
        <w:rPr>
          <w:rFonts w:hint="eastAsia"/>
          <w:color w:val="auto"/>
          <w:kern w:val="2"/>
          <w:sz w:val="30"/>
          <w:szCs w:val="30"/>
          <w:highlight w:val="none"/>
          <w:lang w:eastAsia="zh-CN"/>
        </w:rPr>
        <w:t>。</w:t>
      </w:r>
      <w:r>
        <w:rPr>
          <w:rFonts w:hint="eastAsia"/>
          <w:color w:val="auto"/>
          <w:kern w:val="2"/>
          <w:sz w:val="30"/>
          <w:szCs w:val="30"/>
          <w:highlight w:val="none"/>
        </w:rPr>
        <w:t>加大落后产能淘汰力度，推动企业清洁化升级转型和绿色工厂建设，大力发展节能环保产业，促进产业转型升级。</w:t>
      </w:r>
      <w:r>
        <w:rPr>
          <w:rFonts w:hint="eastAsia"/>
          <w:color w:val="auto"/>
          <w:sz w:val="30"/>
          <w:szCs w:val="30"/>
          <w:highlight w:val="none"/>
        </w:rPr>
        <w:t>大力发展循环经济，鼓励企业循环利用资源，</w:t>
      </w:r>
      <w:r>
        <w:rPr>
          <w:rFonts w:hint="eastAsia"/>
          <w:color w:val="auto"/>
          <w:sz w:val="30"/>
          <w:szCs w:val="30"/>
          <w:highlight w:val="none"/>
          <w:lang w:val="en-US" w:eastAsia="zh-CN"/>
        </w:rPr>
        <w:t>发展</w:t>
      </w:r>
      <w:r>
        <w:rPr>
          <w:rFonts w:hint="eastAsia"/>
          <w:color w:val="auto"/>
          <w:sz w:val="30"/>
          <w:szCs w:val="30"/>
          <w:highlight w:val="none"/>
        </w:rPr>
        <w:t>循环利用资源产业。促进新技术、新产品的推广应用，鼓励企业加大节能减排技术投资和资源再利用力度</w:t>
      </w:r>
      <w:r>
        <w:rPr>
          <w:rFonts w:hint="eastAsia"/>
          <w:color w:val="auto"/>
          <w:sz w:val="30"/>
          <w:szCs w:val="30"/>
          <w:highlight w:val="none"/>
          <w:lang w:eastAsia="zh-CN"/>
        </w:rPr>
        <w:t>。</w:t>
      </w:r>
      <w:r>
        <w:rPr>
          <w:rFonts w:hint="eastAsia"/>
          <w:color w:val="auto"/>
          <w:kern w:val="2"/>
          <w:sz w:val="30"/>
          <w:szCs w:val="30"/>
          <w:highlight w:val="none"/>
        </w:rPr>
        <w:t>积极</w:t>
      </w:r>
      <w:r>
        <w:rPr>
          <w:rFonts w:hint="eastAsia"/>
          <w:color w:val="auto"/>
          <w:kern w:val="2"/>
          <w:sz w:val="30"/>
          <w:szCs w:val="30"/>
          <w:highlight w:val="none"/>
          <w:lang w:val="en-US" w:eastAsia="zh-CN"/>
        </w:rPr>
        <w:t>探索</w:t>
      </w:r>
      <w:r>
        <w:rPr>
          <w:rFonts w:hint="eastAsia"/>
          <w:color w:val="auto"/>
          <w:sz w:val="30"/>
          <w:szCs w:val="30"/>
          <w:highlight w:val="none"/>
        </w:rPr>
        <w:t>将生态环境成本纳入经济运行成本。</w:t>
      </w:r>
    </w:p>
    <w:p>
      <w:pPr>
        <w:pStyle w:val="20"/>
        <w:keepNext w:val="0"/>
        <w:keepLines w:val="0"/>
        <w:pageBreakBefore w:val="0"/>
        <w:shd w:val="clear"/>
        <w:kinsoku/>
        <w:wordWrap/>
        <w:autoSpaceDE/>
        <w:autoSpaceDN/>
        <w:bidi w:val="0"/>
        <w:spacing w:line="560" w:lineRule="exact"/>
        <w:ind w:firstLine="602"/>
        <w:textAlignment w:val="auto"/>
        <w:rPr>
          <w:color w:val="auto"/>
          <w:kern w:val="2"/>
          <w:sz w:val="30"/>
          <w:szCs w:val="30"/>
          <w:highlight w:val="none"/>
        </w:rPr>
      </w:pPr>
      <w:r>
        <w:rPr>
          <w:rFonts w:hint="eastAsia"/>
          <w:b/>
          <w:bCs/>
          <w:color w:val="auto"/>
          <w:kern w:val="2"/>
          <w:sz w:val="30"/>
          <w:szCs w:val="30"/>
          <w:highlight w:val="none"/>
        </w:rPr>
        <w:t>倡导绿色生活方式。</w:t>
      </w:r>
      <w:r>
        <w:rPr>
          <w:rFonts w:hint="eastAsia"/>
          <w:color w:val="auto"/>
          <w:kern w:val="2"/>
          <w:sz w:val="30"/>
          <w:szCs w:val="30"/>
          <w:highlight w:val="none"/>
        </w:rPr>
        <w:t>实施全民环境保护宣传教育行动计划，推广绿色生活行为准则，在</w:t>
      </w:r>
      <w:r>
        <w:rPr>
          <w:rFonts w:hint="eastAsia"/>
          <w:color w:val="auto"/>
          <w:sz w:val="30"/>
          <w:szCs w:val="30"/>
          <w:highlight w:val="none"/>
        </w:rPr>
        <w:t>全社会大力倡导简约适度、绿色低碳的生活方式，普遍推行生活垃圾分类。</w:t>
      </w:r>
      <w:r>
        <w:rPr>
          <w:rFonts w:hint="eastAsia"/>
          <w:color w:val="auto"/>
          <w:kern w:val="2"/>
          <w:sz w:val="30"/>
          <w:szCs w:val="30"/>
          <w:highlight w:val="none"/>
        </w:rPr>
        <w:t>利用环境教育基地、生态文明示范基地等各类平台，开展以生活方式绿色化为主题的互动式教育，创建一批绿色家庭、绿色社区、绿色学校，提高全社会生态环境保护意识。制定和完善绿色消费指南，引导抵制和谴责过度消费、奢侈消费、浪费资源能源等行为，推广绿色产品，限制和禁止使用一次性产品，倡导绿色消费。加大政府绿色公共采购力度和范围，推动强制性绿色公共采购。放宽绿色产品和服务市场准入，鼓励各类资本投向绿色产业，利用“互联网+”促进绿色消费。</w:t>
      </w:r>
    </w:p>
    <w:p>
      <w:pPr>
        <w:pStyle w:val="20"/>
        <w:keepNext w:val="0"/>
        <w:keepLines w:val="0"/>
        <w:pageBreakBefore w:val="0"/>
        <w:shd w:val="clear"/>
        <w:kinsoku/>
        <w:wordWrap/>
        <w:autoSpaceDE/>
        <w:autoSpaceDN/>
        <w:bidi w:val="0"/>
        <w:spacing w:line="560" w:lineRule="exact"/>
        <w:ind w:firstLine="602"/>
        <w:textAlignment w:val="auto"/>
        <w:rPr>
          <w:color w:val="auto"/>
          <w:kern w:val="2"/>
          <w:sz w:val="30"/>
          <w:szCs w:val="30"/>
          <w:highlight w:val="none"/>
        </w:rPr>
      </w:pPr>
      <w:r>
        <w:rPr>
          <w:rFonts w:hint="eastAsia"/>
          <w:b/>
          <w:bCs/>
          <w:color w:val="auto"/>
          <w:kern w:val="2"/>
          <w:sz w:val="30"/>
          <w:szCs w:val="30"/>
          <w:highlight w:val="none"/>
        </w:rPr>
        <w:t>全面提高资源利用效率。</w:t>
      </w:r>
      <w:r>
        <w:rPr>
          <w:rFonts w:hint="eastAsia"/>
          <w:color w:val="auto"/>
          <w:kern w:val="2"/>
          <w:sz w:val="30"/>
          <w:szCs w:val="30"/>
          <w:highlight w:val="none"/>
        </w:rPr>
        <w:t>坚持“循环为先”理念，强化资源循环利用，积极推进建设循环经济产业园，协同处理城市和产业废弃物，推动生活垃圾、餐厨废弃物、废旧轮胎、建筑垃圾、塑料废弃物等资源化利用，努力构建生产和生活系统循环链接的产城融合和共生体系。落实最严格的水资源管理制度，严格实行区域流域用水总量和强度控制，健全行政区用水总量和用水强度控制指标体系，强化节水约束性指标管理。严控国土开发强度，落实最严格的耕地保护制度和土地节约集约利用制度。严格建设用地总量和强度“双控”目标，建立节约集约用地激励和约束机制，调整结构，盘活存量，加大批而未供土地的有效利用，加快闲置土地处置，积极推动划拨土地盘活利用和城市土地综合利用。</w:t>
      </w:r>
    </w:p>
    <w:p>
      <w:pPr>
        <w:pStyle w:val="18"/>
        <w:keepNext w:val="0"/>
        <w:keepLines w:val="0"/>
        <w:shd w:val="clear"/>
        <w:spacing w:beforeLines="50" w:afterLines="50"/>
        <w:rPr>
          <w:rFonts w:hint="eastAsia" w:ascii="Times New Roman" w:hAnsi="Times New Roman"/>
          <w:lang w:val="zh-CN" w:eastAsia="zh-CN"/>
        </w:rPr>
      </w:pPr>
      <w:bookmarkStart w:id="287" w:name="_Toc19480"/>
      <w:bookmarkStart w:id="288" w:name="_Toc32300"/>
      <w:r>
        <w:rPr>
          <w:rFonts w:hint="eastAsia" w:ascii="Times New Roman" w:hAnsi="Times New Roman"/>
          <w:lang w:val="zh-CN" w:eastAsia="zh-CN"/>
        </w:rPr>
        <w:t>第七节 完善生态保护机制</w:t>
      </w:r>
      <w:bookmarkEnd w:id="287"/>
      <w:bookmarkEnd w:id="288"/>
    </w:p>
    <w:p>
      <w:pPr>
        <w:pStyle w:val="20"/>
        <w:keepNext w:val="0"/>
        <w:keepLines w:val="0"/>
        <w:pageBreakBefore w:val="0"/>
        <w:shd w:val="clear"/>
        <w:kinsoku/>
        <w:wordWrap/>
        <w:autoSpaceDE/>
        <w:autoSpaceDN/>
        <w:bidi w:val="0"/>
        <w:spacing w:line="560" w:lineRule="exact"/>
        <w:ind w:firstLine="602"/>
        <w:textAlignment w:val="auto"/>
        <w:rPr>
          <w:color w:val="auto"/>
          <w:kern w:val="2"/>
          <w:sz w:val="30"/>
          <w:szCs w:val="30"/>
          <w:highlight w:val="none"/>
        </w:rPr>
      </w:pPr>
      <w:r>
        <w:rPr>
          <w:rFonts w:hint="eastAsia"/>
          <w:b/>
          <w:bCs/>
          <w:color w:val="auto"/>
          <w:kern w:val="2"/>
          <w:sz w:val="30"/>
          <w:szCs w:val="30"/>
          <w:highlight w:val="none"/>
        </w:rPr>
        <w:t>提升环境监管能力。</w:t>
      </w:r>
      <w:r>
        <w:rPr>
          <w:rFonts w:hint="eastAsia"/>
          <w:color w:val="auto"/>
          <w:kern w:val="2"/>
          <w:sz w:val="30"/>
          <w:szCs w:val="30"/>
          <w:highlight w:val="none"/>
        </w:rPr>
        <w:t>加强环境保护常态</w:t>
      </w:r>
      <w:r>
        <w:rPr>
          <w:rFonts w:hint="eastAsia"/>
          <w:color w:val="auto"/>
          <w:kern w:val="2"/>
          <w:sz w:val="30"/>
          <w:szCs w:val="30"/>
          <w:highlight w:val="none"/>
          <w:lang w:val="en-US" w:eastAsia="zh-CN"/>
        </w:rPr>
        <w:t>化</w:t>
      </w:r>
      <w:r>
        <w:rPr>
          <w:rFonts w:hint="eastAsia"/>
          <w:color w:val="auto"/>
          <w:kern w:val="2"/>
          <w:sz w:val="30"/>
          <w:szCs w:val="30"/>
          <w:highlight w:val="none"/>
        </w:rPr>
        <w:t>监管力度，完善监测点空间布局，丰富监测点信息采集数据种类和数量；充分运用物联网、大数据、云计算、</w:t>
      </w:r>
      <w:r>
        <w:rPr>
          <w:rFonts w:hint="eastAsia"/>
          <w:color w:val="auto"/>
          <w:kern w:val="2"/>
          <w:sz w:val="30"/>
          <w:szCs w:val="30"/>
          <w:highlight w:val="none"/>
          <w:lang w:eastAsia="zh-CN"/>
        </w:rPr>
        <w:t>“</w:t>
      </w:r>
      <w:r>
        <w:rPr>
          <w:rFonts w:hint="eastAsia"/>
          <w:color w:val="auto"/>
          <w:kern w:val="2"/>
          <w:sz w:val="30"/>
          <w:szCs w:val="30"/>
          <w:highlight w:val="none"/>
        </w:rPr>
        <w:t>互联网+</w:t>
      </w:r>
      <w:r>
        <w:rPr>
          <w:rFonts w:hint="eastAsia"/>
          <w:color w:val="auto"/>
          <w:kern w:val="2"/>
          <w:sz w:val="30"/>
          <w:szCs w:val="30"/>
          <w:highlight w:val="none"/>
          <w:lang w:eastAsia="zh-CN"/>
        </w:rPr>
        <w:t>”</w:t>
      </w:r>
      <w:r>
        <w:rPr>
          <w:rFonts w:hint="eastAsia"/>
          <w:color w:val="auto"/>
          <w:kern w:val="2"/>
          <w:sz w:val="30"/>
          <w:szCs w:val="30"/>
          <w:highlight w:val="none"/>
        </w:rPr>
        <w:t>等先进技术手段，完善大气、水环境质量的常态化监测，建立土壤环境质量常态化监测体系，实现环境监测、环境质量评估、环境风险预警和环保执法的综合集成，提高常态</w:t>
      </w:r>
      <w:r>
        <w:rPr>
          <w:rFonts w:hint="eastAsia"/>
          <w:color w:val="auto"/>
          <w:kern w:val="2"/>
          <w:sz w:val="30"/>
          <w:szCs w:val="30"/>
          <w:highlight w:val="none"/>
          <w:lang w:val="en-US" w:eastAsia="zh-CN"/>
        </w:rPr>
        <w:t>化</w:t>
      </w:r>
      <w:r>
        <w:rPr>
          <w:rFonts w:hint="eastAsia"/>
          <w:color w:val="auto"/>
          <w:kern w:val="2"/>
          <w:sz w:val="30"/>
          <w:szCs w:val="30"/>
          <w:highlight w:val="none"/>
        </w:rPr>
        <w:t>环保监管的准确性和透明度，提高环保常态</w:t>
      </w:r>
      <w:r>
        <w:rPr>
          <w:rFonts w:hint="eastAsia"/>
          <w:color w:val="auto"/>
          <w:kern w:val="2"/>
          <w:sz w:val="30"/>
          <w:szCs w:val="30"/>
          <w:highlight w:val="none"/>
          <w:lang w:val="en-US" w:eastAsia="zh-CN"/>
        </w:rPr>
        <w:t>化</w:t>
      </w:r>
      <w:r>
        <w:rPr>
          <w:rFonts w:hint="eastAsia"/>
          <w:color w:val="auto"/>
          <w:kern w:val="2"/>
          <w:sz w:val="30"/>
          <w:szCs w:val="30"/>
          <w:highlight w:val="none"/>
        </w:rPr>
        <w:t>监管的成效。</w:t>
      </w:r>
    </w:p>
    <w:p>
      <w:pPr>
        <w:pStyle w:val="20"/>
        <w:keepNext w:val="0"/>
        <w:keepLines w:val="0"/>
        <w:pageBreakBefore w:val="0"/>
        <w:shd w:val="clear"/>
        <w:kinsoku/>
        <w:wordWrap/>
        <w:autoSpaceDE/>
        <w:autoSpaceDN/>
        <w:bidi w:val="0"/>
        <w:spacing w:line="560" w:lineRule="exact"/>
        <w:ind w:firstLine="602"/>
        <w:textAlignment w:val="auto"/>
        <w:rPr>
          <w:color w:val="auto"/>
          <w:kern w:val="2"/>
          <w:sz w:val="30"/>
          <w:szCs w:val="30"/>
          <w:highlight w:val="none"/>
        </w:rPr>
      </w:pPr>
      <w:r>
        <w:rPr>
          <w:rFonts w:hint="eastAsia"/>
          <w:b/>
          <w:bCs/>
          <w:color w:val="auto"/>
          <w:kern w:val="2"/>
          <w:sz w:val="30"/>
          <w:szCs w:val="30"/>
          <w:highlight w:val="none"/>
        </w:rPr>
        <w:t>积极构建多元参与的生态治理体系。</w:t>
      </w:r>
      <w:r>
        <w:rPr>
          <w:rFonts w:hint="eastAsia"/>
          <w:color w:val="auto"/>
          <w:kern w:val="2"/>
          <w:sz w:val="30"/>
          <w:szCs w:val="30"/>
          <w:highlight w:val="none"/>
        </w:rPr>
        <w:t>加快构建以政府为主导、企业为主体、社会组织和公众共同参与的环境治理体系。积极争取中央财政环保专项资金对农村环境综合整治、大气污染防治、环境监管能力建设等相关项目的支持力度。积极发展资源环境权益交易，完善资源环境价格机制，继续探索完善用水权、用能权、碳排放权、排污权交易体系。鼓励企业参与生态环境保护，探索建立市场化的生态补偿机制，鼓励企业作为主体参与生态补偿；建立资金引导机制，通过财政贴息引导商业银行向从事生态环境治理的市场主体提供贷款，鼓励政策性银行提供优惠贷款，对符合条件的企业提供适当额度的财政补贴，试点降低企业运营成本捆绑开展环境治理与经营开发项目的模式，健全社会资本参与生态环境保护的回报机制。规范环保组织参与生态环境保护。加强县域环保组织的管理工作，依托环保组织开展居民环保教育和宣传工作，创新开展</w:t>
      </w:r>
      <w:r>
        <w:rPr>
          <w:rFonts w:hint="eastAsia"/>
          <w:color w:val="auto"/>
          <w:kern w:val="2"/>
          <w:sz w:val="30"/>
          <w:szCs w:val="30"/>
          <w:highlight w:val="none"/>
          <w:lang w:eastAsia="zh-CN"/>
        </w:rPr>
        <w:t>“</w:t>
      </w:r>
      <w:r>
        <w:rPr>
          <w:rFonts w:hint="eastAsia"/>
          <w:color w:val="auto"/>
          <w:kern w:val="2"/>
          <w:sz w:val="30"/>
          <w:szCs w:val="30"/>
          <w:highlight w:val="none"/>
        </w:rPr>
        <w:t>互联网+环保</w:t>
      </w:r>
      <w:r>
        <w:rPr>
          <w:rFonts w:hint="eastAsia"/>
          <w:color w:val="auto"/>
          <w:kern w:val="2"/>
          <w:sz w:val="30"/>
          <w:szCs w:val="30"/>
          <w:highlight w:val="none"/>
          <w:lang w:eastAsia="zh-CN"/>
        </w:rPr>
        <w:t>”</w:t>
      </w:r>
      <w:r>
        <w:rPr>
          <w:rFonts w:hint="eastAsia"/>
          <w:color w:val="auto"/>
          <w:kern w:val="2"/>
          <w:sz w:val="30"/>
          <w:szCs w:val="30"/>
          <w:highlight w:val="none"/>
        </w:rPr>
        <w:t>公益活动，提高公众积极性。强化公众监督，完善生态环境监测信息统一发布机制，全面推进大气、水、土壤等生态环境信息公开，构建公众参与环境治理决策的有效渠道和合理机制。</w:t>
      </w:r>
    </w:p>
    <w:p>
      <w:pPr>
        <w:pStyle w:val="20"/>
        <w:keepNext w:val="0"/>
        <w:keepLines w:val="0"/>
        <w:pageBreakBefore w:val="0"/>
        <w:shd w:val="clear"/>
        <w:kinsoku/>
        <w:wordWrap/>
        <w:autoSpaceDE/>
        <w:autoSpaceDN/>
        <w:bidi w:val="0"/>
        <w:spacing w:line="560" w:lineRule="exact"/>
        <w:ind w:firstLine="602"/>
        <w:textAlignment w:val="auto"/>
        <w:rPr>
          <w:color w:val="auto"/>
          <w:kern w:val="2"/>
          <w:sz w:val="30"/>
          <w:szCs w:val="30"/>
          <w:highlight w:val="none"/>
        </w:rPr>
      </w:pPr>
      <w:r>
        <w:rPr>
          <w:rFonts w:hint="eastAsia"/>
          <w:b/>
          <w:bCs/>
          <w:color w:val="auto"/>
          <w:kern w:val="2"/>
          <w:sz w:val="30"/>
          <w:szCs w:val="30"/>
          <w:highlight w:val="none"/>
        </w:rPr>
        <w:t>建立生态治理绩效考核评价体系。</w:t>
      </w:r>
      <w:r>
        <w:rPr>
          <w:rFonts w:hint="eastAsia"/>
          <w:color w:val="auto"/>
          <w:kern w:val="2"/>
          <w:sz w:val="30"/>
          <w:szCs w:val="30"/>
          <w:highlight w:val="none"/>
        </w:rPr>
        <w:t>完善领导干部政绩考核体系，重点突出生态环保和产业结构调整等重点任务，进一步落实生态环保要求的政绩考核目标体系、差别化考核政策体系。将严守生态红线等生态环境保护任务纳入政绩考核体系，大幅提高资源消耗、环境损害、生态效益、绿色发展等指标的权重。探索实施主要领导干部离任环境审计与责任追究制度，对盲目决策、不顾生态环境红线的行为要终身追责，严格问责。</w:t>
      </w:r>
    </w:p>
    <w:bookmarkEnd w:id="258"/>
    <w:bookmarkEnd w:id="259"/>
    <w:bookmarkEnd w:id="260"/>
    <w:p>
      <w:pPr>
        <w:pStyle w:val="3"/>
        <w:keepNext w:val="0"/>
        <w:keepLines w:val="0"/>
        <w:shd w:val="clear"/>
        <w:spacing w:beforeLines="100" w:afterLines="100" w:line="560" w:lineRule="exact"/>
        <w:jc w:val="center"/>
        <w:rPr>
          <w:rFonts w:hint="eastAsia" w:ascii="Times New Roman" w:hAnsi="Times New Roman" w:eastAsia="黑体" w:cs="Times New Roman"/>
          <w:b w:val="0"/>
          <w:bCs w:val="0"/>
          <w:sz w:val="30"/>
          <w:szCs w:val="30"/>
          <w:lang w:val="en-US" w:eastAsia="zh-CN"/>
        </w:rPr>
      </w:pPr>
      <w:bookmarkStart w:id="289" w:name="_Toc27570"/>
      <w:bookmarkStart w:id="290" w:name="_Toc22070"/>
      <w:r>
        <w:rPr>
          <w:rFonts w:hint="eastAsia" w:ascii="Times New Roman" w:hAnsi="Times New Roman" w:eastAsia="黑体" w:cs="Times New Roman"/>
          <w:b w:val="0"/>
          <w:bCs w:val="0"/>
          <w:sz w:val="30"/>
          <w:szCs w:val="30"/>
          <w:lang w:val="en-US" w:eastAsia="zh-CN"/>
        </w:rPr>
        <w:t>第十</w:t>
      </w:r>
      <w:r>
        <w:rPr>
          <w:rFonts w:hint="eastAsia" w:eastAsia="黑体" w:cs="Times New Roman"/>
          <w:b w:val="0"/>
          <w:bCs w:val="0"/>
          <w:sz w:val="30"/>
          <w:szCs w:val="30"/>
          <w:lang w:val="en-US" w:eastAsia="zh-CN"/>
        </w:rPr>
        <w:t>五</w:t>
      </w:r>
      <w:r>
        <w:rPr>
          <w:rFonts w:hint="eastAsia" w:ascii="Times New Roman" w:hAnsi="Times New Roman" w:eastAsia="黑体" w:cs="Times New Roman"/>
          <w:b w:val="0"/>
          <w:bCs w:val="0"/>
          <w:sz w:val="30"/>
          <w:szCs w:val="30"/>
          <w:lang w:val="en-US" w:eastAsia="zh-CN"/>
        </w:rPr>
        <w:t>章 完善协同发展机制，促进军民、兵地融合发展</w:t>
      </w:r>
      <w:bookmarkEnd w:id="289"/>
      <w:bookmarkEnd w:id="290"/>
    </w:p>
    <w:p>
      <w:pPr>
        <w:keepNext w:val="0"/>
        <w:keepLines w:val="0"/>
        <w:pageBreakBefore w:val="0"/>
        <w:shd w:val="clear"/>
        <w:kinsoku/>
        <w:wordWrap/>
        <w:autoSpaceDE/>
        <w:autoSpaceDN/>
        <w:bidi w:val="0"/>
        <w:spacing w:line="560" w:lineRule="exact"/>
        <w:ind w:firstLine="600" w:firstLineChars="200"/>
        <w:jc w:val="left"/>
        <w:textAlignment w:val="auto"/>
        <w:rPr>
          <w:rFonts w:eastAsia="仿宋_GB2312"/>
          <w:color w:val="auto"/>
          <w:sz w:val="30"/>
          <w:szCs w:val="30"/>
          <w:highlight w:val="none"/>
        </w:rPr>
      </w:pPr>
      <w:bookmarkStart w:id="291" w:name="_Toc1216371980"/>
      <w:bookmarkStart w:id="292" w:name="_Toc329737060"/>
      <w:bookmarkStart w:id="293" w:name="_Toc1019967049"/>
      <w:r>
        <w:rPr>
          <w:rFonts w:hint="eastAsia" w:eastAsia="仿宋_GB2312"/>
          <w:color w:val="auto"/>
          <w:sz w:val="30"/>
          <w:szCs w:val="30"/>
          <w:highlight w:val="none"/>
        </w:rPr>
        <w:t>深入贯彻落实新时代党的治疆方略和党中央对军民深度融合、推动兵团向南发展的战略要求，</w:t>
      </w:r>
      <w:r>
        <w:rPr>
          <w:rFonts w:hint="eastAsia" w:eastAsia="仿宋_GB2312"/>
          <w:color w:val="auto"/>
          <w:sz w:val="30"/>
          <w:szCs w:val="30"/>
          <w:highlight w:val="none"/>
          <w:lang w:val="en-US" w:eastAsia="zh-CN"/>
        </w:rPr>
        <w:t>牢牢扭住</w:t>
      </w:r>
      <w:r>
        <w:rPr>
          <w:rFonts w:hint="eastAsia" w:eastAsia="仿宋_GB2312"/>
          <w:color w:val="auto"/>
          <w:sz w:val="30"/>
          <w:szCs w:val="30"/>
          <w:highlight w:val="none"/>
        </w:rPr>
        <w:t>社会稳定和长治久安总目标，推进县域军民、兵地融合发展。</w:t>
      </w:r>
    </w:p>
    <w:p>
      <w:pPr>
        <w:pStyle w:val="18"/>
        <w:keepNext w:val="0"/>
        <w:keepLines w:val="0"/>
        <w:shd w:val="clear"/>
        <w:spacing w:beforeLines="50" w:afterLines="50"/>
        <w:rPr>
          <w:rFonts w:hint="eastAsia" w:ascii="Times New Roman" w:hAnsi="Times New Roman"/>
          <w:lang w:val="zh-CN" w:eastAsia="zh-CN"/>
        </w:rPr>
      </w:pPr>
      <w:bookmarkStart w:id="294" w:name="_Toc11393"/>
      <w:bookmarkStart w:id="295" w:name="_Toc19929"/>
      <w:r>
        <w:rPr>
          <w:rFonts w:hint="eastAsia" w:ascii="Times New Roman" w:hAnsi="Times New Roman"/>
          <w:lang w:val="zh-CN" w:eastAsia="zh-CN"/>
        </w:rPr>
        <w:t>第一节 积极推进军民融合发展</w:t>
      </w:r>
      <w:bookmarkEnd w:id="294"/>
      <w:bookmarkEnd w:id="295"/>
    </w:p>
    <w:p>
      <w:pPr>
        <w:keepNext w:val="0"/>
        <w:keepLines w:val="0"/>
        <w:pageBreakBefore w:val="0"/>
        <w:widowControl w:val="0"/>
        <w:shd w:val="clear"/>
        <w:kinsoku/>
        <w:wordWrap/>
        <w:overflowPunct/>
        <w:topLinePunct w:val="0"/>
        <w:autoSpaceDE/>
        <w:autoSpaceDN/>
        <w:bidi w:val="0"/>
        <w:adjustRightInd/>
        <w:snapToGrid/>
        <w:spacing w:line="540" w:lineRule="exact"/>
        <w:ind w:firstLine="602" w:firstLineChars="200"/>
        <w:jc w:val="left"/>
        <w:textAlignment w:val="auto"/>
        <w:rPr>
          <w:rFonts w:hint="eastAsia" w:eastAsia="仿宋_GB2312"/>
          <w:color w:val="auto"/>
          <w:sz w:val="30"/>
          <w:szCs w:val="30"/>
          <w:highlight w:val="none"/>
        </w:rPr>
      </w:pPr>
      <w:r>
        <w:rPr>
          <w:rFonts w:hint="eastAsia" w:eastAsia="仿宋_GB2312"/>
          <w:b/>
          <w:color w:val="auto"/>
          <w:sz w:val="30"/>
          <w:szCs w:val="30"/>
          <w:highlight w:val="none"/>
        </w:rPr>
        <w:t>推动军民融合发展改革创新。</w:t>
      </w:r>
      <w:r>
        <w:rPr>
          <w:rFonts w:hint="eastAsia" w:eastAsia="仿宋_GB2312"/>
          <w:color w:val="auto"/>
          <w:sz w:val="30"/>
          <w:szCs w:val="30"/>
          <w:highlight w:val="none"/>
        </w:rPr>
        <w:t>强化军民融合组织管理体系，推进基础设施军民一体化、推动军民科技协同创新，促进行业产业融合，积极开展双拥共建活动，推进社会服务军民共享，加快形成全要素、多领域和高效益的军民融合深度发展格局。充分调动军民各方面的积极性创造性。建强组织管理体系，推动军民融合发展由条块分散设计向军地一体筹划转变，依托国防动员委员会建立领导小组，统领融合发展工作，有效推动军民融合发展。创新运行机制、工作手段和运作平台，培育先行先试的创新示范载体，探索实施军民融合重大示范项目。营造军民融合发展的良好环境。加强军民融合宣传力度，引导健康有序的融合氛围。</w:t>
      </w:r>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rPr>
        <w:t>推进基础设施军民一体化。</w:t>
      </w:r>
      <w:r>
        <w:rPr>
          <w:rFonts w:hint="eastAsia" w:eastAsia="仿宋_GB2312"/>
          <w:color w:val="auto"/>
          <w:sz w:val="30"/>
          <w:szCs w:val="30"/>
          <w:highlight w:val="none"/>
        </w:rPr>
        <w:t>完善交通运输网络，推进信息、油气基础设施统筹协调、共建共享。支持配合军地智慧化建设，推动军用基础设施向民用开放，广泛开展基础领域军民合建共用。</w:t>
      </w:r>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rPr>
        <w:t>推动军民科技协同创新。</w:t>
      </w:r>
      <w:r>
        <w:rPr>
          <w:rFonts w:hint="eastAsia" w:eastAsia="仿宋_GB2312"/>
          <w:color w:val="auto"/>
          <w:sz w:val="30"/>
          <w:szCs w:val="30"/>
          <w:highlight w:val="none"/>
        </w:rPr>
        <w:t>推动国防科技工业领域由军民结合到军民融合深度发展的阶段跃升，推动军工行业与制造业、军需保障用品与纺织业深度融合。推进科技创新军民协同，加快建立军民融合创新体系，推动科技成果双向转移转化。推进人力资源军民共用。</w:t>
      </w:r>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rPr>
        <w:t>积极开展双拥共建活动。</w:t>
      </w:r>
      <w:r>
        <w:rPr>
          <w:rFonts w:hint="eastAsia" w:eastAsia="仿宋_GB2312"/>
          <w:color w:val="auto"/>
          <w:sz w:val="30"/>
          <w:szCs w:val="30"/>
          <w:highlight w:val="none"/>
        </w:rPr>
        <w:t>认真</w:t>
      </w:r>
      <w:r>
        <w:rPr>
          <w:rFonts w:hint="eastAsia" w:eastAsia="仿宋_GB2312"/>
          <w:color w:val="auto"/>
          <w:sz w:val="30"/>
          <w:szCs w:val="30"/>
          <w:highlight w:val="none"/>
          <w:lang w:eastAsia="zh-CN"/>
        </w:rPr>
        <w:t>按照《双拥模范城（县）创建命名管理办法暨考评标准》</w:t>
      </w:r>
      <w:r>
        <w:rPr>
          <w:rFonts w:hint="eastAsia" w:eastAsia="仿宋_GB2312"/>
          <w:color w:val="auto"/>
          <w:sz w:val="30"/>
          <w:szCs w:val="30"/>
          <w:highlight w:val="none"/>
        </w:rPr>
        <w:t>做好双拥创建活动的各项工作，</w:t>
      </w:r>
      <w:r>
        <w:rPr>
          <w:rFonts w:hint="eastAsia" w:eastAsia="仿宋_GB2312"/>
          <w:color w:val="auto"/>
          <w:sz w:val="30"/>
          <w:szCs w:val="30"/>
          <w:highlight w:val="none"/>
          <w:lang w:eastAsia="zh-CN"/>
        </w:rPr>
        <w:t>做到保荣誉争先进。</w:t>
      </w:r>
      <w:r>
        <w:rPr>
          <w:rFonts w:hint="eastAsia" w:eastAsia="仿宋_GB2312"/>
          <w:color w:val="auto"/>
          <w:sz w:val="30"/>
          <w:szCs w:val="30"/>
          <w:highlight w:val="none"/>
        </w:rPr>
        <w:t>抓好军警民共建活动，不断丰富共建内容，深化共建内涵，增强军地了解，增强军地团结。按照“再难不能难部队，再苦不能苦部队”的要求，</w:t>
      </w:r>
      <w:r>
        <w:rPr>
          <w:rFonts w:hint="eastAsia" w:eastAsia="仿宋_GB2312"/>
          <w:color w:val="auto"/>
          <w:sz w:val="30"/>
          <w:szCs w:val="30"/>
          <w:highlight w:val="none"/>
          <w:lang w:val="en-US" w:eastAsia="zh-CN"/>
        </w:rPr>
        <w:t>充分考虑</w:t>
      </w:r>
      <w:r>
        <w:rPr>
          <w:rFonts w:hint="eastAsia" w:eastAsia="仿宋_GB2312"/>
          <w:color w:val="auto"/>
          <w:sz w:val="30"/>
          <w:szCs w:val="30"/>
          <w:highlight w:val="none"/>
        </w:rPr>
        <w:t>国防和军队建设需要，积极帮助部队办实事、解难题。</w:t>
      </w:r>
      <w:r>
        <w:rPr>
          <w:rFonts w:hint="eastAsia" w:eastAsia="仿宋_GB2312"/>
          <w:color w:val="auto"/>
          <w:sz w:val="30"/>
          <w:szCs w:val="30"/>
          <w:highlight w:val="none"/>
          <w:lang w:val="en-US" w:eastAsia="zh-CN"/>
        </w:rPr>
        <w:t>持续开展</w:t>
      </w:r>
      <w:r>
        <w:rPr>
          <w:rFonts w:hint="eastAsia" w:eastAsia="仿宋_GB2312"/>
          <w:color w:val="auto"/>
          <w:sz w:val="30"/>
          <w:szCs w:val="30"/>
          <w:highlight w:val="none"/>
        </w:rPr>
        <w:t>走访慰问驻叶部队官兵</w:t>
      </w:r>
      <w:r>
        <w:rPr>
          <w:rFonts w:hint="eastAsia" w:eastAsia="仿宋_GB2312"/>
          <w:color w:val="auto"/>
          <w:sz w:val="30"/>
          <w:szCs w:val="30"/>
          <w:highlight w:val="none"/>
          <w:lang w:val="en-US" w:eastAsia="zh-CN"/>
        </w:rPr>
        <w:t>活动</w:t>
      </w:r>
      <w:r>
        <w:rPr>
          <w:rFonts w:hint="eastAsia" w:eastAsia="仿宋_GB2312"/>
          <w:color w:val="auto"/>
          <w:sz w:val="30"/>
          <w:szCs w:val="30"/>
          <w:highlight w:val="none"/>
        </w:rPr>
        <w:t>。</w:t>
      </w:r>
    </w:p>
    <w:p>
      <w:pPr>
        <w:pStyle w:val="18"/>
        <w:keepNext w:val="0"/>
        <w:keepLines w:val="0"/>
        <w:shd w:val="clear"/>
        <w:spacing w:beforeLines="50" w:afterLines="50"/>
        <w:rPr>
          <w:rFonts w:hint="eastAsia" w:ascii="Times New Roman" w:hAnsi="Times New Roman"/>
          <w:lang w:val="zh-CN" w:eastAsia="zh-CN"/>
        </w:rPr>
      </w:pPr>
      <w:bookmarkStart w:id="296" w:name="_Toc29551"/>
      <w:bookmarkStart w:id="297" w:name="_Toc17240"/>
      <w:r>
        <w:rPr>
          <w:rFonts w:hint="eastAsia" w:ascii="Times New Roman" w:hAnsi="Times New Roman"/>
          <w:lang w:val="zh-CN" w:eastAsia="zh-CN"/>
        </w:rPr>
        <w:t>第二节 全面推动兵地融合发展</w:t>
      </w:r>
      <w:bookmarkEnd w:id="296"/>
      <w:bookmarkEnd w:id="297"/>
    </w:p>
    <w:p>
      <w:pPr>
        <w:keepNext w:val="0"/>
        <w:keepLines w:val="0"/>
        <w:pageBreakBefore w:val="0"/>
        <w:shd w:val="clear"/>
        <w:kinsoku/>
        <w:wordWrap/>
        <w:autoSpaceDE/>
        <w:autoSpaceDN/>
        <w:bidi w:val="0"/>
        <w:spacing w:line="560" w:lineRule="exact"/>
        <w:ind w:firstLine="602" w:firstLineChars="200"/>
        <w:jc w:val="left"/>
        <w:textAlignment w:val="auto"/>
        <w:rPr>
          <w:rFonts w:eastAsia="仿宋_GB2312"/>
          <w:color w:val="auto"/>
          <w:sz w:val="30"/>
          <w:szCs w:val="30"/>
          <w:highlight w:val="none"/>
        </w:rPr>
      </w:pPr>
      <w:r>
        <w:rPr>
          <w:rFonts w:hint="eastAsia" w:eastAsia="仿宋_GB2312"/>
          <w:b/>
          <w:color w:val="auto"/>
          <w:sz w:val="30"/>
          <w:szCs w:val="30"/>
          <w:highlight w:val="none"/>
        </w:rPr>
        <w:t>推进兵地设施服务共建共享。</w:t>
      </w:r>
      <w:r>
        <w:rPr>
          <w:rFonts w:hint="eastAsia" w:eastAsia="仿宋_GB2312"/>
          <w:color w:val="auto"/>
          <w:sz w:val="30"/>
          <w:szCs w:val="30"/>
          <w:highlight w:val="none"/>
        </w:rPr>
        <w:t>强化兵地交通网络衔接，完善叶城县与三师二牧场城镇交通建设，提高人员、货物运输效率。推进兵地电网同步规划、建设和运营，推进团场“煤改电”工程，</w:t>
      </w:r>
      <w:r>
        <w:rPr>
          <w:rFonts w:hint="eastAsia" w:eastAsia="仿宋_GB2312"/>
          <w:color w:val="auto"/>
          <w:sz w:val="30"/>
          <w:szCs w:val="30"/>
          <w:highlight w:val="none"/>
          <w:lang w:val="en-US" w:eastAsia="zh-CN"/>
        </w:rPr>
        <w:t>推动</w:t>
      </w:r>
      <w:r>
        <w:rPr>
          <w:rFonts w:hint="eastAsia" w:eastAsia="仿宋_GB2312"/>
          <w:color w:val="auto"/>
          <w:sz w:val="30"/>
          <w:szCs w:val="30"/>
          <w:highlight w:val="none"/>
        </w:rPr>
        <w:t>兵团农网、城网、微电网建设改造，促进形成兵地统一的电力市场。加强兵地就业创业合作，依托城镇产业吸纳团场劳动力就近就业，团场有序接收地方劳动力从事棉花、红枣采摘等季节性务工。统筹基础教育资源合理公平配置，深化兵地学校合作，实施兵地各民族教育混合编班，开展学校“手拉手”结对帮扶活动。搭建兵地社会保险统一平台，实现社会保险信息系统互联互通，社会保险关系互认互转。开展兵地医疗卫生机构结对共建活动，推进医疗卫生资源交流共享，建立医保结算一体化平台。广泛深入开展多层次的兵地文明共建、民族团结共创活动，建设嵌入式城区、社区、团场，引导各族群众工作、学习、生活在一起，实现兵地各民族融合型嵌入</w:t>
      </w:r>
      <w:r>
        <w:rPr>
          <w:rFonts w:hint="eastAsia" w:eastAsia="仿宋_GB2312"/>
          <w:color w:val="auto"/>
          <w:sz w:val="30"/>
          <w:szCs w:val="30"/>
          <w:highlight w:val="none"/>
          <w:lang w:eastAsia="zh-CN"/>
        </w:rPr>
        <w:t>式</w:t>
      </w:r>
      <w:r>
        <w:rPr>
          <w:rFonts w:hint="eastAsia" w:eastAsia="仿宋_GB2312"/>
          <w:color w:val="auto"/>
          <w:sz w:val="30"/>
          <w:szCs w:val="30"/>
          <w:highlight w:val="none"/>
        </w:rPr>
        <w:t>发展。</w:t>
      </w:r>
    </w:p>
    <w:p>
      <w:pPr>
        <w:keepNext w:val="0"/>
        <w:keepLines w:val="0"/>
        <w:pageBreakBefore w:val="0"/>
        <w:shd w:val="clear"/>
        <w:kinsoku/>
        <w:wordWrap/>
        <w:overflowPunct w:val="0"/>
        <w:autoSpaceDE/>
        <w:autoSpaceDN/>
        <w:bidi w:val="0"/>
        <w:adjustRightInd w:val="0"/>
        <w:snapToGrid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促进兵地产业融合发展。</w:t>
      </w:r>
      <w:r>
        <w:rPr>
          <w:rFonts w:hint="eastAsia" w:eastAsia="仿宋_GB2312"/>
          <w:color w:val="auto"/>
          <w:sz w:val="30"/>
          <w:szCs w:val="30"/>
          <w:highlight w:val="none"/>
        </w:rPr>
        <w:t>加强兵地产业分工协作，推进兵地产</w:t>
      </w:r>
      <w:r>
        <w:rPr>
          <w:rFonts w:hint="eastAsia" w:eastAsia="仿宋_GB2312"/>
          <w:color w:val="auto"/>
          <w:sz w:val="30"/>
          <w:szCs w:val="30"/>
          <w:highlight w:val="none"/>
          <w:lang w:eastAsia="zh-CN"/>
        </w:rPr>
        <w:t>业</w:t>
      </w:r>
      <w:r>
        <w:rPr>
          <w:rFonts w:hint="eastAsia" w:eastAsia="仿宋_GB2312"/>
          <w:color w:val="auto"/>
          <w:sz w:val="30"/>
          <w:szCs w:val="30"/>
          <w:highlight w:val="none"/>
        </w:rPr>
        <w:t>融合，构建兵地优势互补、</w:t>
      </w:r>
      <w:r>
        <w:rPr>
          <w:rFonts w:hint="eastAsia" w:eastAsia="仿宋_GB2312"/>
          <w:bCs/>
          <w:color w:val="auto"/>
          <w:sz w:val="30"/>
          <w:szCs w:val="30"/>
          <w:highlight w:val="none"/>
        </w:rPr>
        <w:t>互助互利、</w:t>
      </w:r>
      <w:r>
        <w:rPr>
          <w:rFonts w:hint="eastAsia" w:eastAsia="仿宋_GB2312"/>
          <w:color w:val="auto"/>
          <w:sz w:val="30"/>
          <w:szCs w:val="30"/>
          <w:highlight w:val="none"/>
        </w:rPr>
        <w:t>发展共赢</w:t>
      </w:r>
      <w:r>
        <w:rPr>
          <w:rFonts w:hint="eastAsia" w:eastAsia="仿宋_GB2312"/>
          <w:bCs/>
          <w:color w:val="auto"/>
          <w:sz w:val="30"/>
          <w:szCs w:val="30"/>
          <w:highlight w:val="none"/>
        </w:rPr>
        <w:t>的现代产业分工</w:t>
      </w:r>
      <w:r>
        <w:rPr>
          <w:rFonts w:hint="eastAsia" w:eastAsia="仿宋_GB2312"/>
          <w:bCs/>
          <w:color w:val="auto"/>
          <w:sz w:val="30"/>
          <w:szCs w:val="30"/>
          <w:highlight w:val="none"/>
          <w:lang w:val="en-US" w:eastAsia="zh-CN"/>
        </w:rPr>
        <w:t>模式</w:t>
      </w:r>
      <w:r>
        <w:rPr>
          <w:rFonts w:hint="eastAsia" w:eastAsia="仿宋_GB2312"/>
          <w:color w:val="auto"/>
          <w:sz w:val="30"/>
          <w:szCs w:val="30"/>
          <w:highlight w:val="none"/>
        </w:rPr>
        <w:t>。</w:t>
      </w:r>
      <w:r>
        <w:rPr>
          <w:rFonts w:hint="eastAsia" w:eastAsia="仿宋_GB2312"/>
          <w:bCs/>
          <w:color w:val="auto"/>
          <w:sz w:val="30"/>
          <w:szCs w:val="30"/>
          <w:highlight w:val="none"/>
        </w:rPr>
        <w:t>整合农业资源，推广节水灌溉等先进技术，</w:t>
      </w:r>
      <w:r>
        <w:rPr>
          <w:rFonts w:hint="eastAsia" w:eastAsia="仿宋_GB2312"/>
          <w:color w:val="auto"/>
          <w:sz w:val="30"/>
          <w:szCs w:val="30"/>
          <w:highlight w:val="none"/>
        </w:rPr>
        <w:t>大力</w:t>
      </w:r>
      <w:r>
        <w:rPr>
          <w:rFonts w:hint="eastAsia" w:eastAsia="仿宋_GB2312"/>
          <w:bCs/>
          <w:color w:val="auto"/>
          <w:sz w:val="30"/>
          <w:szCs w:val="30"/>
          <w:highlight w:val="none"/>
        </w:rPr>
        <w:t>发展设施农业、林果业、现代</w:t>
      </w:r>
      <w:r>
        <w:rPr>
          <w:rFonts w:hint="eastAsia" w:eastAsia="仿宋_GB2312"/>
          <w:bCs/>
          <w:color w:val="auto"/>
          <w:sz w:val="30"/>
          <w:szCs w:val="30"/>
          <w:highlight w:val="none"/>
          <w:lang w:val="en-US" w:eastAsia="zh-CN"/>
        </w:rPr>
        <w:t>畜牧</w:t>
      </w:r>
      <w:r>
        <w:rPr>
          <w:rFonts w:hint="eastAsia" w:eastAsia="仿宋_GB2312"/>
          <w:bCs/>
          <w:color w:val="auto"/>
          <w:sz w:val="30"/>
          <w:szCs w:val="30"/>
          <w:highlight w:val="none"/>
        </w:rPr>
        <w:t>业，加快现代农业发展步伐，培育农产品加工骨干企业，共创绿色农产品品牌</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探索</w:t>
      </w:r>
      <w:r>
        <w:rPr>
          <w:rFonts w:hint="eastAsia" w:eastAsia="仿宋_GB2312"/>
          <w:color w:val="auto"/>
          <w:sz w:val="30"/>
          <w:szCs w:val="30"/>
          <w:highlight w:val="none"/>
        </w:rPr>
        <w:t>与二牧场联合创办企业，培育融合型产业集群，</w:t>
      </w:r>
      <w:r>
        <w:rPr>
          <w:rFonts w:hint="eastAsia" w:eastAsia="仿宋_GB2312"/>
          <w:bCs/>
          <w:color w:val="auto"/>
          <w:sz w:val="30"/>
          <w:szCs w:val="30"/>
          <w:highlight w:val="none"/>
        </w:rPr>
        <w:t>依托团镇建设一批中小微企业创业示范基地。发挥</w:t>
      </w:r>
      <w:r>
        <w:rPr>
          <w:rFonts w:hint="eastAsia" w:eastAsia="仿宋_GB2312"/>
          <w:color w:val="auto"/>
          <w:sz w:val="30"/>
          <w:szCs w:val="30"/>
          <w:highlight w:val="none"/>
        </w:rPr>
        <w:t>喀什经济开发区和兵团分区集聚作用，与各县“飞地园区”功能互补、形成合力，共同打造面向周边国家的出口加工产业聚集区和面向国内外市场的</w:t>
      </w:r>
      <w:r>
        <w:rPr>
          <w:rFonts w:hint="eastAsia" w:eastAsia="仿宋_GB2312"/>
          <w:bCs/>
          <w:color w:val="auto"/>
          <w:sz w:val="30"/>
          <w:szCs w:val="30"/>
          <w:highlight w:val="none"/>
        </w:rPr>
        <w:t>高端产业集群</w:t>
      </w:r>
      <w:r>
        <w:rPr>
          <w:rFonts w:hint="eastAsia" w:eastAsia="仿宋_GB2312"/>
          <w:color w:val="auto"/>
          <w:sz w:val="30"/>
          <w:szCs w:val="30"/>
          <w:highlight w:val="none"/>
        </w:rPr>
        <w:t>。加快发展文化旅游、商贸物流、医疗康养、金融保险等现代服务业，统筹地方特色旅游资源，挖掘军垦文化及历史和自然文化遗产内涵，共同打造兵地文旅融合精品景区、精品线路</w:t>
      </w:r>
      <w:bookmarkStart w:id="298" w:name="_Toc504143347"/>
      <w:r>
        <w:rPr>
          <w:rFonts w:hint="eastAsia" w:eastAsia="仿宋_GB2312"/>
          <w:color w:val="auto"/>
          <w:sz w:val="30"/>
          <w:szCs w:val="30"/>
          <w:highlight w:val="none"/>
        </w:rPr>
        <w:t>。</w:t>
      </w:r>
    </w:p>
    <w:p>
      <w:pPr>
        <w:keepNext w:val="0"/>
        <w:keepLines w:val="0"/>
        <w:pageBreakBefore w:val="0"/>
        <w:shd w:val="clear"/>
        <w:kinsoku/>
        <w:wordWrap/>
        <w:overflowPunct w:val="0"/>
        <w:autoSpaceDE/>
        <w:autoSpaceDN/>
        <w:bidi w:val="0"/>
        <w:adjustRightInd w:val="0"/>
        <w:snapToGrid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创新一体化发展体制机制</w:t>
      </w:r>
      <w:bookmarkEnd w:id="298"/>
      <w:r>
        <w:rPr>
          <w:rFonts w:hint="eastAsia" w:eastAsia="仿宋_GB2312"/>
          <w:b/>
          <w:color w:val="auto"/>
          <w:sz w:val="30"/>
          <w:szCs w:val="30"/>
          <w:highlight w:val="none"/>
        </w:rPr>
        <w:t>。</w:t>
      </w:r>
      <w:r>
        <w:rPr>
          <w:rFonts w:hint="eastAsia" w:eastAsia="仿宋_GB2312"/>
          <w:bCs/>
          <w:color w:val="auto"/>
          <w:sz w:val="30"/>
          <w:szCs w:val="30"/>
          <w:highlight w:val="none"/>
        </w:rPr>
        <w:t>构建维稳应急合作机制</w:t>
      </w:r>
      <w:r>
        <w:rPr>
          <w:rFonts w:hint="eastAsia" w:eastAsia="仿宋_GB2312"/>
          <w:color w:val="auto"/>
          <w:sz w:val="30"/>
          <w:szCs w:val="30"/>
          <w:highlight w:val="none"/>
        </w:rPr>
        <w:t>。</w:t>
      </w:r>
      <w:r>
        <w:rPr>
          <w:rFonts w:hint="eastAsia" w:eastAsia="仿宋_GB2312"/>
          <w:bCs/>
          <w:color w:val="auto"/>
          <w:sz w:val="30"/>
          <w:szCs w:val="30"/>
          <w:highlight w:val="none"/>
        </w:rPr>
        <w:t>加快兵地共享建设，双方共同参与社会面</w:t>
      </w:r>
      <w:r>
        <w:rPr>
          <w:rFonts w:hint="eastAsia" w:eastAsia="仿宋_GB2312"/>
          <w:bCs/>
          <w:color w:val="auto"/>
          <w:sz w:val="30"/>
          <w:szCs w:val="30"/>
          <w:highlight w:val="none"/>
          <w:lang w:eastAsia="zh-CN"/>
        </w:rPr>
        <w:t>防</w:t>
      </w:r>
      <w:r>
        <w:rPr>
          <w:rFonts w:hint="eastAsia" w:eastAsia="仿宋_GB2312"/>
          <w:bCs/>
          <w:color w:val="auto"/>
          <w:sz w:val="30"/>
          <w:szCs w:val="30"/>
          <w:highlight w:val="none"/>
        </w:rPr>
        <w:t>控和重大突发事件处置，积极推进和完善应急处置机制建设，</w:t>
      </w:r>
      <w:r>
        <w:rPr>
          <w:rFonts w:hint="eastAsia" w:eastAsia="仿宋_GB2312"/>
          <w:color w:val="auto"/>
          <w:sz w:val="30"/>
          <w:szCs w:val="30"/>
          <w:highlight w:val="none"/>
        </w:rPr>
        <w:t>提高兵地联合应急处突能力。建立要素畅通流动机制。</w:t>
      </w:r>
      <w:bookmarkEnd w:id="291"/>
      <w:bookmarkEnd w:id="292"/>
      <w:bookmarkEnd w:id="293"/>
      <w:bookmarkStart w:id="299" w:name="_Toc503915982"/>
      <w:r>
        <w:rPr>
          <w:rFonts w:hint="eastAsia" w:eastAsia="仿宋_GB2312"/>
          <w:color w:val="auto"/>
          <w:sz w:val="30"/>
          <w:szCs w:val="30"/>
          <w:highlight w:val="none"/>
        </w:rPr>
        <w:t>探索兵地建设占用耕地跨区域占补平衡机制，</w:t>
      </w:r>
      <w:r>
        <w:rPr>
          <w:rFonts w:hint="eastAsia" w:eastAsia="仿宋_GB2312"/>
          <w:bCs/>
          <w:color w:val="auto"/>
          <w:sz w:val="30"/>
          <w:szCs w:val="30"/>
          <w:highlight w:val="none"/>
        </w:rPr>
        <w:t>全面开展团场耕地精准核查工作，</w:t>
      </w:r>
      <w:r>
        <w:rPr>
          <w:rFonts w:hint="eastAsia" w:eastAsia="仿宋_GB2312"/>
          <w:color w:val="auto"/>
          <w:sz w:val="30"/>
          <w:szCs w:val="30"/>
          <w:highlight w:val="none"/>
        </w:rPr>
        <w:t>落实不动产登记制度，积极稳妥推进兵地确权勘界工作。</w:t>
      </w:r>
      <w:bookmarkEnd w:id="299"/>
      <w:bookmarkStart w:id="300" w:name="_Toc503915986"/>
      <w:r>
        <w:rPr>
          <w:rFonts w:hint="eastAsia" w:eastAsia="仿宋_GB2312"/>
          <w:color w:val="auto"/>
          <w:sz w:val="30"/>
          <w:szCs w:val="30"/>
          <w:highlight w:val="none"/>
        </w:rPr>
        <w:t>促进人口自由流动，实行兵地、城乡统一的户籍管理制度和流动人口管理制度，确保流动人口与当地居民享有同等待遇。</w:t>
      </w:r>
      <w:bookmarkEnd w:id="300"/>
      <w:bookmarkStart w:id="301" w:name="_Toc503915988"/>
      <w:r>
        <w:rPr>
          <w:rFonts w:hint="eastAsia" w:eastAsia="仿宋_GB2312"/>
          <w:color w:val="auto"/>
          <w:sz w:val="30"/>
          <w:szCs w:val="30"/>
          <w:highlight w:val="none"/>
        </w:rPr>
        <w:t>健全多层次金融服务体系，加快推进兵地金融、保险、信用体系一体化。</w:t>
      </w:r>
      <w:bookmarkEnd w:id="301"/>
      <w:r>
        <w:rPr>
          <w:rFonts w:hint="eastAsia" w:eastAsia="仿宋_GB2312"/>
          <w:bCs/>
          <w:color w:val="auto"/>
          <w:sz w:val="30"/>
          <w:szCs w:val="30"/>
          <w:highlight w:val="none"/>
        </w:rPr>
        <w:t>构建生态共建共治机制。</w:t>
      </w:r>
      <w:r>
        <w:rPr>
          <w:rFonts w:hint="eastAsia" w:eastAsia="仿宋_GB2312"/>
          <w:color w:val="auto"/>
          <w:sz w:val="30"/>
          <w:szCs w:val="30"/>
          <w:highlight w:val="none"/>
        </w:rPr>
        <w:t>妥善处理兵地土地勘界、水资源配置等问题，落实节能减排各项任务。统筹推进山水林田湖草系统治理，推进兵地国土综合整治和生态保护修复。强化环境治理工作，加强环境监测数据信息共享，支持强化兵团生态环境监测、突发环境事件应急处理。</w:t>
      </w:r>
      <w:r>
        <w:rPr>
          <w:rFonts w:hint="eastAsia" w:eastAsia="仿宋_GB2312"/>
          <w:bCs/>
          <w:color w:val="auto"/>
          <w:sz w:val="30"/>
          <w:szCs w:val="30"/>
          <w:highlight w:val="none"/>
        </w:rPr>
        <w:t>建立干部双向交流机制。</w:t>
      </w:r>
      <w:r>
        <w:rPr>
          <w:rFonts w:hint="eastAsia" w:eastAsia="仿宋_GB2312"/>
          <w:color w:val="auto"/>
          <w:sz w:val="30"/>
          <w:szCs w:val="30"/>
          <w:highlight w:val="none"/>
        </w:rPr>
        <w:t>加强兵地各级领导干部交叉任职和挂职，</w:t>
      </w:r>
      <w:r>
        <w:rPr>
          <w:rFonts w:hint="eastAsia" w:eastAsia="仿宋_GB2312"/>
          <w:bCs/>
          <w:color w:val="auto"/>
          <w:sz w:val="30"/>
          <w:szCs w:val="30"/>
          <w:highlight w:val="none"/>
        </w:rPr>
        <w:t>接收少数民族基层干部到团场挂职，加大复转军人和留疆战士向地方和兵团选派力度，鼓励大中专毕业生、科技人才和退役军人到基层和团场工作，促进兵地相互学习、相互支持、共同发展。</w:t>
      </w:r>
    </w:p>
    <w:p>
      <w:pPr>
        <w:pStyle w:val="3"/>
        <w:keepNext w:val="0"/>
        <w:keepLines w:val="0"/>
        <w:shd w:val="clear"/>
        <w:spacing w:beforeLines="100" w:afterLines="100" w:line="560" w:lineRule="exact"/>
        <w:jc w:val="center"/>
        <w:rPr>
          <w:rFonts w:hint="default" w:ascii="Times New Roman" w:hAnsi="Times New Roman" w:eastAsia="黑体" w:cs="Times New Roman"/>
          <w:b w:val="0"/>
          <w:bCs w:val="0"/>
          <w:sz w:val="30"/>
          <w:szCs w:val="30"/>
          <w:lang w:val="en-US" w:eastAsia="zh-CN"/>
        </w:rPr>
      </w:pPr>
      <w:bookmarkStart w:id="302" w:name="_Toc5817"/>
      <w:bookmarkStart w:id="303" w:name="_Toc31384"/>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十六</w:t>
      </w:r>
      <w:r>
        <w:rPr>
          <w:rFonts w:hint="eastAsia" w:ascii="Times New Roman" w:hAnsi="Times New Roman" w:eastAsia="黑体" w:cs="Times New Roman"/>
          <w:b w:val="0"/>
          <w:bCs w:val="0"/>
          <w:sz w:val="30"/>
          <w:szCs w:val="30"/>
          <w:lang w:val="en-US" w:eastAsia="zh-CN"/>
        </w:rPr>
        <w:t>章 坚持全面深化改革，切实打造高质量发展新动力</w:t>
      </w:r>
      <w:bookmarkEnd w:id="302"/>
      <w:bookmarkEnd w:id="303"/>
    </w:p>
    <w:p>
      <w:pPr>
        <w:keepNext w:val="0"/>
        <w:keepLines w:val="0"/>
        <w:pageBreakBefore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坚持把深化改革作为推动发展的根本动力，加快破除深层次体制机制障碍，充分发挥市场在资源配置中的决定性作用，更好发挥政府作用，使一切有利于生产力发展的力量源泉充分涌流。</w:t>
      </w:r>
    </w:p>
    <w:p>
      <w:pPr>
        <w:pStyle w:val="18"/>
        <w:keepNext w:val="0"/>
        <w:keepLines w:val="0"/>
        <w:shd w:val="clear"/>
        <w:spacing w:beforeLines="50" w:afterLines="50"/>
        <w:rPr>
          <w:rFonts w:hint="eastAsia" w:ascii="Times New Roman" w:hAnsi="Times New Roman"/>
          <w:lang w:val="zh-CN" w:eastAsia="zh-CN"/>
        </w:rPr>
      </w:pPr>
      <w:bookmarkStart w:id="304" w:name="_Toc18130"/>
      <w:bookmarkStart w:id="305" w:name="_Toc5992"/>
      <w:r>
        <w:rPr>
          <w:rFonts w:hint="eastAsia" w:ascii="Times New Roman" w:hAnsi="Times New Roman"/>
          <w:lang w:val="zh-CN" w:eastAsia="zh-CN"/>
        </w:rPr>
        <w:t>第</w:t>
      </w:r>
      <w:r>
        <w:rPr>
          <w:rFonts w:hint="eastAsia" w:ascii="Times New Roman" w:hAnsi="Times New Roman"/>
          <w:lang w:val="en-US" w:eastAsia="zh-CN"/>
        </w:rPr>
        <w:t>一</w:t>
      </w:r>
      <w:r>
        <w:rPr>
          <w:rFonts w:hint="eastAsia" w:ascii="Times New Roman" w:hAnsi="Times New Roman"/>
          <w:lang w:val="zh-CN" w:eastAsia="zh-CN"/>
        </w:rPr>
        <w:t>节 持续优化营商</w:t>
      </w:r>
      <w:r>
        <w:rPr>
          <w:rFonts w:hint="eastAsia" w:ascii="Times New Roman" w:hAnsi="Times New Roman"/>
          <w:lang w:val="en-US" w:eastAsia="zh-CN"/>
        </w:rPr>
        <w:t>服务</w:t>
      </w:r>
      <w:r>
        <w:rPr>
          <w:rFonts w:hint="eastAsia" w:ascii="Times New Roman" w:hAnsi="Times New Roman"/>
          <w:lang w:val="zh-CN" w:eastAsia="zh-CN"/>
        </w:rPr>
        <w:t>环境</w:t>
      </w:r>
      <w:bookmarkEnd w:id="304"/>
      <w:bookmarkEnd w:id="305"/>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hint="eastAsia" w:eastAsia="仿宋_GB2312"/>
          <w:color w:val="auto"/>
          <w:kern w:val="0"/>
          <w:sz w:val="30"/>
          <w:szCs w:val="30"/>
          <w:highlight w:val="none"/>
        </w:rPr>
      </w:pPr>
      <w:r>
        <w:rPr>
          <w:rFonts w:hint="eastAsia" w:eastAsia="仿宋_GB2312"/>
          <w:b/>
          <w:bCs/>
          <w:color w:val="auto"/>
          <w:kern w:val="0"/>
          <w:sz w:val="30"/>
          <w:szCs w:val="30"/>
          <w:highlight w:val="none"/>
          <w:lang w:val="en-US" w:eastAsia="zh-CN"/>
        </w:rPr>
        <w:t>持续推进“</w:t>
      </w:r>
      <w:r>
        <w:rPr>
          <w:rFonts w:hint="eastAsia" w:eastAsia="仿宋_GB2312"/>
          <w:b/>
          <w:bCs/>
          <w:color w:val="auto"/>
          <w:kern w:val="0"/>
          <w:sz w:val="30"/>
          <w:szCs w:val="30"/>
          <w:highlight w:val="none"/>
          <w:lang w:eastAsia="zh-CN"/>
        </w:rPr>
        <w:t>放管服</w:t>
      </w:r>
      <w:r>
        <w:rPr>
          <w:rFonts w:hint="eastAsia" w:eastAsia="仿宋_GB2312"/>
          <w:b/>
          <w:bCs/>
          <w:color w:val="auto"/>
          <w:kern w:val="0"/>
          <w:sz w:val="30"/>
          <w:szCs w:val="30"/>
          <w:highlight w:val="none"/>
          <w:lang w:val="en-US" w:eastAsia="zh-CN"/>
        </w:rPr>
        <w:t>”改革。</w:t>
      </w:r>
      <w:r>
        <w:rPr>
          <w:rFonts w:hint="eastAsia" w:eastAsia="仿宋_GB2312"/>
          <w:color w:val="auto"/>
          <w:kern w:val="0"/>
          <w:sz w:val="30"/>
          <w:szCs w:val="30"/>
          <w:highlight w:val="none"/>
          <w:lang w:eastAsia="zh-CN"/>
        </w:rPr>
        <w:t>全面贯彻落实《优化营商环境条例》，进一步创新政府管理和服务方式，提高政府管理和服务社会能力，减少政府对市场的干预，激发市场活力和社会创造力，积极打造市场化、法治化、国际化营商环境。深入推进“放管服”改革，进一步简政放权，优化</w:t>
      </w:r>
      <w:r>
        <w:rPr>
          <w:rFonts w:hint="eastAsia" w:eastAsia="仿宋_GB2312"/>
          <w:color w:val="auto"/>
          <w:kern w:val="0"/>
          <w:sz w:val="30"/>
          <w:szCs w:val="30"/>
          <w:highlight w:val="none"/>
        </w:rPr>
        <w:t>企业开办和注销程序，积极全面履行“双告知”职责，实施企业登记全程电子化。进一步完善涉企收费清单管理制度，实行清单之外无收费。破除中介服务垄断，依法依规对中介服务及收费清单实行动态管理，凡未纳入清单的中介服务事项，一律不得作为行政审批的受理条件。进一步简化税务登记程序，不断扩大网上办税服务覆盖面，及时落实各项税收优惠政策。</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r>
        <w:rPr>
          <w:rFonts w:hint="eastAsia" w:eastAsia="仿宋_GB2312"/>
          <w:b/>
          <w:bCs/>
          <w:color w:val="auto"/>
          <w:kern w:val="0"/>
          <w:sz w:val="30"/>
          <w:szCs w:val="30"/>
          <w:highlight w:val="none"/>
          <w:lang w:val="en-US" w:eastAsia="zh-CN"/>
        </w:rPr>
        <w:t>进一步优化审批程序。</w:t>
      </w:r>
      <w:r>
        <w:rPr>
          <w:rFonts w:hint="eastAsia" w:eastAsia="仿宋_GB2312"/>
          <w:color w:val="auto"/>
          <w:kern w:val="0"/>
          <w:sz w:val="30"/>
          <w:szCs w:val="30"/>
          <w:highlight w:val="none"/>
        </w:rPr>
        <w:t>进一步优化投资建设管理流程，对所有行政审批和服务事项，按项目立项、规划许可、施工许可、竣工验收四个阶段，实行“一口受理、并联审批、限时办结”</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加速推进工程建设项目审批制度改革</w:t>
      </w:r>
      <w:r>
        <w:rPr>
          <w:rFonts w:hint="eastAsia" w:eastAsia="仿宋_GB2312"/>
          <w:color w:val="auto"/>
          <w:kern w:val="0"/>
          <w:sz w:val="30"/>
          <w:szCs w:val="30"/>
          <w:highlight w:val="none"/>
          <w:lang w:eastAsia="zh-CN"/>
        </w:rPr>
        <w:t>和</w:t>
      </w:r>
      <w:r>
        <w:rPr>
          <w:rFonts w:hint="eastAsia" w:eastAsia="仿宋_GB2312"/>
          <w:color w:val="auto"/>
          <w:kern w:val="0"/>
          <w:sz w:val="30"/>
          <w:szCs w:val="30"/>
          <w:highlight w:val="none"/>
        </w:rPr>
        <w:t>注销便利化改革</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促进市场主体自由流动。按照“互联网+政务服务”要求，规范和统一行政许可审批流程、审批条件、申请材料、办理时限、裁量标准等，积极探索相对集中行政许可权改革试点，实现“一枚印章管审批”。加强“互联网+监管”，建立监管标准和监管清单。深化行政执法体制改革，从源头上解决多头执法、重复执法、执法缺位等问题。</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r>
        <w:rPr>
          <w:rFonts w:hint="eastAsia" w:eastAsia="仿宋_GB2312"/>
          <w:b/>
          <w:bCs/>
          <w:color w:val="auto"/>
          <w:kern w:val="0"/>
          <w:sz w:val="30"/>
          <w:szCs w:val="30"/>
          <w:highlight w:val="none"/>
          <w:lang w:eastAsia="zh-CN"/>
        </w:rPr>
        <w:t>持续</w:t>
      </w:r>
      <w:r>
        <w:rPr>
          <w:rFonts w:hint="eastAsia" w:eastAsia="仿宋_GB2312"/>
          <w:b/>
          <w:bCs/>
          <w:color w:val="auto"/>
          <w:kern w:val="0"/>
          <w:sz w:val="30"/>
          <w:szCs w:val="30"/>
          <w:highlight w:val="none"/>
        </w:rPr>
        <w:t>优化企业开办环境。</w:t>
      </w:r>
      <w:r>
        <w:rPr>
          <w:rFonts w:hint="eastAsia" w:eastAsia="仿宋_GB2312"/>
          <w:color w:val="auto"/>
          <w:kern w:val="0"/>
          <w:sz w:val="30"/>
          <w:szCs w:val="30"/>
          <w:highlight w:val="none"/>
        </w:rPr>
        <w:t>建立并完善政府与企业的有效沟通和反馈机制。采取多种方式及时听取市场主体的反映和诉求，充分尊重市场主体意愿，针对当前市场主体生产经营中的困难与问题制定针对、有效的政策并监督落实到位，向企业提供切实的帮助。持续加大对小微企业的扶持力度。加强保护小微企业的经营自主权、财产权和其他合法权益，在资金安排、技术、税费减免、公共服务资源等方面给予小微企业更多的倾斜和支持。积极构建公平公正的市场秩序</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严格执行公平竞争审查制度</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优化投诉举报渠道，聚焦民生领域突出问题，加强对垄断协议、滥用市场支配地位和滥用行政权力排除、限制竞争行为的查处力度</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坚持以法治化为导向，完善市场准入、产业发展、招商引资、招标投标、政府采购、经营行为规范、资质标准等涉及市场主体经济活动的政策法规，加强知识产权保护，维护企业权益。</w:t>
      </w:r>
    </w:p>
    <w:p>
      <w:pPr>
        <w:pStyle w:val="18"/>
        <w:keepNext w:val="0"/>
        <w:keepLines w:val="0"/>
        <w:pageBreakBefore w:val="0"/>
        <w:shd w:val="clear"/>
        <w:kinsoku/>
        <w:wordWrap/>
        <w:overflowPunct/>
        <w:topLinePunct w:val="0"/>
        <w:autoSpaceDE/>
        <w:autoSpaceDN/>
        <w:bidi w:val="0"/>
        <w:adjustRightInd/>
        <w:snapToGrid/>
        <w:spacing w:beforeLines="50" w:afterLines="50" w:line="570" w:lineRule="exact"/>
        <w:textAlignment w:val="auto"/>
        <w:rPr>
          <w:rFonts w:hint="eastAsia" w:ascii="Times New Roman" w:hAnsi="Times New Roman"/>
          <w:lang w:val="en-US" w:eastAsia="zh-CN"/>
        </w:rPr>
      </w:pPr>
      <w:bookmarkStart w:id="306" w:name="_Toc8357"/>
      <w:bookmarkStart w:id="307" w:name="_Toc8972"/>
      <w:r>
        <w:rPr>
          <w:rFonts w:hint="eastAsia" w:ascii="Times New Roman" w:hAnsi="Times New Roman"/>
          <w:lang w:val="en-US" w:eastAsia="zh-CN"/>
        </w:rPr>
        <w:t>第二节 深化金融财税和投融资体制改革</w:t>
      </w:r>
      <w:bookmarkEnd w:id="306"/>
      <w:bookmarkEnd w:id="307"/>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bookmarkStart w:id="308" w:name="_Toc6588_WPSOffice_Level3"/>
      <w:r>
        <w:rPr>
          <w:rFonts w:hint="eastAsia" w:eastAsia="仿宋_GB2312"/>
          <w:b/>
          <w:bCs/>
          <w:color w:val="auto"/>
          <w:kern w:val="0"/>
          <w:sz w:val="30"/>
          <w:szCs w:val="30"/>
          <w:highlight w:val="none"/>
        </w:rPr>
        <w:t>深化投资体制改革</w:t>
      </w:r>
      <w:bookmarkEnd w:id="308"/>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建立政府投资范围定期评估调整机制，不断优化政府投资方向和结构，提高投资效率。建立基础设施补短板协调机制、地方政府专项债券项目安排协调机制和重大项目储备通报制度，探索建立政银企信息共享机制，搭建信息共享、资金对接平台，畅通重大项目融资渠道，推动项目顺利建设。依法平等开放投资领域，进一步放宽基础设施和公共事业等领域投资限制，建立健全向民营资本推介项目的长效机制。进一步完善投资项目资本金制度，适当降低基础设施等项目资本金比例，提高民间资本积极性。鼓励社会资本通过PPP模式，利用政府付费、可行性缺口补助、使用者付费、特许经营等方式全程参与基础设施和公共服务领域项目建设及运营管理。大力发展股权投资基金和创业投资基金，鼓励民间资本采取私募等方式发起设立主要投资于公共服务、生态环保、基础设施等领域的投资基金，政府通过认购基金份额等方式予以支持。</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bookmarkStart w:id="309" w:name="_Toc16957_WPSOffice_Level3"/>
      <w:r>
        <w:rPr>
          <w:rFonts w:hint="eastAsia" w:eastAsia="仿宋_GB2312"/>
          <w:b/>
          <w:bCs/>
          <w:color w:val="auto"/>
          <w:kern w:val="0"/>
          <w:sz w:val="30"/>
          <w:szCs w:val="30"/>
          <w:highlight w:val="none"/>
        </w:rPr>
        <w:t>深化融资体制改革</w:t>
      </w:r>
      <w:bookmarkEnd w:id="309"/>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机制引领，强化信息共享、资金补充，不断提高担保能力，帮助企业得到贷款，促进经济稳步发展。由融资担保公司和银行形成信息共享、相互沟通的联动机制。融资担保公司与银行达成合作协议，合作银行将需要贷款但达不到银行直接贷款要求的企业信息共享推荐给融资担保公司，由融资担保公司按照担保政策要求，对需要贷款的企业进行审核，审核通过后进行贷款担保，实现企业得到贷款、银行放贷成功、融担公司做成业务的三方共赢格局，帮助企业获得贷款资金，帮助企业渡过难关，促进</w:t>
      </w:r>
      <w:r>
        <w:rPr>
          <w:rFonts w:hint="eastAsia" w:eastAsia="仿宋_GB2312"/>
          <w:color w:val="auto"/>
          <w:kern w:val="0"/>
          <w:sz w:val="30"/>
          <w:szCs w:val="30"/>
          <w:highlight w:val="none"/>
          <w:lang w:eastAsia="zh-CN"/>
        </w:rPr>
        <w:t>叶城</w:t>
      </w:r>
      <w:r>
        <w:rPr>
          <w:rFonts w:hint="eastAsia" w:eastAsia="仿宋_GB2312"/>
          <w:color w:val="auto"/>
          <w:kern w:val="0"/>
          <w:sz w:val="30"/>
          <w:szCs w:val="30"/>
          <w:highlight w:val="none"/>
        </w:rPr>
        <w:t>经济发展。进一步健全政策性融资担保体系，扩大担保规模，鼓励引导金融机构和担保机构提高信用良好企业的抵押物折扣率，规范融资担保收费标准，积极开展知识产权质押融资。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0" w:lineRule="exact"/>
        <w:ind w:left="0" w:right="0" w:firstLine="602" w:firstLineChars="200"/>
        <w:jc w:val="both"/>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b/>
          <w:bCs/>
          <w:color w:val="auto"/>
          <w:kern w:val="0"/>
          <w:sz w:val="30"/>
          <w:szCs w:val="30"/>
          <w:highlight w:val="none"/>
          <w:lang w:val="en-US" w:eastAsia="zh-CN" w:bidi="ar-SA"/>
        </w:rPr>
        <w:t>发挥政府投资撬动作用。</w:t>
      </w:r>
      <w:r>
        <w:rPr>
          <w:rFonts w:hint="eastAsia" w:ascii="Times New Roman" w:hAnsi="Times New Roman" w:eastAsia="仿宋_GB2312" w:cs="Times New Roman"/>
          <w:color w:val="auto"/>
          <w:kern w:val="2"/>
          <w:sz w:val="30"/>
          <w:szCs w:val="30"/>
          <w:highlight w:val="none"/>
          <w:lang w:val="en-US" w:eastAsia="zh-CN" w:bidi="ar-SA"/>
        </w:rPr>
        <w:t>统筹用好不同类型资金，加快补齐基础设施、市政工程、农业农村、生态环保、公共卫生、物资储备等领域短板。激发民间投资活力，大力发展民营经济，推动民间投资与政府投资、信贷资金等协同联动，引导资金投向供需共同受益、具有乘数效应的领域。推动企业设备更新和技术改造，扩大战略性新兴产业投资。</w:t>
      </w:r>
    </w:p>
    <w:p>
      <w:pPr>
        <w:pStyle w:val="18"/>
        <w:keepNext w:val="0"/>
        <w:keepLines w:val="0"/>
        <w:pageBreakBefore w:val="0"/>
        <w:shd w:val="clear"/>
        <w:kinsoku/>
        <w:wordWrap/>
        <w:overflowPunct/>
        <w:topLinePunct w:val="0"/>
        <w:autoSpaceDE/>
        <w:autoSpaceDN/>
        <w:bidi w:val="0"/>
        <w:adjustRightInd/>
        <w:snapToGrid/>
        <w:spacing w:beforeLines="50" w:afterLines="50" w:line="570" w:lineRule="exact"/>
        <w:textAlignment w:val="auto"/>
        <w:rPr>
          <w:rFonts w:hint="eastAsia" w:ascii="Times New Roman" w:hAnsi="Times New Roman"/>
          <w:lang w:val="en-US" w:eastAsia="zh-CN"/>
        </w:rPr>
      </w:pPr>
      <w:bookmarkStart w:id="310" w:name="_Toc23129"/>
      <w:bookmarkStart w:id="311" w:name="_Toc26566"/>
      <w:bookmarkStart w:id="312" w:name="_Toc11676_WPSOffice_Level2"/>
      <w:r>
        <w:rPr>
          <w:rFonts w:hint="eastAsia" w:ascii="Times New Roman" w:hAnsi="Times New Roman"/>
          <w:lang w:val="en-US" w:eastAsia="zh-CN"/>
        </w:rPr>
        <w:t>第三节 深化公共服务改革</w:t>
      </w:r>
      <w:bookmarkEnd w:id="310"/>
      <w:bookmarkEnd w:id="311"/>
      <w:bookmarkEnd w:id="312"/>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bookmarkStart w:id="313" w:name="_Toc6280_WPSOffice_Level3"/>
      <w:r>
        <w:rPr>
          <w:rFonts w:hint="eastAsia" w:eastAsia="仿宋_GB2312"/>
          <w:b/>
          <w:bCs/>
          <w:color w:val="auto"/>
          <w:kern w:val="0"/>
          <w:sz w:val="30"/>
          <w:szCs w:val="30"/>
          <w:highlight w:val="none"/>
        </w:rPr>
        <w:t>深化教育领域综合改革</w:t>
      </w:r>
      <w:bookmarkEnd w:id="313"/>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加快推进教育领域综合改革试点工作，在德育和民族团结教育、教师职称改革和管理制度改革等方面取得突破性进展。统筹城乡义务教育资源均衡配置，推进教育管办评分离，扩大学校办学自主权。转变人才培养方式，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lang w:eastAsia="zh-CN"/>
        </w:rPr>
      </w:pPr>
      <w:bookmarkStart w:id="314" w:name="_Toc32161_WPSOffice_Level3"/>
      <w:r>
        <w:rPr>
          <w:rFonts w:hint="eastAsia" w:eastAsia="仿宋_GB2312"/>
          <w:b/>
          <w:bCs/>
          <w:color w:val="auto"/>
          <w:kern w:val="0"/>
          <w:sz w:val="30"/>
          <w:szCs w:val="30"/>
          <w:highlight w:val="none"/>
        </w:rPr>
        <w:t>加快推进医疗卫生改革</w:t>
      </w:r>
      <w:bookmarkEnd w:id="314"/>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完善公立医院管理体制，严格控制医疗费用不合理增长，全面推进公立药品集中采购。同步推进维吾尔医医院综合改革。积极推动医疗、医保、医药联动改革，推进付费改革，探索按人头、病种、床日付费、总额预付等多种付费方式。优化医疗卫生机构布局，健全上下联动、衔接互补的医疗卫生服务体系，完善基层医疗服务模式</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发展远程医疗。</w:t>
      </w:r>
      <w:r>
        <w:rPr>
          <w:rFonts w:hint="eastAsia" w:eastAsia="仿宋_GB2312"/>
          <w:color w:val="auto"/>
          <w:kern w:val="0"/>
          <w:sz w:val="30"/>
          <w:szCs w:val="30"/>
          <w:highlight w:val="none"/>
          <w:lang w:eastAsia="zh-CN"/>
        </w:rPr>
        <w:t>全面推进医疗共同体建设，</w:t>
      </w:r>
      <w:r>
        <w:rPr>
          <w:rFonts w:hint="eastAsia" w:eastAsia="仿宋_GB2312"/>
          <w:color w:val="auto"/>
          <w:kern w:val="0"/>
          <w:sz w:val="30"/>
          <w:szCs w:val="30"/>
          <w:highlight w:val="none"/>
        </w:rPr>
        <w:t>促进医疗资源向基层、农村流动</w:t>
      </w:r>
      <w:r>
        <w:rPr>
          <w:rFonts w:hint="eastAsia" w:eastAsia="仿宋_GB2312"/>
          <w:color w:val="auto"/>
          <w:kern w:val="0"/>
          <w:sz w:val="30"/>
          <w:szCs w:val="30"/>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bookmarkStart w:id="315" w:name="_Toc5616_WPSOffice_Level3"/>
      <w:r>
        <w:rPr>
          <w:rFonts w:hint="eastAsia" w:eastAsia="仿宋_GB2312"/>
          <w:b/>
          <w:bCs/>
          <w:color w:val="auto"/>
          <w:kern w:val="0"/>
          <w:sz w:val="30"/>
          <w:szCs w:val="30"/>
          <w:highlight w:val="none"/>
        </w:rPr>
        <w:t>深化文化体制改革</w:t>
      </w:r>
      <w:bookmarkEnd w:id="315"/>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完善公共文化服务体系、文化产业体系、文化市场体系。推动基本公共文化服务标准化、均等化发展，引导文化资源向城乡基层倾斜，创新公共文化服务方式，更好保障人民基本文化权益。推动文化产业结构优化升级，发展骨干文化企业和创意文化产业，培育新兴文化业态，扩大和引导文化消费。</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kern w:val="0"/>
          <w:sz w:val="30"/>
          <w:szCs w:val="30"/>
          <w:highlight w:val="none"/>
        </w:rPr>
      </w:pPr>
      <w:bookmarkStart w:id="316" w:name="_Toc2723_WPSOffice_Level3"/>
      <w:r>
        <w:rPr>
          <w:rFonts w:hint="eastAsia" w:eastAsia="仿宋_GB2312"/>
          <w:b/>
          <w:bCs/>
          <w:color w:val="auto"/>
          <w:kern w:val="0"/>
          <w:sz w:val="30"/>
          <w:szCs w:val="30"/>
          <w:highlight w:val="none"/>
        </w:rPr>
        <w:t>深化科技体制改革</w:t>
      </w:r>
      <w:bookmarkEnd w:id="316"/>
      <w:r>
        <w:rPr>
          <w:rFonts w:hint="eastAsia" w:eastAsia="仿宋_GB2312"/>
          <w:b/>
          <w:bCs/>
          <w:color w:val="auto"/>
          <w:kern w:val="0"/>
          <w:sz w:val="30"/>
          <w:szCs w:val="30"/>
          <w:highlight w:val="none"/>
          <w:lang w:eastAsia="zh-CN"/>
        </w:rPr>
        <w:t>。</w:t>
      </w:r>
      <w:r>
        <w:rPr>
          <w:rFonts w:hint="eastAsia" w:eastAsia="仿宋_GB2312"/>
          <w:color w:val="auto"/>
          <w:kern w:val="0"/>
          <w:sz w:val="30"/>
          <w:szCs w:val="30"/>
          <w:highlight w:val="none"/>
        </w:rPr>
        <w:t>积极构建产业技术创新战略联盟，推动跨领域跨行业协同创新，促进科技与经济深度融合。优化整合“重大科技专项、重点研发任务专项、科技成果转化专项、创新环境条件建设专项、区域科技合作专项”五大科技计划体系，推进科技成果使用、处置和收益权制度、知识产权管理制度、科研评审、人才评价和机构评估改革，激发各类创新载体的创新活力。</w:t>
      </w:r>
    </w:p>
    <w:p>
      <w:pPr>
        <w:pStyle w:val="18"/>
        <w:keepNext w:val="0"/>
        <w:keepLines w:val="0"/>
        <w:pageBreakBefore w:val="0"/>
        <w:shd w:val="clear"/>
        <w:kinsoku/>
        <w:wordWrap/>
        <w:overflowPunct/>
        <w:topLinePunct w:val="0"/>
        <w:autoSpaceDE/>
        <w:autoSpaceDN/>
        <w:bidi w:val="0"/>
        <w:adjustRightInd/>
        <w:snapToGrid/>
        <w:spacing w:beforeLines="50" w:afterLines="50" w:line="570" w:lineRule="exact"/>
        <w:textAlignment w:val="auto"/>
        <w:rPr>
          <w:rFonts w:hint="eastAsia" w:ascii="Times New Roman" w:hAnsi="Times New Roman"/>
          <w:lang w:val="zh-CN" w:eastAsia="zh-CN"/>
        </w:rPr>
      </w:pPr>
      <w:bookmarkStart w:id="317" w:name="_Toc4005"/>
      <w:bookmarkStart w:id="318" w:name="_Toc11635"/>
      <w:r>
        <w:rPr>
          <w:rFonts w:hint="eastAsia" w:ascii="Times New Roman" w:hAnsi="Times New Roman"/>
          <w:lang w:val="zh-CN" w:eastAsia="zh-CN"/>
        </w:rPr>
        <w:t>第</w:t>
      </w:r>
      <w:r>
        <w:rPr>
          <w:rFonts w:hint="eastAsia" w:ascii="Times New Roman" w:hAnsi="Times New Roman"/>
          <w:lang w:val="en-US" w:eastAsia="zh-CN"/>
        </w:rPr>
        <w:t>四</w:t>
      </w:r>
      <w:r>
        <w:rPr>
          <w:rFonts w:hint="eastAsia" w:ascii="Times New Roman" w:hAnsi="Times New Roman"/>
          <w:lang w:val="zh-CN" w:eastAsia="zh-CN"/>
        </w:rPr>
        <w:t>节</w:t>
      </w:r>
      <w:r>
        <w:rPr>
          <w:rFonts w:hint="eastAsia" w:ascii="Times New Roman" w:hAnsi="Times New Roman"/>
          <w:lang w:val="en-US" w:eastAsia="zh-CN"/>
        </w:rPr>
        <w:t xml:space="preserve"> </w:t>
      </w:r>
      <w:r>
        <w:rPr>
          <w:rFonts w:hint="eastAsia" w:ascii="Times New Roman" w:hAnsi="Times New Roman"/>
          <w:lang w:val="zh-CN" w:eastAsia="zh-CN"/>
        </w:rPr>
        <w:t>深化</w:t>
      </w:r>
      <w:r>
        <w:rPr>
          <w:rFonts w:hint="eastAsia" w:ascii="Times New Roman" w:hAnsi="Times New Roman"/>
          <w:lang w:val="en-US" w:eastAsia="zh-CN"/>
        </w:rPr>
        <w:t>企事业单位</w:t>
      </w:r>
      <w:r>
        <w:rPr>
          <w:rFonts w:hint="eastAsia" w:ascii="Times New Roman" w:hAnsi="Times New Roman"/>
          <w:lang w:val="zh-CN" w:eastAsia="zh-CN"/>
        </w:rPr>
        <w:t>改革</w:t>
      </w:r>
      <w:bookmarkEnd w:id="317"/>
      <w:bookmarkEnd w:id="318"/>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70" w:lineRule="exact"/>
        <w:ind w:firstLine="602"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bCs/>
          <w:color w:val="auto"/>
          <w:kern w:val="2"/>
          <w:sz w:val="30"/>
          <w:szCs w:val="30"/>
          <w:highlight w:val="none"/>
          <w:lang w:val="zh-CN" w:eastAsia="zh-CN" w:bidi="ar-SA"/>
        </w:rPr>
        <w:t>实施国有企业改革三年行动。</w:t>
      </w:r>
      <w:r>
        <w:rPr>
          <w:rFonts w:hint="eastAsia" w:ascii="Times New Roman" w:hAnsi="Times New Roman" w:eastAsia="仿宋_GB2312" w:cs="Times New Roman"/>
          <w:b w:val="0"/>
          <w:bCs w:val="0"/>
          <w:color w:val="auto"/>
          <w:kern w:val="2"/>
          <w:sz w:val="30"/>
          <w:szCs w:val="30"/>
          <w:highlight w:val="none"/>
          <w:lang w:val="zh-CN" w:eastAsia="zh-CN" w:bidi="ar-SA"/>
        </w:rPr>
        <w:t>一企一策推进混合所有制改革，积极引进国内外战略投资者，完善法人治理结构和市场化经营机制。深化国有资本投资、运营公司改革，健全以管资本为主的国有资产监管体制，促进国有资产保值增值</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70" w:lineRule="exact"/>
        <w:ind w:firstLine="602"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bCs/>
          <w:color w:val="auto"/>
          <w:kern w:val="2"/>
          <w:sz w:val="30"/>
          <w:szCs w:val="30"/>
          <w:highlight w:val="none"/>
          <w:lang w:val="zh-CN" w:eastAsia="zh-CN" w:bidi="ar-SA"/>
        </w:rPr>
        <w:t>全面推进生产经营性事业单位改革。</w:t>
      </w:r>
      <w:r>
        <w:rPr>
          <w:rFonts w:hint="eastAsia" w:ascii="Times New Roman" w:hAnsi="Times New Roman" w:eastAsia="仿宋_GB2312" w:cs="Times New Roman"/>
          <w:b w:val="0"/>
          <w:bCs w:val="0"/>
          <w:color w:val="auto"/>
          <w:kern w:val="2"/>
          <w:sz w:val="30"/>
          <w:szCs w:val="30"/>
          <w:highlight w:val="none"/>
          <w:lang w:val="zh-CN" w:eastAsia="zh-CN" w:bidi="ar-SA"/>
        </w:rPr>
        <w:t>增强微观主体活力，培育市场主体，发挥企业和企业家主观能动性，建立公平开放透明的市场规则和法治化营商环境，促进正向激励和优胜劣汰。</w:t>
      </w:r>
      <w:r>
        <w:rPr>
          <w:rFonts w:hint="eastAsia" w:eastAsia="仿宋_GB2312" w:cs="Times New Roman"/>
          <w:b w:val="0"/>
          <w:bCs w:val="0"/>
          <w:color w:val="auto"/>
          <w:kern w:val="2"/>
          <w:sz w:val="30"/>
          <w:szCs w:val="30"/>
          <w:highlight w:val="none"/>
          <w:lang w:val="en-US" w:eastAsia="zh-CN" w:bidi="ar-SA"/>
        </w:rPr>
        <w:t>结合自身</w:t>
      </w:r>
      <w:r>
        <w:rPr>
          <w:rFonts w:hint="eastAsia" w:ascii="Times New Roman" w:hAnsi="Times New Roman" w:eastAsia="仿宋_GB2312" w:cs="Times New Roman"/>
          <w:b w:val="0"/>
          <w:bCs w:val="0"/>
          <w:color w:val="auto"/>
          <w:kern w:val="2"/>
          <w:sz w:val="30"/>
          <w:szCs w:val="30"/>
          <w:highlight w:val="none"/>
          <w:lang w:val="zh-CN" w:eastAsia="zh-CN" w:bidi="ar-SA"/>
        </w:rPr>
        <w:t>产业</w:t>
      </w:r>
      <w:r>
        <w:rPr>
          <w:rFonts w:hint="eastAsia" w:eastAsia="仿宋_GB2312" w:cs="Times New Roman"/>
          <w:b w:val="0"/>
          <w:bCs w:val="0"/>
          <w:color w:val="auto"/>
          <w:kern w:val="2"/>
          <w:sz w:val="30"/>
          <w:szCs w:val="30"/>
          <w:highlight w:val="none"/>
          <w:lang w:val="en-US" w:eastAsia="zh-CN" w:bidi="ar-SA"/>
        </w:rPr>
        <w:t>发展</w:t>
      </w:r>
      <w:r>
        <w:rPr>
          <w:rFonts w:hint="eastAsia" w:ascii="Times New Roman" w:hAnsi="Times New Roman" w:eastAsia="仿宋_GB2312" w:cs="Times New Roman"/>
          <w:b w:val="0"/>
          <w:bCs w:val="0"/>
          <w:color w:val="auto"/>
          <w:kern w:val="2"/>
          <w:sz w:val="30"/>
          <w:szCs w:val="30"/>
          <w:highlight w:val="none"/>
          <w:lang w:val="zh-CN" w:eastAsia="zh-CN" w:bidi="ar-SA"/>
        </w:rPr>
        <w:t>短板，提升产业链水平，培育和发展新的产业集群，加快自主创新，注重运用技术创新和规模效应形成新的竞争优势。积极融入国内国</w:t>
      </w:r>
      <w:r>
        <w:rPr>
          <w:rFonts w:hint="eastAsia" w:eastAsia="仿宋_GB2312" w:cs="Times New Roman"/>
          <w:b w:val="0"/>
          <w:bCs w:val="0"/>
          <w:color w:val="auto"/>
          <w:kern w:val="2"/>
          <w:sz w:val="30"/>
          <w:szCs w:val="30"/>
          <w:highlight w:val="none"/>
          <w:lang w:val="en-US" w:eastAsia="zh-CN" w:bidi="ar-SA"/>
        </w:rPr>
        <w:t>际</w:t>
      </w:r>
      <w:r>
        <w:rPr>
          <w:rFonts w:hint="eastAsia" w:ascii="Times New Roman" w:hAnsi="Times New Roman" w:eastAsia="仿宋_GB2312" w:cs="Times New Roman"/>
          <w:b w:val="0"/>
          <w:bCs w:val="0"/>
          <w:color w:val="auto"/>
          <w:kern w:val="2"/>
          <w:sz w:val="30"/>
          <w:szCs w:val="30"/>
          <w:highlight w:val="none"/>
          <w:lang w:val="zh-CN" w:eastAsia="zh-CN" w:bidi="ar-SA"/>
        </w:rPr>
        <w:t>双循环，加快建设统一开发、竞争有序的现代市场体系，形成国内国际市场和生产主体、生产要素、经济增长和就业扩大、金融和实体经济的良性循环。</w:t>
      </w:r>
    </w:p>
    <w:p>
      <w:pPr>
        <w:pStyle w:val="18"/>
        <w:keepNext w:val="0"/>
        <w:keepLines w:val="0"/>
        <w:pageBreakBefore w:val="0"/>
        <w:shd w:val="clear"/>
        <w:kinsoku/>
        <w:wordWrap/>
        <w:overflowPunct/>
        <w:topLinePunct w:val="0"/>
        <w:autoSpaceDE/>
        <w:autoSpaceDN/>
        <w:bidi w:val="0"/>
        <w:adjustRightInd/>
        <w:snapToGrid/>
        <w:spacing w:beforeLines="50" w:afterLines="50" w:line="570" w:lineRule="exact"/>
        <w:textAlignment w:val="auto"/>
        <w:rPr>
          <w:rFonts w:hint="eastAsia" w:ascii="Times New Roman" w:hAnsi="Times New Roman"/>
          <w:lang w:val="en-US" w:eastAsia="zh-CN"/>
        </w:rPr>
      </w:pPr>
      <w:bookmarkStart w:id="319" w:name="_Toc24760"/>
      <w:bookmarkStart w:id="320" w:name="_Toc22038"/>
      <w:r>
        <w:rPr>
          <w:rFonts w:hint="eastAsia" w:ascii="Times New Roman" w:hAnsi="Times New Roman"/>
          <w:lang w:val="en-US" w:eastAsia="zh-CN"/>
        </w:rPr>
        <w:t>第五节 深化农村改革</w:t>
      </w:r>
      <w:bookmarkEnd w:id="319"/>
      <w:bookmarkEnd w:id="320"/>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7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推进农村土地制度改革，落实第二轮土地承包到期后再延长30年政策。健全城乡统一的建设用地市场，积极稳妥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流转。完善农业专业化社会化服务体系，加快培育家庭农场、农民合作社等新型农业经营主体。推广“农户+专业合作社+基地+协会”四位一体生产经营模式，完善利益联结机制。深化农村集体产权制度、集体林权制度改革，盘活农村资产资源，发展壮大新型农村集体经济。</w:t>
      </w:r>
    </w:p>
    <w:p>
      <w:pPr>
        <w:pStyle w:val="3"/>
        <w:keepNext w:val="0"/>
        <w:keepLines w:val="0"/>
        <w:pageBreakBefore w:val="0"/>
        <w:widowControl w:val="0"/>
        <w:shd w:val="clear"/>
        <w:kinsoku/>
        <w:wordWrap/>
        <w:overflowPunct/>
        <w:topLinePunct w:val="0"/>
        <w:autoSpaceDE/>
        <w:autoSpaceDN/>
        <w:bidi w:val="0"/>
        <w:adjustRightInd/>
        <w:snapToGrid/>
        <w:spacing w:beforeLines="100" w:after="410" w:afterLines="100" w:line="560" w:lineRule="exact"/>
        <w:jc w:val="center"/>
        <w:textAlignment w:val="auto"/>
        <w:rPr>
          <w:rFonts w:hint="eastAsia" w:ascii="Times New Roman" w:hAnsi="Times New Roman" w:eastAsia="黑体" w:cs="Times New Roman"/>
          <w:b w:val="0"/>
          <w:bCs w:val="0"/>
          <w:sz w:val="30"/>
          <w:szCs w:val="30"/>
          <w:lang w:val="en-US" w:eastAsia="zh-CN"/>
        </w:rPr>
      </w:pPr>
      <w:bookmarkStart w:id="321" w:name="_Toc4619"/>
      <w:bookmarkStart w:id="322" w:name="_Toc2564"/>
      <w:bookmarkStart w:id="323" w:name="_Toc15196"/>
      <w:r>
        <w:rPr>
          <w:rFonts w:hint="eastAsia" w:ascii="Times New Roman" w:hAnsi="Times New Roman" w:eastAsia="黑体" w:cs="Times New Roman"/>
          <w:b w:val="0"/>
          <w:bCs w:val="0"/>
          <w:sz w:val="30"/>
          <w:szCs w:val="30"/>
          <w:lang w:val="en-US" w:eastAsia="zh-CN"/>
        </w:rPr>
        <w:t>第十</w:t>
      </w:r>
      <w:r>
        <w:rPr>
          <w:rFonts w:hint="eastAsia" w:eastAsia="黑体" w:cs="Times New Roman"/>
          <w:b w:val="0"/>
          <w:bCs w:val="0"/>
          <w:sz w:val="30"/>
          <w:szCs w:val="30"/>
          <w:lang w:val="en-US" w:eastAsia="zh-CN"/>
        </w:rPr>
        <w:t>七</w:t>
      </w:r>
      <w:r>
        <w:rPr>
          <w:rFonts w:hint="eastAsia" w:ascii="Times New Roman" w:hAnsi="Times New Roman" w:eastAsia="黑体" w:cs="Times New Roman"/>
          <w:b w:val="0"/>
          <w:bCs w:val="0"/>
          <w:sz w:val="30"/>
          <w:szCs w:val="30"/>
          <w:lang w:val="en-US" w:eastAsia="zh-CN"/>
        </w:rPr>
        <w:t>章 深化对口援疆合作，开展高质量援疆工作</w:t>
      </w:r>
      <w:bookmarkEnd w:id="321"/>
      <w:bookmarkEnd w:id="322"/>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以援疆项目资金支持为基础，以落实宝叶合作协议为抓手，以完善援疆工作体系为保障，坚持“</w:t>
      </w:r>
      <w:r>
        <w:rPr>
          <w:rFonts w:eastAsia="仿宋_GB2312"/>
          <w:color w:val="auto"/>
          <w:sz w:val="30"/>
          <w:szCs w:val="30"/>
          <w:highlight w:val="none"/>
        </w:rPr>
        <w:t>民生为本、产业为重、规划为先、人才为要</w:t>
      </w:r>
      <w:r>
        <w:rPr>
          <w:rFonts w:hint="eastAsia" w:eastAsia="仿宋_GB2312"/>
          <w:color w:val="auto"/>
          <w:sz w:val="30"/>
          <w:szCs w:val="30"/>
          <w:highlight w:val="none"/>
        </w:rPr>
        <w:t>”方针，把发展和稳定有机结合，精准发力，切实增强援疆综合效益</w:t>
      </w:r>
      <w:r>
        <w:rPr>
          <w:rFonts w:eastAsia="仿宋_GB2312"/>
          <w:color w:val="auto"/>
          <w:sz w:val="30"/>
          <w:szCs w:val="30"/>
          <w:highlight w:val="none"/>
        </w:rPr>
        <w:t>。</w:t>
      </w:r>
    </w:p>
    <w:p>
      <w:pPr>
        <w:pStyle w:val="18"/>
        <w:keepNext w:val="0"/>
        <w:keepLines w:val="0"/>
        <w:shd w:val="clear"/>
        <w:spacing w:beforeLines="50" w:afterLines="50"/>
        <w:rPr>
          <w:rFonts w:hint="eastAsia" w:ascii="Times New Roman" w:hAnsi="Times New Roman"/>
          <w:lang w:val="en-US" w:eastAsia="zh-CN"/>
        </w:rPr>
      </w:pPr>
      <w:bookmarkStart w:id="324" w:name="_Toc27169"/>
      <w:bookmarkStart w:id="325" w:name="_Toc11738"/>
      <w:bookmarkStart w:id="326" w:name="_Toc442273355"/>
      <w:bookmarkStart w:id="327" w:name="_Toc408565533"/>
      <w:bookmarkStart w:id="328" w:name="_Toc408400221"/>
      <w:r>
        <w:rPr>
          <w:rFonts w:hint="eastAsia" w:ascii="Times New Roman" w:hAnsi="Times New Roman"/>
          <w:lang w:val="en-US" w:eastAsia="zh-CN"/>
        </w:rPr>
        <w:t>第一节 加大产业援叶力度</w:t>
      </w:r>
      <w:bookmarkEnd w:id="324"/>
      <w:bookmarkEnd w:id="325"/>
    </w:p>
    <w:p>
      <w:pPr>
        <w:keepNext w:val="0"/>
        <w:keepLines w:val="0"/>
        <w:pageBreakBefore w:val="0"/>
        <w:widowControl w:val="0"/>
        <w:shd w:val="clear"/>
        <w:kinsoku/>
        <w:wordWrap/>
        <w:overflowPunct/>
        <w:topLinePunct w:val="0"/>
        <w:autoSpaceDE/>
        <w:autoSpaceDN/>
        <w:bidi w:val="0"/>
        <w:adjustRightInd/>
        <w:snapToGrid/>
        <w:spacing w:line="550" w:lineRule="exact"/>
        <w:ind w:firstLine="600" w:firstLineChars="200"/>
        <w:textAlignment w:val="auto"/>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充分发挥援疆省市平台，加强与上海市的经济技术交流合作，大力发展纺织服装、农产品加工、电子信息等产业，加快发展设施农业、特色农业、观光农业和庭院经济，积极发展农副产品加工业、商贸物流、文化旅游、特色食品餐饮业，培育壮大农业产业化龙头企业和各类专业合作组织。围绕特色林果业、现代畜牧业、农副产品精深加工业，不断调整优化农业产业结构、内部结构、品种结构，打造产品品牌，提升规模化发展、标准化生产、产业化经营水平。着力发展智慧农业、高效农业、现代农业，提升规模化发展、标准化生产、产业化经营水平。持续开展农业产业强乡（镇）示范建设项目，依托乡（镇）域1-2个农业主导产业，着眼全产业链培育，构建特色鲜明、布局合理、创业活跃、联农紧密的乡村产业体系，示范引领城乡融合发展；培育壮大乡村特色产业，梳理叶城县“一村一品”发展现状，继续培育“一村一品”示范村乡（镇），专业村乡（镇）。引进一批有实力、上规模、带动力强的纺织服装、电子产品组装、农副产品加工、乡村旅游等劳动密集型企业，有效带动特色优势产业发展壮大，促进更多群众就近就地就业。引导东部地区产业，特别是电子产品组装、电子信息等向叶城转移，形成主导产业、配套产业相互衔接的产业集群。深度开发援疆省市市场，进一步拓展叶城农产品内地市场，推广“十城百店”“双线九进”等模式，开拓特色产品外销市场，构建特色产品销售疆内疆外“两张网”，进一步拓展叶城农产品内地市场，构建叶城农产品运得出、卖得好的疆内外市场体系。</w:t>
      </w:r>
    </w:p>
    <w:p>
      <w:pPr>
        <w:pStyle w:val="18"/>
        <w:keepNext w:val="0"/>
        <w:keepLines w:val="0"/>
        <w:shd w:val="clear"/>
        <w:spacing w:beforeLines="50" w:afterLines="50"/>
        <w:rPr>
          <w:rFonts w:hint="eastAsia" w:ascii="Times New Roman" w:hAnsi="Times New Roman"/>
          <w:lang w:val="zh-CN" w:eastAsia="zh-CN"/>
        </w:rPr>
      </w:pPr>
      <w:bookmarkStart w:id="329" w:name="_Toc20107"/>
      <w:bookmarkStart w:id="330" w:name="_Toc20640"/>
      <w:r>
        <w:rPr>
          <w:rFonts w:hint="eastAsia" w:ascii="Times New Roman" w:hAnsi="Times New Roman"/>
          <w:lang w:val="zh-CN" w:eastAsia="zh-CN"/>
        </w:rPr>
        <w:t>第二节 加大</w:t>
      </w:r>
      <w:r>
        <w:rPr>
          <w:rFonts w:hint="eastAsia" w:ascii="Times New Roman" w:hAnsi="Times New Roman"/>
          <w:lang w:val="en-US" w:eastAsia="zh-CN"/>
        </w:rPr>
        <w:t>人才</w:t>
      </w:r>
      <w:r>
        <w:rPr>
          <w:rFonts w:hint="eastAsia" w:ascii="Times New Roman" w:hAnsi="Times New Roman"/>
          <w:lang w:val="zh-CN" w:eastAsia="zh-CN"/>
        </w:rPr>
        <w:t>援叶力度</w:t>
      </w:r>
      <w:bookmarkEnd w:id="329"/>
      <w:bookmarkEnd w:id="330"/>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kern w:val="0"/>
          <w:sz w:val="30"/>
          <w:szCs w:val="30"/>
          <w:highlight w:val="none"/>
          <w:lang w:val="en-US" w:eastAsia="zh-CN"/>
        </w:rPr>
      </w:pPr>
      <w:bookmarkStart w:id="331" w:name="_Toc408565558"/>
      <w:bookmarkStart w:id="332" w:name="_Toc442273382"/>
      <w:bookmarkStart w:id="333" w:name="_Toc408400102"/>
      <w:bookmarkStart w:id="334" w:name="_Toc408400242"/>
      <w:r>
        <w:rPr>
          <w:rFonts w:hint="eastAsia" w:eastAsia="仿宋_GB2312"/>
          <w:color w:val="auto"/>
          <w:kern w:val="0"/>
          <w:sz w:val="30"/>
          <w:szCs w:val="30"/>
          <w:highlight w:val="none"/>
          <w:lang w:val="en-US" w:eastAsia="zh-CN"/>
        </w:rPr>
        <w:t>坚持把引进和培养人才作为援疆工作的重点，加强教育、医疗、农技、政法、产业园区运营管理、金融等人才精准对接，进一步加大优秀专业人才援疆力度，科学管理使用援疆干部人才，推动援疆干部任实职、担实责，让各类援疆干部人才释放潜能、大显身手。充分发挥专业技术人才的聪明才智和传帮带作用，让各类援疆人才当学科带头人、做课题负责人，通过“一帮一”“一带多”等方式，加大对本地技术骨干人才的培育，造就一支永不走的人才队伍。加大援受双方的交流交往交融，重点针对当地各级领导干部、中青年后备干部等人员开展轮训，不断提升当地干部理论水平和工作能力。实施更加积极、开放、有效的人才引进政策，运用市场的办法加大干部柔性援疆力度，不片面追求高学历高职称，多采取顾问指导、技术联姻、项目合作等方式柔性引进一批候鸟式人才。</w:t>
      </w:r>
    </w:p>
    <w:bookmarkEnd w:id="331"/>
    <w:bookmarkEnd w:id="332"/>
    <w:bookmarkEnd w:id="333"/>
    <w:bookmarkEnd w:id="334"/>
    <w:p>
      <w:pPr>
        <w:pStyle w:val="18"/>
        <w:keepNext w:val="0"/>
        <w:keepLines w:val="0"/>
        <w:shd w:val="clear"/>
        <w:spacing w:beforeLines="50" w:afterLines="50"/>
        <w:rPr>
          <w:rFonts w:hint="default" w:ascii="Times New Roman" w:hAnsi="Times New Roman"/>
          <w:lang w:val="en-US" w:eastAsia="zh-CN"/>
        </w:rPr>
      </w:pPr>
      <w:bookmarkStart w:id="335" w:name="_Toc30739"/>
      <w:bookmarkStart w:id="336" w:name="_Toc16141"/>
      <w:r>
        <w:rPr>
          <w:rFonts w:hint="eastAsia" w:ascii="Times New Roman" w:hAnsi="Times New Roman"/>
          <w:lang w:val="zh-CN" w:eastAsia="zh-CN"/>
        </w:rPr>
        <w:t xml:space="preserve">第三节 </w:t>
      </w:r>
      <w:r>
        <w:rPr>
          <w:rFonts w:hint="eastAsia" w:ascii="Times New Roman" w:hAnsi="Times New Roman"/>
          <w:lang w:val="en-US" w:eastAsia="zh-CN"/>
        </w:rPr>
        <w:t>加大文化教育援叶力度</w:t>
      </w:r>
      <w:bookmarkEnd w:id="335"/>
      <w:bookmarkEnd w:id="336"/>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kern w:val="0"/>
          <w:sz w:val="30"/>
          <w:szCs w:val="30"/>
          <w:highlight w:val="none"/>
        </w:rPr>
      </w:pPr>
      <w:bookmarkStart w:id="337" w:name="_Toc408565568"/>
      <w:bookmarkStart w:id="338" w:name="_Toc442273377"/>
      <w:r>
        <w:rPr>
          <w:rFonts w:hint="eastAsia" w:eastAsia="仿宋_GB2312"/>
          <w:color w:val="auto"/>
          <w:kern w:val="0"/>
          <w:sz w:val="30"/>
          <w:szCs w:val="30"/>
          <w:highlight w:val="none"/>
        </w:rPr>
        <w:t>坚持教育援疆优先。着力加强师资队伍建设，实施</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万名教师支教</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内地大学生实习支教</w:t>
      </w:r>
      <w:r>
        <w:rPr>
          <w:rFonts w:hint="eastAsia" w:eastAsia="仿宋_GB2312"/>
          <w:color w:val="auto"/>
          <w:kern w:val="0"/>
          <w:sz w:val="30"/>
          <w:szCs w:val="30"/>
          <w:highlight w:val="none"/>
          <w:lang w:eastAsia="zh-CN"/>
        </w:rPr>
        <w:t>”</w:t>
      </w:r>
      <w:r>
        <w:rPr>
          <w:rFonts w:hint="eastAsia" w:eastAsia="仿宋_GB2312"/>
          <w:color w:val="auto"/>
          <w:kern w:val="0"/>
          <w:sz w:val="30"/>
          <w:szCs w:val="30"/>
          <w:highlight w:val="none"/>
        </w:rPr>
        <w:t>计划，建立</w:t>
      </w:r>
      <w:r>
        <w:rPr>
          <w:rFonts w:hint="eastAsia" w:eastAsia="仿宋_GB2312"/>
          <w:color w:val="auto"/>
          <w:kern w:val="0"/>
          <w:sz w:val="30"/>
          <w:szCs w:val="30"/>
          <w:highlight w:val="none"/>
          <w:lang w:val="en-US" w:eastAsia="zh-CN"/>
        </w:rPr>
        <w:t>以</w:t>
      </w:r>
      <w:r>
        <w:rPr>
          <w:rFonts w:hint="eastAsia" w:eastAsia="仿宋_GB2312"/>
          <w:color w:val="auto"/>
          <w:kern w:val="0"/>
          <w:sz w:val="30"/>
          <w:szCs w:val="30"/>
          <w:highlight w:val="none"/>
        </w:rPr>
        <w:t>上海</w:t>
      </w:r>
      <w:r>
        <w:rPr>
          <w:rFonts w:hint="eastAsia" w:eastAsia="仿宋_GB2312"/>
          <w:color w:val="auto"/>
          <w:kern w:val="0"/>
          <w:sz w:val="30"/>
          <w:szCs w:val="30"/>
          <w:highlight w:val="none"/>
          <w:lang w:val="en-US" w:eastAsia="zh-CN"/>
        </w:rPr>
        <w:t>市为依托，以</w:t>
      </w:r>
      <w:r>
        <w:rPr>
          <w:rFonts w:hint="eastAsia" w:eastAsia="仿宋_GB2312"/>
          <w:color w:val="auto"/>
          <w:kern w:val="0"/>
          <w:sz w:val="30"/>
          <w:szCs w:val="30"/>
          <w:highlight w:val="none"/>
        </w:rPr>
        <w:t>叶城县为主体的干部人才培养培训体系，对2500名教师、5000名青年教师、300名骨干教师和100名教研员进行培训。建设和完善叶城县教师培训基地，加强对口帮扶，依托上海师范院校，实施“影子校长及骨干培训”计划。</w:t>
      </w:r>
      <w:bookmarkStart w:id="339" w:name="_Toc442273362"/>
      <w:r>
        <w:rPr>
          <w:rFonts w:hint="eastAsia" w:eastAsia="仿宋_GB2312"/>
          <w:color w:val="auto"/>
          <w:kern w:val="0"/>
          <w:sz w:val="30"/>
          <w:szCs w:val="30"/>
          <w:highlight w:val="none"/>
        </w:rPr>
        <w:t>加强未就业劳动力技能培训</w:t>
      </w:r>
      <w:bookmarkEnd w:id="339"/>
      <w:r>
        <w:rPr>
          <w:rFonts w:hint="eastAsia" w:eastAsia="仿宋_GB2312"/>
          <w:color w:val="auto"/>
          <w:kern w:val="0"/>
          <w:sz w:val="30"/>
          <w:szCs w:val="30"/>
          <w:highlight w:val="none"/>
        </w:rPr>
        <w:t>，结合叶城县产业发展需求和援疆项目用工需要，对新成长劳动力开展有针对性地综合培训，提高就业能力，逐步培养成未来合格的产业工人。支持发展现代职业教育，依托上海喀什职业教育联盟，推进职业教育课程、教材开发和建设，建设职业教育信息平台。推动校企合作开展订单式培训，创新对口支援方式，采取托管方式，全面加强人才交流、师资培训、合作培养、技术支持、课程开发、设备援助等方式，实现职业学校对口帮扶全覆盖。坚持把文化认同作为最深层次的认同，大力实施文化润疆工程，加强文化交流与教育资源共享，构建各民族共同的精神家园。</w:t>
      </w:r>
      <w:bookmarkEnd w:id="337"/>
      <w:r>
        <w:rPr>
          <w:rFonts w:hint="eastAsia" w:eastAsia="仿宋_GB2312"/>
          <w:color w:val="auto"/>
          <w:kern w:val="0"/>
          <w:sz w:val="30"/>
          <w:szCs w:val="30"/>
          <w:highlight w:val="none"/>
          <w:lang w:val="en-US" w:eastAsia="zh-CN"/>
        </w:rPr>
        <w:t>依托援疆力量，</w:t>
      </w:r>
      <w:r>
        <w:rPr>
          <w:rFonts w:hint="eastAsia" w:eastAsia="仿宋_GB2312"/>
          <w:color w:val="auto"/>
          <w:kern w:val="0"/>
          <w:sz w:val="30"/>
          <w:szCs w:val="30"/>
          <w:highlight w:val="none"/>
        </w:rPr>
        <w:t>加强文化阵地</w:t>
      </w:r>
      <w:bookmarkEnd w:id="338"/>
      <w:r>
        <w:rPr>
          <w:rFonts w:hint="eastAsia" w:eastAsia="仿宋_GB2312"/>
          <w:color w:val="auto"/>
          <w:kern w:val="0"/>
          <w:sz w:val="30"/>
          <w:szCs w:val="30"/>
          <w:highlight w:val="none"/>
        </w:rPr>
        <w:t>和文体基础设施建设，支持对基层文化专业人员、文艺骨干和教师的培训培养，重点加强乡村基层文化阵地建设和活动开展。积极推动全民健身活动，支持建设民间体育竞技场和文化团队建设，鼓励农牧民群众开展具有浓郁地域特色的活动。积极探索开展传统文化进农村、进社区活动。有计划地组织翻译引进上海创制的社会知名度高的大型综艺节目，丰富叶城电视节目内容。加强本土文化产品开发，组织创作反映喀什和叶城县风土人情、先进事迹的电影、电视、歌曲、曲艺等文化作品，支持叶城赛乃姆传统节目进行再创作，融入现代时尚元素，打造成精品节目，引入到上海等大城市常年演出。</w:t>
      </w:r>
    </w:p>
    <w:p>
      <w:pPr>
        <w:pStyle w:val="18"/>
        <w:keepNext w:val="0"/>
        <w:keepLines w:val="0"/>
        <w:shd w:val="clear"/>
        <w:spacing w:beforeLines="50" w:afterLines="50"/>
        <w:rPr>
          <w:rFonts w:hint="default" w:ascii="Times New Roman" w:hAnsi="Times New Roman"/>
          <w:lang w:val="en-US" w:eastAsia="zh-CN"/>
        </w:rPr>
      </w:pPr>
      <w:bookmarkStart w:id="340" w:name="_Toc15194"/>
      <w:bookmarkStart w:id="341" w:name="_Toc20538"/>
      <w:r>
        <w:rPr>
          <w:rFonts w:hint="eastAsia" w:ascii="Times New Roman" w:hAnsi="Times New Roman"/>
          <w:lang w:val="zh-CN" w:eastAsia="zh-CN"/>
        </w:rPr>
        <w:t xml:space="preserve">第四节 </w:t>
      </w:r>
      <w:r>
        <w:rPr>
          <w:rFonts w:hint="eastAsia" w:ascii="Times New Roman" w:hAnsi="Times New Roman"/>
          <w:lang w:val="en-US" w:eastAsia="zh-CN"/>
        </w:rPr>
        <w:t>紧贴民生服务援叶</w:t>
      </w:r>
      <w:bookmarkEnd w:id="340"/>
      <w:bookmarkEnd w:id="341"/>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rPr>
        <w:t>加强农村公共服务设施配置和环境整治。</w:t>
      </w:r>
      <w:r>
        <w:rPr>
          <w:rFonts w:hint="eastAsia" w:eastAsia="仿宋_GB2312"/>
          <w:color w:val="auto"/>
          <w:sz w:val="30"/>
          <w:szCs w:val="30"/>
          <w:highlight w:val="none"/>
        </w:rPr>
        <w:t>发挥援疆资金引导和撬动作用，加强农村道路、供排水、电力、电讯、沼气或天然气等基本公共服务设施建设。结合乡村振兴，支持农村垃圾收集、转运、集中处理等设施配置，加强农村环境整治。推进建设美丽乡村示范点，支持叶城县新型城镇化建设，从建设规划、产业发展、基础设施配套、就业创业园区建设等提供技术和项目资金支持，增强城镇化的吸引力。</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hint="eastAsia" w:eastAsia="仿宋_GB2312"/>
          <w:color w:val="auto"/>
          <w:sz w:val="30"/>
          <w:szCs w:val="30"/>
          <w:highlight w:val="none"/>
        </w:rPr>
      </w:pPr>
      <w:bookmarkStart w:id="342" w:name="_Toc442273372"/>
      <w:r>
        <w:rPr>
          <w:rFonts w:hint="eastAsia" w:eastAsia="仿宋_GB2312"/>
          <w:b/>
          <w:bCs/>
          <w:color w:val="auto"/>
          <w:sz w:val="30"/>
          <w:szCs w:val="30"/>
          <w:highlight w:val="none"/>
          <w:lang w:val="en-US" w:eastAsia="zh-CN"/>
        </w:rPr>
        <w:t>拓展医疗卫生领域援助工作</w:t>
      </w:r>
      <w:r>
        <w:rPr>
          <w:rFonts w:hint="eastAsia" w:eastAsia="仿宋_GB2312"/>
          <w:b/>
          <w:bCs/>
          <w:color w:val="auto"/>
          <w:sz w:val="30"/>
          <w:szCs w:val="30"/>
          <w:highlight w:val="none"/>
        </w:rPr>
        <w:t>。</w:t>
      </w:r>
      <w:r>
        <w:rPr>
          <w:rFonts w:hint="eastAsia" w:eastAsia="仿宋_GB2312"/>
          <w:bCs/>
          <w:color w:val="auto"/>
          <w:sz w:val="30"/>
          <w:szCs w:val="30"/>
          <w:highlight w:val="none"/>
        </w:rPr>
        <w:t>打造新型医疗联合体，</w:t>
      </w:r>
      <w:r>
        <w:rPr>
          <w:rFonts w:hint="eastAsia" w:eastAsia="仿宋_GB2312"/>
          <w:color w:val="auto"/>
          <w:sz w:val="30"/>
          <w:szCs w:val="30"/>
          <w:highlight w:val="none"/>
        </w:rPr>
        <w:t>持续推进医疗人才“组团式”援疆工作，深入推进南疆新型医疗联合体建设，着力提升叶城县医疗卫生服务水平。实施精准医疗战略，完善医疗学科体系和医疗科研教育体系，积极推进医疗联合体内部结对帮扶。</w:t>
      </w:r>
      <w:r>
        <w:rPr>
          <w:rFonts w:hint="eastAsia" w:eastAsia="仿宋_GB2312"/>
          <w:bCs/>
          <w:color w:val="auto"/>
          <w:sz w:val="30"/>
          <w:szCs w:val="30"/>
          <w:highlight w:val="none"/>
        </w:rPr>
        <w:t>完善县域医疗卫生体系建设，</w:t>
      </w:r>
      <w:r>
        <w:rPr>
          <w:rFonts w:hint="eastAsia" w:eastAsia="仿宋_GB2312"/>
          <w:color w:val="auto"/>
          <w:sz w:val="30"/>
          <w:szCs w:val="30"/>
          <w:highlight w:val="none"/>
        </w:rPr>
        <w:t>逐步完善叶城县医疗卫生机构-乡镇卫生院-村卫生室互联互通的信息化网络体系，提升远程教学、远程会诊、远程诊断分析工作水平，实现医疗联合体内</w:t>
      </w:r>
      <w:r>
        <w:rPr>
          <w:rFonts w:hint="eastAsia" w:eastAsia="仿宋_GB2312"/>
          <w:color w:val="auto"/>
          <w:sz w:val="30"/>
          <w:szCs w:val="30"/>
          <w:highlight w:val="none"/>
          <w:lang w:val="en-US" w:eastAsia="zh-CN"/>
        </w:rPr>
        <w:t>部</w:t>
      </w:r>
      <w:r>
        <w:rPr>
          <w:rFonts w:hint="eastAsia" w:eastAsia="仿宋_GB2312"/>
          <w:color w:val="auto"/>
          <w:sz w:val="30"/>
          <w:szCs w:val="30"/>
          <w:highlight w:val="none"/>
        </w:rPr>
        <w:t>资源共享。加大资金投入，支持叶城县中心医院的转型升级和二级医院的发展，促进基本公共卫生服务均等化。</w:t>
      </w:r>
      <w:r>
        <w:rPr>
          <w:rFonts w:hint="eastAsia" w:eastAsia="仿宋_GB2312"/>
          <w:bCs/>
          <w:color w:val="auto"/>
          <w:sz w:val="30"/>
          <w:szCs w:val="30"/>
          <w:highlight w:val="none"/>
        </w:rPr>
        <w:t>深入推进“三降一提高”工作，</w:t>
      </w:r>
      <w:r>
        <w:rPr>
          <w:rFonts w:hint="eastAsia" w:eastAsia="仿宋_GB2312"/>
          <w:color w:val="auto"/>
          <w:sz w:val="30"/>
          <w:szCs w:val="30"/>
          <w:highlight w:val="none"/>
        </w:rPr>
        <w:t>进一步加强重大传染病、地方病和慢性非传染性疾病的预防和控制。进一步降低传染病发病率、孕产妇死亡率和婴儿死亡率，提高人均期望寿命。</w:t>
      </w:r>
      <w:r>
        <w:rPr>
          <w:rFonts w:hint="eastAsia" w:eastAsia="仿宋_GB2312"/>
          <w:bCs/>
          <w:color w:val="auto"/>
          <w:sz w:val="30"/>
          <w:szCs w:val="30"/>
          <w:highlight w:val="none"/>
        </w:rPr>
        <w:t>加强医疗卫生专业人才培养。</w:t>
      </w:r>
      <w:r>
        <w:rPr>
          <w:rFonts w:hint="eastAsia" w:eastAsia="仿宋_GB2312"/>
          <w:color w:val="auto"/>
          <w:sz w:val="30"/>
          <w:szCs w:val="30"/>
          <w:highlight w:val="none"/>
        </w:rPr>
        <w:t>推行双向考核的“援疆专家导师制”，叶城县人民医院每年每位援疆医生带教2到3名医疗卫生机构学科带头人或者学科骨干。积极开展本地自办班，对县、乡、村三级网络基层医务人员进行普及提高业务培训。依托上海医学院校，适时培养博士生，进一步实施在职研究生、本科生、专升本培养计划项目。支持选送卫生管理干部赴上海培训，加强基层医务人才培养力度，提升基层医务人员能力。</w:t>
      </w:r>
    </w:p>
    <w:p>
      <w:pPr>
        <w:keepNext w:val="0"/>
        <w:keepLines w:val="0"/>
        <w:pageBreakBefore w:val="0"/>
        <w:widowControl w:val="0"/>
        <w:shd w:val="clear"/>
        <w:kinsoku/>
        <w:wordWrap/>
        <w:overflowPunct/>
        <w:topLinePunct w:val="0"/>
        <w:autoSpaceDE/>
        <w:autoSpaceDN/>
        <w:bidi w:val="0"/>
        <w:adjustRightInd/>
        <w:snapToGrid/>
        <w:spacing w:line="570" w:lineRule="exact"/>
        <w:ind w:firstLine="602" w:firstLineChars="200"/>
        <w:textAlignment w:val="auto"/>
        <w:rPr>
          <w:rFonts w:eastAsia="仿宋_GB2312"/>
          <w:color w:val="auto"/>
          <w:sz w:val="30"/>
          <w:szCs w:val="30"/>
          <w:highlight w:val="none"/>
        </w:rPr>
      </w:pPr>
      <w:r>
        <w:rPr>
          <w:rFonts w:hint="eastAsia" w:eastAsia="仿宋_GB2312"/>
          <w:b/>
          <w:bCs/>
          <w:color w:val="auto"/>
          <w:sz w:val="30"/>
          <w:szCs w:val="30"/>
          <w:highlight w:val="none"/>
          <w:lang w:val="en-US" w:eastAsia="zh-CN"/>
        </w:rPr>
        <w:t>积极开展公益慈善活动</w:t>
      </w:r>
      <w:r>
        <w:rPr>
          <w:rFonts w:hint="eastAsia" w:eastAsia="仿宋_GB2312"/>
          <w:b/>
          <w:bCs/>
          <w:color w:val="auto"/>
          <w:sz w:val="30"/>
          <w:szCs w:val="30"/>
          <w:highlight w:val="none"/>
        </w:rPr>
        <w:t>。</w:t>
      </w:r>
      <w:r>
        <w:rPr>
          <w:rFonts w:hint="eastAsia" w:eastAsia="仿宋_GB2312"/>
          <w:color w:val="auto"/>
          <w:sz w:val="30"/>
          <w:szCs w:val="30"/>
          <w:highlight w:val="none"/>
        </w:rPr>
        <w:t>支持新建</w:t>
      </w:r>
      <w:r>
        <w:rPr>
          <w:rFonts w:hint="eastAsia" w:eastAsia="仿宋_GB2312"/>
          <w:color w:val="auto"/>
          <w:sz w:val="30"/>
          <w:szCs w:val="30"/>
          <w:highlight w:val="none"/>
          <w:lang w:eastAsia="zh-CN"/>
        </w:rPr>
        <w:t>城镇养老服务中心，改造提升儿童福利院、</w:t>
      </w:r>
      <w:r>
        <w:rPr>
          <w:rFonts w:hint="eastAsia" w:eastAsia="仿宋_GB2312"/>
          <w:color w:val="auto"/>
          <w:sz w:val="30"/>
          <w:szCs w:val="30"/>
          <w:highlight w:val="none"/>
        </w:rPr>
        <w:t>敬老院、</w:t>
      </w:r>
      <w:r>
        <w:rPr>
          <w:rFonts w:hint="eastAsia" w:eastAsia="仿宋_GB2312"/>
          <w:color w:val="auto"/>
          <w:sz w:val="30"/>
          <w:szCs w:val="30"/>
          <w:highlight w:val="none"/>
          <w:lang w:eastAsia="zh-CN"/>
        </w:rPr>
        <w:t>幸福大院</w:t>
      </w:r>
      <w:r>
        <w:rPr>
          <w:rFonts w:hint="eastAsia" w:eastAsia="仿宋_GB2312"/>
          <w:color w:val="auto"/>
          <w:sz w:val="30"/>
          <w:szCs w:val="30"/>
          <w:highlight w:val="none"/>
        </w:rPr>
        <w:t>等社会福利机构，加强对孤老、孤儿等弱势群体的关爱。加大对叶城当地社工组织和专业社工培养，促进形成社会管理新机制。组织开展各类公益慈善活动，与上海相关社团网、慈善网联手，建立社会共同参与援疆的大网络平台。组织动员上海企业、市民、社会团体、慈善机构等社会各界对叶城县定向捐助、结对帮扶和项目援疆，形成全市大援疆新格局。</w:t>
      </w:r>
    </w:p>
    <w:bookmarkEnd w:id="342"/>
    <w:p>
      <w:pPr>
        <w:pStyle w:val="18"/>
        <w:keepNext w:val="0"/>
        <w:keepLines w:val="0"/>
        <w:pageBreakBefore w:val="0"/>
        <w:widowControl w:val="0"/>
        <w:shd w:val="clear"/>
        <w:kinsoku/>
        <w:wordWrap/>
        <w:overflowPunct/>
        <w:topLinePunct w:val="0"/>
        <w:autoSpaceDE/>
        <w:autoSpaceDN/>
        <w:bidi w:val="0"/>
        <w:adjustRightInd/>
        <w:snapToGrid/>
        <w:spacing w:beforeLines="50" w:afterLines="50" w:line="570" w:lineRule="exact"/>
        <w:textAlignment w:val="auto"/>
        <w:rPr>
          <w:rFonts w:hint="eastAsia" w:ascii="Times New Roman" w:hAnsi="Times New Roman"/>
          <w:lang w:val="zh-CN" w:eastAsia="zh-CN"/>
        </w:rPr>
      </w:pPr>
      <w:bookmarkStart w:id="343" w:name="_Toc9541"/>
      <w:bookmarkStart w:id="344" w:name="_Toc9556"/>
      <w:r>
        <w:rPr>
          <w:rFonts w:hint="eastAsia" w:ascii="Times New Roman" w:hAnsi="Times New Roman"/>
          <w:lang w:val="zh-CN" w:eastAsia="zh-CN"/>
        </w:rPr>
        <w:t>第五节 深化交流交往交融</w:t>
      </w:r>
      <w:bookmarkEnd w:id="343"/>
      <w:bookmarkEnd w:id="344"/>
    </w:p>
    <w:p>
      <w:pPr>
        <w:keepNext w:val="0"/>
        <w:keepLines w:val="0"/>
        <w:pageBreakBefore w:val="0"/>
        <w:widowControl w:val="0"/>
        <w:shd w:val="clear"/>
        <w:kinsoku/>
        <w:wordWrap/>
        <w:overflowPunct/>
        <w:topLinePunct w:val="0"/>
        <w:autoSpaceDE/>
        <w:autoSpaceDN/>
        <w:bidi w:val="0"/>
        <w:adjustRightInd/>
        <w:snapToGrid/>
        <w:spacing w:line="57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深入开展“结对子、结亲戚、交朋友”等活动，组织各类考察、参观、演出活动，加强叶城县各族群众与上海广大市民的走动互动。组织援助双方政府部门、街道乡镇、学校、社会团体、园区等建立结对关系，推进交流交往活动深层次发展。鼓励开展与叶城县</w:t>
      </w:r>
      <w:r>
        <w:rPr>
          <w:rFonts w:hint="eastAsia" w:eastAsia="仿宋_GB2312"/>
          <w:color w:val="auto"/>
          <w:sz w:val="30"/>
          <w:szCs w:val="30"/>
          <w:highlight w:val="none"/>
          <w:lang w:val="en-US" w:eastAsia="zh-CN"/>
        </w:rPr>
        <w:t>困难</w:t>
      </w:r>
      <w:r>
        <w:rPr>
          <w:rFonts w:hint="eastAsia" w:eastAsia="仿宋_GB2312"/>
          <w:color w:val="auto"/>
          <w:sz w:val="30"/>
          <w:szCs w:val="30"/>
          <w:highlight w:val="none"/>
        </w:rPr>
        <w:t>家庭、在校学生“结对子”活动。支持沪喀各级各类学校和共青团组织、少先队组织一起深入开展以参观学习、演出交流、夏令营、冬令营等为载体的“沪喀青少年手拉手”活动。叶城县每年至少安排400名中小学生到上海参加“沪喀青少年手拉手”活动。加强研学旅行活动，力争每年开展以“爱我中华”为主题的研学旅行活动。与共青团组织、高校、社会组织合作，推出精英培养计划，遴选一批有潜力的少数民族学生</w:t>
      </w:r>
      <w:r>
        <w:rPr>
          <w:rFonts w:hint="eastAsia" w:eastAsia="仿宋_GB2312"/>
          <w:color w:val="auto"/>
          <w:sz w:val="30"/>
          <w:szCs w:val="30"/>
          <w:highlight w:val="none"/>
          <w:lang w:val="en-US" w:eastAsia="zh-CN"/>
        </w:rPr>
        <w:t>赴</w:t>
      </w:r>
      <w:r>
        <w:rPr>
          <w:rFonts w:hint="eastAsia" w:eastAsia="仿宋_GB2312"/>
          <w:color w:val="auto"/>
          <w:sz w:val="30"/>
          <w:szCs w:val="30"/>
          <w:highlight w:val="none"/>
        </w:rPr>
        <w:t>上海进行长期化、滚动式的培养深造。推动“喀什好地方”文化主题活动升级，依托上海主要媒体，加强宣传推介，打造成常态化、系列化的沪喀交流活动品牌。通过上海国际艺术节、音乐节、电影节等平台，将更多优秀的叶城文化介绍到内地。与旅</w:t>
      </w:r>
      <w:r>
        <w:rPr>
          <w:rFonts w:hint="eastAsia" w:eastAsia="仿宋_GB2312"/>
          <w:color w:val="auto"/>
          <w:sz w:val="30"/>
          <w:szCs w:val="30"/>
          <w:highlight w:val="none"/>
          <w:lang w:val="en-US" w:eastAsia="zh-CN"/>
        </w:rPr>
        <w:t>行</w:t>
      </w:r>
      <w:r>
        <w:rPr>
          <w:rFonts w:hint="eastAsia" w:eastAsia="仿宋_GB2312"/>
          <w:color w:val="auto"/>
          <w:sz w:val="30"/>
          <w:szCs w:val="30"/>
          <w:highlight w:val="none"/>
        </w:rPr>
        <w:t>社合作推出“上海人看喀什”等系列主题活动，组织沪喀两地专家深入开展实地考察、合作开展课题研究，为地区和叶城县党委政府提供高层次的决策咨询服务。组织沪喀各阶层代表性人士、宗教界人士相互赴对方</w:t>
      </w:r>
      <w:r>
        <w:rPr>
          <w:rFonts w:hint="eastAsia" w:eastAsia="仿宋_GB2312"/>
          <w:color w:val="auto"/>
          <w:sz w:val="30"/>
          <w:szCs w:val="30"/>
          <w:highlight w:val="none"/>
          <w:lang w:eastAsia="zh-CN"/>
        </w:rPr>
        <w:t>地区</w:t>
      </w:r>
      <w:r>
        <w:rPr>
          <w:rFonts w:hint="eastAsia" w:eastAsia="仿宋_GB2312"/>
          <w:color w:val="auto"/>
          <w:sz w:val="30"/>
          <w:szCs w:val="30"/>
          <w:highlight w:val="none"/>
        </w:rPr>
        <w:t>进行实地考察、学术交流和社会实践等。</w:t>
      </w:r>
    </w:p>
    <w:p>
      <w:pPr>
        <w:pStyle w:val="18"/>
        <w:keepNext w:val="0"/>
        <w:keepLines w:val="0"/>
        <w:pageBreakBefore w:val="0"/>
        <w:widowControl w:val="0"/>
        <w:shd w:val="clear"/>
        <w:kinsoku/>
        <w:wordWrap/>
        <w:overflowPunct/>
        <w:topLinePunct w:val="0"/>
        <w:autoSpaceDE/>
        <w:autoSpaceDN/>
        <w:bidi w:val="0"/>
        <w:adjustRightInd/>
        <w:snapToGrid/>
        <w:spacing w:beforeLines="50" w:afterLines="50" w:line="570" w:lineRule="exact"/>
        <w:textAlignment w:val="auto"/>
        <w:rPr>
          <w:rFonts w:hint="default" w:ascii="Times New Roman" w:hAnsi="Times New Roman"/>
          <w:lang w:val="en-US" w:eastAsia="zh-CN"/>
        </w:rPr>
      </w:pPr>
      <w:bookmarkStart w:id="345" w:name="_Toc27113"/>
      <w:bookmarkStart w:id="346" w:name="_Toc14940"/>
      <w:r>
        <w:rPr>
          <w:rFonts w:hint="eastAsia" w:ascii="Times New Roman" w:hAnsi="Times New Roman"/>
          <w:lang w:val="zh-CN" w:eastAsia="zh-CN"/>
        </w:rPr>
        <w:t xml:space="preserve">第六节 </w:t>
      </w:r>
      <w:r>
        <w:rPr>
          <w:rFonts w:hint="eastAsia" w:ascii="Times New Roman" w:hAnsi="Times New Roman"/>
          <w:lang w:val="en-US" w:eastAsia="zh-CN"/>
        </w:rPr>
        <w:t>加强基层建设援叶</w:t>
      </w:r>
      <w:bookmarkEnd w:id="345"/>
      <w:bookmarkEnd w:id="346"/>
    </w:p>
    <w:bookmarkEnd w:id="326"/>
    <w:bookmarkEnd w:id="327"/>
    <w:bookmarkEnd w:id="328"/>
    <w:p>
      <w:pPr>
        <w:keepNext w:val="0"/>
        <w:keepLines w:val="0"/>
        <w:pageBreakBefore w:val="0"/>
        <w:widowControl w:val="0"/>
        <w:shd w:val="clear"/>
        <w:kinsoku/>
        <w:wordWrap/>
        <w:overflowPunct/>
        <w:topLinePunct w:val="0"/>
        <w:autoSpaceDE/>
        <w:autoSpaceDN/>
        <w:bidi w:val="0"/>
        <w:adjustRightInd/>
        <w:snapToGrid/>
        <w:spacing w:line="570" w:lineRule="exact"/>
        <w:ind w:firstLine="600" w:firstLineChars="200"/>
        <w:textAlignment w:val="auto"/>
        <w:rPr>
          <w:rFonts w:eastAsia="仿宋_GB2312"/>
          <w:b/>
          <w:bCs/>
          <w:color w:val="auto"/>
          <w:sz w:val="30"/>
          <w:szCs w:val="30"/>
          <w:highlight w:val="none"/>
        </w:rPr>
      </w:pPr>
      <w:r>
        <w:rPr>
          <w:rFonts w:hint="eastAsia" w:eastAsia="仿宋_GB2312"/>
          <w:color w:val="auto"/>
          <w:sz w:val="30"/>
          <w:szCs w:val="30"/>
          <w:highlight w:val="none"/>
        </w:rPr>
        <w:t>支持上海对口与叶城县开展街道和乡镇结对帮扶，建立长期合作共建机制。借鉴上海“两级政府、三级管理、四级网络”经验，支持叶城县加强整体设计和机制创新，切实提高基层政权建设和基层社会治理水平。加强上海市委党校与叶城县党校的合作，推行合作办班、插班学习、联合培养等干部培养模式。组织叶城县社区和村级干部、尤其是对大学生“村官”、少数民族“村官”的集中培训和挂职交流</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依托援疆力量，加强</w:t>
      </w:r>
      <w:r>
        <w:rPr>
          <w:rFonts w:hint="eastAsia" w:eastAsia="仿宋_GB2312"/>
          <w:color w:val="auto"/>
          <w:sz w:val="30"/>
          <w:szCs w:val="30"/>
          <w:highlight w:val="none"/>
        </w:rPr>
        <w:t>叶城县社会管理和公共服务领域信息化建设和大数据运用。</w:t>
      </w:r>
      <w:r>
        <w:rPr>
          <w:rFonts w:hint="eastAsia" w:eastAsia="仿宋_GB2312"/>
          <w:color w:val="auto"/>
          <w:sz w:val="30"/>
          <w:szCs w:val="30"/>
          <w:highlight w:val="none"/>
          <w:lang w:val="en-US" w:eastAsia="zh-CN"/>
        </w:rPr>
        <w:t>深化双方</w:t>
      </w:r>
      <w:r>
        <w:rPr>
          <w:rFonts w:hint="eastAsia" w:eastAsia="仿宋_GB2312"/>
          <w:color w:val="auto"/>
          <w:sz w:val="30"/>
          <w:szCs w:val="30"/>
          <w:highlight w:val="none"/>
        </w:rPr>
        <w:t>在实有人口管理、社区警务、监狱戒毒、社区矫正、人员交流培训、信息共享和协作机制建设等方面的警务合作交流。</w:t>
      </w:r>
    </w:p>
    <w:p>
      <w:pPr>
        <w:pStyle w:val="3"/>
        <w:keepNext w:val="0"/>
        <w:keepLines w:val="0"/>
        <w:shd w:val="clear"/>
        <w:spacing w:beforeLines="100" w:afterLines="100" w:line="560" w:lineRule="exact"/>
        <w:jc w:val="center"/>
        <w:rPr>
          <w:rFonts w:hint="default" w:ascii="Times New Roman" w:hAnsi="Times New Roman" w:eastAsia="黑体" w:cs="Times New Roman"/>
          <w:b w:val="0"/>
          <w:bCs w:val="0"/>
          <w:sz w:val="30"/>
          <w:szCs w:val="30"/>
          <w:lang w:val="en-US" w:eastAsia="zh-CN"/>
        </w:rPr>
      </w:pPr>
      <w:bookmarkStart w:id="347" w:name="_Toc31439"/>
      <w:r>
        <w:rPr>
          <w:rFonts w:hint="eastAsia" w:ascii="Times New Roman" w:hAnsi="Times New Roman" w:eastAsia="黑体" w:cs="Times New Roman"/>
          <w:b w:val="0"/>
          <w:bCs w:val="0"/>
          <w:sz w:val="30"/>
          <w:szCs w:val="30"/>
          <w:lang w:val="en-US" w:eastAsia="zh-CN"/>
        </w:rPr>
        <w:t>第</w:t>
      </w:r>
      <w:r>
        <w:rPr>
          <w:rFonts w:hint="eastAsia" w:eastAsia="黑体" w:cs="Times New Roman"/>
          <w:b w:val="0"/>
          <w:bCs w:val="0"/>
          <w:sz w:val="30"/>
          <w:szCs w:val="30"/>
          <w:lang w:val="en-US" w:eastAsia="zh-CN"/>
        </w:rPr>
        <w:t>十八</w:t>
      </w:r>
      <w:r>
        <w:rPr>
          <w:rFonts w:hint="eastAsia" w:ascii="Times New Roman" w:hAnsi="Times New Roman" w:eastAsia="黑体" w:cs="Times New Roman"/>
          <w:b w:val="0"/>
          <w:bCs w:val="0"/>
          <w:sz w:val="30"/>
          <w:szCs w:val="30"/>
          <w:lang w:val="en-US" w:eastAsia="zh-CN"/>
        </w:rPr>
        <w:t xml:space="preserve">章 </w:t>
      </w:r>
      <w:r>
        <w:rPr>
          <w:rFonts w:hint="eastAsia" w:eastAsia="黑体" w:cs="Times New Roman"/>
          <w:b w:val="0"/>
          <w:bCs w:val="0"/>
          <w:sz w:val="30"/>
          <w:szCs w:val="30"/>
          <w:lang w:val="en-US" w:eastAsia="zh-CN"/>
        </w:rPr>
        <w:t>推进社会治理现代化</w:t>
      </w:r>
      <w:r>
        <w:rPr>
          <w:rFonts w:hint="eastAsia" w:ascii="Times New Roman" w:hAnsi="Times New Roman" w:eastAsia="黑体" w:cs="Times New Roman"/>
          <w:b w:val="0"/>
          <w:bCs w:val="0"/>
          <w:sz w:val="30"/>
          <w:szCs w:val="30"/>
          <w:lang w:val="en-US" w:eastAsia="zh-CN"/>
        </w:rPr>
        <w:t>，</w:t>
      </w:r>
      <w:bookmarkEnd w:id="323"/>
      <w:r>
        <w:rPr>
          <w:rFonts w:hint="eastAsia" w:eastAsia="黑体" w:cs="Times New Roman"/>
          <w:b w:val="0"/>
          <w:bCs w:val="0"/>
          <w:sz w:val="30"/>
          <w:szCs w:val="30"/>
          <w:lang w:val="en-US" w:eastAsia="zh-CN"/>
        </w:rPr>
        <w:t>打造平安叶城升级版</w:t>
      </w:r>
      <w:bookmarkEnd w:id="347"/>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lang w:val="en-US" w:eastAsia="zh-CN"/>
        </w:rPr>
        <w:t>全面贯彻落实总体国家安全观，坚持新时代党的治疆方略，聚焦总目标，着力推进法治建设，坚决维护社会稳定，全面加强公共安全管理，不断提升应急救援能力，全面构建现代社会治理体系，</w:t>
      </w:r>
      <w:r>
        <w:rPr>
          <w:rFonts w:hint="eastAsia" w:eastAsia="仿宋_GB2312"/>
          <w:color w:val="auto"/>
          <w:sz w:val="30"/>
          <w:szCs w:val="30"/>
          <w:highlight w:val="none"/>
          <w:lang w:eastAsia="zh-CN"/>
        </w:rPr>
        <w:t>努力打造平安叶城建设“升级版”，</w:t>
      </w:r>
      <w:r>
        <w:rPr>
          <w:rFonts w:hint="eastAsia" w:eastAsia="仿宋_GB2312"/>
          <w:color w:val="auto"/>
          <w:sz w:val="30"/>
          <w:szCs w:val="30"/>
          <w:highlight w:val="none"/>
        </w:rPr>
        <w:t>实现全县社会大局长期全面稳定。</w:t>
      </w:r>
    </w:p>
    <w:p>
      <w:pPr>
        <w:pStyle w:val="18"/>
        <w:keepNext w:val="0"/>
        <w:keepLines w:val="0"/>
        <w:shd w:val="clear"/>
        <w:spacing w:beforeLines="50" w:afterLines="50"/>
        <w:rPr>
          <w:rFonts w:hint="eastAsia" w:ascii="Times New Roman" w:hAnsi="Times New Roman"/>
          <w:lang w:val="zh-CN" w:eastAsia="zh-CN"/>
        </w:rPr>
      </w:pPr>
      <w:bookmarkStart w:id="348" w:name="_Toc14750"/>
      <w:bookmarkStart w:id="349" w:name="_Toc15020"/>
      <w:bookmarkStart w:id="350" w:name="_Toc2517"/>
      <w:bookmarkStart w:id="351" w:name="_Toc15401"/>
      <w:bookmarkStart w:id="352" w:name="_Toc38716759"/>
      <w:r>
        <w:rPr>
          <w:rFonts w:hint="eastAsia" w:ascii="Times New Roman" w:hAnsi="Times New Roman"/>
          <w:lang w:val="en-US" w:eastAsia="zh-CN"/>
        </w:rPr>
        <w:t>第一节 着力推进法治</w:t>
      </w:r>
      <w:r>
        <w:rPr>
          <w:rFonts w:hint="eastAsia" w:ascii="Times New Roman" w:hAnsi="Times New Roman"/>
          <w:lang w:val="zh-CN" w:eastAsia="zh-CN"/>
        </w:rPr>
        <w:t>建设</w:t>
      </w:r>
      <w:bookmarkEnd w:id="348"/>
      <w:bookmarkEnd w:id="349"/>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auto"/>
          <w:sz w:val="30"/>
          <w:szCs w:val="30"/>
          <w:highlight w:val="none"/>
          <w:lang w:val="en-US" w:eastAsia="zh-CN"/>
        </w:rPr>
      </w:pPr>
      <w:r>
        <w:rPr>
          <w:rFonts w:hint="eastAsia" w:ascii="Times New Roman" w:hAnsi="Times New Roman" w:eastAsia="仿宋_GB2312" w:cs="Times New Roman"/>
          <w:color w:val="auto"/>
          <w:sz w:val="30"/>
          <w:szCs w:val="30"/>
          <w:highlight w:val="none"/>
          <w:lang w:val="en-US" w:eastAsia="zh-CN"/>
        </w:rPr>
        <w:t>高举社会主义法治旗帜，弘扬法</w:t>
      </w:r>
      <w:r>
        <w:rPr>
          <w:rFonts w:hint="eastAsia" w:eastAsia="仿宋_GB2312" w:cs="Times New Roman"/>
          <w:color w:val="auto"/>
          <w:sz w:val="30"/>
          <w:szCs w:val="30"/>
          <w:highlight w:val="none"/>
          <w:lang w:val="en-US" w:eastAsia="zh-CN"/>
        </w:rPr>
        <w:t>治</w:t>
      </w:r>
      <w:r>
        <w:rPr>
          <w:rFonts w:hint="eastAsia" w:ascii="Times New Roman" w:hAnsi="Times New Roman" w:eastAsia="仿宋_GB2312" w:cs="Times New Roman"/>
          <w:color w:val="auto"/>
          <w:sz w:val="30"/>
          <w:szCs w:val="30"/>
          <w:highlight w:val="none"/>
          <w:lang w:val="en-US" w:eastAsia="zh-CN"/>
        </w:rPr>
        <w:t>精神，坚定不移走中国特色社会主义法治道路，把全面依法治国的要求落实到全县工作的各个领域，坚持运用法律武器开展斗争、打击犯罪，运用法治思维和法治方式防范风险、处理问题、化解矛盾，推进法治叶城、法治政府、法治社会一体建设，发挥法治固根本、稳预期、利长远的保障作用。全面贯彻宪法和法律，保障公民在法律面前人人平等，维护社会公平正义。健全地方法规体系，完善地方性法规、规章，严格执行规范性法规、规章，加强政府立法制度建设，严格执行规范性文件制定权限和程序。坚持法定职责必须为、法无授权不可为，全面推行政府权力清单制度，强化对行政权力的制约与监督，依法设定权力、行使权力、制约权力、监督权力，推行综合执法，实现政府活动全面纳入法治轨道，全面提升政府工作法治化水平。严格规范文明执法，提升执法司法质量、效率和公信力。完善公共法律服务体系，建立畅通有序的诉求表达、心理干预、矛盾调处、权益保障机制。全面开展“八五”普法工作，加强以宪法为核心、民法典为重点的中国特色社会主义法律体系宣传教育，营造全社会尊法学法守法用法的良好法治环境。因地制宜建设覆盖县、乡、村三级的法治文化中心、法治广场、法治公园等阵地，围绕“覆盖城乡、功能完善、便捷高效、群众满意”的目标要求，构建公共法律服务实体、热线、网络三大平台。完善法律援助值班律师制度、刑事案件律师辩护全覆盖工作机制。推动县直单位、行业单位建立法律顾问制度，搭建行业部门之间与法律顾问的协作平台，提升依法执政、依法行政的能力和水平。“十四五”期间，全县建成制度健全、服务规范的1个县公共法律服务中心、26个乡镇（区）法律服务工作站、369个村（社区）法律服务工作室，完成2个国家级、6个自治区级民主法治村（社区）的创建，以点带面推动叶城县民主法治建设。</w:t>
      </w:r>
    </w:p>
    <w:p>
      <w:pPr>
        <w:pStyle w:val="18"/>
        <w:keepNext w:val="0"/>
        <w:keepLines w:val="0"/>
        <w:shd w:val="clear"/>
        <w:spacing w:beforeLines="50" w:afterLines="50"/>
        <w:rPr>
          <w:rFonts w:hint="eastAsia" w:ascii="Times New Roman" w:hAnsi="Times New Roman"/>
          <w:lang w:val="en-US" w:eastAsia="zh-CN"/>
        </w:rPr>
      </w:pPr>
      <w:bookmarkStart w:id="353" w:name="_Toc16474"/>
      <w:r>
        <w:rPr>
          <w:rFonts w:hint="eastAsia" w:ascii="Times New Roman" w:hAnsi="Times New Roman"/>
          <w:lang w:val="en-US" w:eastAsia="zh-CN"/>
        </w:rPr>
        <w:t xml:space="preserve">第二节 </w:t>
      </w:r>
      <w:bookmarkEnd w:id="350"/>
      <w:bookmarkEnd w:id="353"/>
      <w:r>
        <w:rPr>
          <w:rFonts w:hint="eastAsia" w:ascii="Times New Roman" w:hAnsi="Times New Roman"/>
          <w:lang w:val="en-US" w:eastAsia="zh-CN"/>
        </w:rPr>
        <w:t>健全公共安全体制机制</w:t>
      </w:r>
    </w:p>
    <w:bookmarkEnd w:id="351"/>
    <w:bookmarkEnd w:id="352"/>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00" w:firstLineChars="200"/>
        <w:textAlignment w:val="auto"/>
        <w:rPr>
          <w:rFonts w:hint="eastAsia" w:ascii="方正仿宋_GBK" w:hAnsi="方正仿宋_GBK" w:eastAsia="方正仿宋_GBK" w:cs="方正仿宋_GBK"/>
          <w:color w:val="auto"/>
          <w:sz w:val="32"/>
          <w:szCs w:val="32"/>
          <w:highlight w:val="none"/>
          <w:u w:val="none" w:color="auto"/>
          <w:lang w:val="en-US" w:eastAsia="zh-CN"/>
        </w:rPr>
      </w:pPr>
      <w:r>
        <w:rPr>
          <w:rFonts w:hint="eastAsia" w:ascii="Times New Roman" w:hAnsi="Times New Roman" w:eastAsia="仿宋_GB2312" w:cs="Times New Roman"/>
          <w:b w:val="0"/>
          <w:bCs w:val="0"/>
          <w:color w:val="auto"/>
          <w:kern w:val="2"/>
          <w:sz w:val="30"/>
          <w:szCs w:val="30"/>
          <w:highlight w:val="none"/>
          <w:lang w:val="en-US" w:eastAsia="zh-CN" w:bidi="ar-SA"/>
        </w:rPr>
        <w:t>巩固扫黑除恶专项斗争成果，健全完善扫黑除恶长效常态机制，持续依法严厉打击黑恶势力犯罪</w:t>
      </w:r>
      <w:r>
        <w:rPr>
          <w:rFonts w:hint="eastAsia" w:eastAsia="仿宋_GB2312" w:cs="Times New Roman"/>
          <w:b w:val="0"/>
          <w:bCs w:val="0"/>
          <w:color w:val="auto"/>
          <w:kern w:val="2"/>
          <w:sz w:val="30"/>
          <w:szCs w:val="30"/>
          <w:highlight w:val="none"/>
          <w:lang w:val="en-US" w:eastAsia="zh-CN" w:bidi="ar-SA"/>
        </w:rPr>
        <w:t>，</w:t>
      </w:r>
      <w:r>
        <w:rPr>
          <w:rFonts w:hint="eastAsia" w:ascii="Times New Roman" w:hAnsi="Times New Roman" w:eastAsia="仿宋_GB2312" w:cs="Times New Roman"/>
          <w:b w:val="0"/>
          <w:bCs w:val="0"/>
          <w:color w:val="auto"/>
          <w:kern w:val="2"/>
          <w:sz w:val="30"/>
          <w:szCs w:val="30"/>
          <w:highlight w:val="none"/>
          <w:lang w:val="en-US" w:eastAsia="zh-CN" w:bidi="ar-SA"/>
        </w:rPr>
        <w:t>净化社会治安环境。落实安全生产责任制，健全公共安全隐患常态化排查整治机制，加大人员密集场所安全防范力度，强化枪支危爆等重点物品安全</w:t>
      </w:r>
      <w:bookmarkStart w:id="391" w:name="_GoBack"/>
      <w:bookmarkEnd w:id="391"/>
      <w:r>
        <w:rPr>
          <w:rFonts w:hint="eastAsia" w:ascii="Times New Roman" w:hAnsi="Times New Roman" w:eastAsia="仿宋_GB2312" w:cs="Times New Roman"/>
          <w:b w:val="0"/>
          <w:bCs w:val="0"/>
          <w:color w:val="auto"/>
          <w:kern w:val="2"/>
          <w:sz w:val="30"/>
          <w:szCs w:val="30"/>
          <w:highlight w:val="none"/>
          <w:lang w:val="en-US" w:eastAsia="zh-CN" w:bidi="ar-SA"/>
        </w:rPr>
        <w:t>管理，加强物流寄递、食品药品、</w:t>
      </w:r>
      <w:r>
        <w:rPr>
          <w:rFonts w:hint="eastAsia" w:eastAsia="仿宋_GB2312" w:cs="Times New Roman"/>
          <w:b w:val="0"/>
          <w:bCs w:val="0"/>
          <w:color w:val="auto"/>
          <w:kern w:val="2"/>
          <w:sz w:val="30"/>
          <w:szCs w:val="30"/>
          <w:highlight w:val="none"/>
          <w:lang w:val="en-US" w:eastAsia="zh-CN" w:bidi="ar-SA"/>
        </w:rPr>
        <w:t>非煤矿山</w:t>
      </w:r>
      <w:r>
        <w:rPr>
          <w:rFonts w:hint="eastAsia" w:ascii="Times New Roman" w:hAnsi="Times New Roman" w:eastAsia="仿宋_GB2312" w:cs="Times New Roman"/>
          <w:b w:val="0"/>
          <w:bCs w:val="0"/>
          <w:color w:val="auto"/>
          <w:kern w:val="2"/>
          <w:sz w:val="30"/>
          <w:szCs w:val="30"/>
          <w:highlight w:val="none"/>
          <w:lang w:val="en-US" w:eastAsia="zh-CN" w:bidi="ar-SA"/>
        </w:rPr>
        <w:t>等行业监管，建立由行业主管部门提前介入的安全监管机制。建立公共安全隐患排查和安全预防控制体系。加强网络安全监管，坚持依法治网，坚决维护网络安全，筑牢网络安全防线，不断提高网络安全保障水平。构建统一指挥、专常兼备、反应灵敏、上下联动的应急管理体制，提高应急管理能力和水平，优化应急管理能力体系建设，推动应急管理从静态、职能管理向动态、综合管理转变，从灾害应对向风险管理转变，提高防灾救灾减灾能力。深入推进道路交通安全综合治理机制建设，推动建成共建共治共享的交通安全社会综合治理格局。</w:t>
      </w:r>
    </w:p>
    <w:p>
      <w:pPr>
        <w:pStyle w:val="18"/>
        <w:keepNext w:val="0"/>
        <w:keepLines w:val="0"/>
        <w:shd w:val="clear"/>
        <w:spacing w:beforeLines="50" w:afterLines="50"/>
        <w:rPr>
          <w:rFonts w:hint="eastAsia" w:ascii="Times New Roman" w:hAnsi="Times New Roman"/>
          <w:lang w:val="zh-CN" w:eastAsia="zh-CN"/>
        </w:rPr>
      </w:pPr>
      <w:bookmarkStart w:id="354" w:name="_Toc28047"/>
      <w:bookmarkStart w:id="355" w:name="_Toc23451"/>
      <w:bookmarkStart w:id="356" w:name="_Toc15670"/>
      <w:bookmarkStart w:id="357" w:name="_Toc20652"/>
      <w:bookmarkStart w:id="358" w:name="_Toc7002"/>
      <w:r>
        <w:rPr>
          <w:rFonts w:hint="eastAsia" w:ascii="Times New Roman" w:hAnsi="Times New Roman"/>
          <w:lang w:val="zh-CN" w:eastAsia="zh-CN"/>
        </w:rPr>
        <w:t>第</w:t>
      </w:r>
      <w:r>
        <w:rPr>
          <w:rFonts w:hint="eastAsia" w:ascii="Times New Roman" w:hAnsi="Times New Roman"/>
          <w:lang w:val="en-US" w:eastAsia="zh-CN"/>
        </w:rPr>
        <w:t>三</w:t>
      </w:r>
      <w:r>
        <w:rPr>
          <w:rFonts w:hint="eastAsia" w:ascii="Times New Roman" w:hAnsi="Times New Roman"/>
          <w:lang w:val="zh-CN" w:eastAsia="zh-CN"/>
        </w:rPr>
        <w:t>节</w:t>
      </w:r>
      <w:r>
        <w:rPr>
          <w:rFonts w:hint="eastAsia" w:ascii="Times New Roman" w:hAnsi="Times New Roman"/>
          <w:lang w:val="en-US" w:eastAsia="zh-CN"/>
        </w:rPr>
        <w:t xml:space="preserve"> </w:t>
      </w:r>
      <w:bookmarkEnd w:id="354"/>
      <w:bookmarkEnd w:id="355"/>
      <w:r>
        <w:rPr>
          <w:rFonts w:hint="eastAsia" w:ascii="Times New Roman" w:hAnsi="Times New Roman"/>
          <w:lang w:val="zh-CN" w:eastAsia="zh-CN"/>
        </w:rPr>
        <w:t>夯实基层社会治理基础</w:t>
      </w:r>
      <w:bookmarkEnd w:id="356"/>
      <w:bookmarkEnd w:id="357"/>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zh-CN" w:eastAsia="zh-CN" w:bidi="ar-SA"/>
        </w:rPr>
      </w:pPr>
      <w:r>
        <w:rPr>
          <w:rFonts w:hint="eastAsia" w:ascii="Times New Roman" w:hAnsi="Times New Roman" w:eastAsia="仿宋_GB2312" w:cs="Times New Roman"/>
          <w:b w:val="0"/>
          <w:bCs w:val="0"/>
          <w:color w:val="auto"/>
          <w:kern w:val="2"/>
          <w:sz w:val="30"/>
          <w:szCs w:val="30"/>
          <w:highlight w:val="none"/>
          <w:lang w:val="zh-CN" w:eastAsia="zh-CN" w:bidi="ar-SA"/>
        </w:rPr>
        <w:t>树立大抓基层的鲜明导向，推动社会治理重心向基层下移，向基层放权赋能。完善群众参与的制度机制，建设人人有责、人人尽责、人人享有的社会治理共同体。推进县域社会治理现代化，整合资源力量，强化精细管理。巩固扩大乡镇社区和基层综合执法改革成果，加强基层队伍建设，健全基层管理服务平台。健全农村、社区组织体系，推行网格化管理，实现政府治理同社会调节、居民自治</w:t>
      </w:r>
      <w:r>
        <w:rPr>
          <w:rFonts w:hint="eastAsia" w:eastAsia="仿宋_GB2312" w:cs="Times New Roman"/>
          <w:b w:val="0"/>
          <w:bCs w:val="0"/>
          <w:color w:val="auto"/>
          <w:kern w:val="2"/>
          <w:sz w:val="30"/>
          <w:szCs w:val="30"/>
          <w:highlight w:val="none"/>
          <w:lang w:val="en-US" w:eastAsia="zh-CN" w:bidi="ar-SA"/>
        </w:rPr>
        <w:t>的</w:t>
      </w:r>
      <w:r>
        <w:rPr>
          <w:rFonts w:hint="eastAsia" w:ascii="Times New Roman" w:hAnsi="Times New Roman" w:eastAsia="仿宋_GB2312" w:cs="Times New Roman"/>
          <w:b w:val="0"/>
          <w:bCs w:val="0"/>
          <w:color w:val="auto"/>
          <w:kern w:val="2"/>
          <w:sz w:val="30"/>
          <w:szCs w:val="30"/>
          <w:highlight w:val="none"/>
          <w:lang w:val="zh-CN" w:eastAsia="zh-CN" w:bidi="ar-SA"/>
        </w:rPr>
        <w:t>良性互动。深化智慧平安社区建设和智慧交管建设，加强物业管理和出租屋管理。</w:t>
      </w:r>
    </w:p>
    <w:bookmarkEnd w:id="358"/>
    <w:p>
      <w:pPr>
        <w:pStyle w:val="18"/>
        <w:keepNext w:val="0"/>
        <w:keepLines w:val="0"/>
        <w:shd w:val="clear"/>
        <w:spacing w:beforeLines="50" w:afterLines="50"/>
        <w:rPr>
          <w:rFonts w:hint="eastAsia" w:ascii="Times New Roman" w:hAnsi="Times New Roman"/>
          <w:lang w:val="en-US" w:eastAsia="zh-CN"/>
        </w:rPr>
      </w:pPr>
      <w:bookmarkStart w:id="359" w:name="_Toc23914"/>
      <w:bookmarkStart w:id="360" w:name="_Toc22997"/>
      <w:r>
        <w:rPr>
          <w:rFonts w:hint="eastAsia" w:ascii="Times New Roman" w:hAnsi="Times New Roman"/>
          <w:lang w:val="zh-CN" w:eastAsia="zh-CN"/>
        </w:rPr>
        <w:t xml:space="preserve"> </w:t>
      </w:r>
      <w:bookmarkEnd w:id="359"/>
      <w:bookmarkEnd w:id="360"/>
      <w:bookmarkStart w:id="361" w:name="_Toc22774"/>
      <w:bookmarkStart w:id="362" w:name="_Toc29199"/>
      <w:bookmarkStart w:id="363" w:name="_Toc9201"/>
      <w:r>
        <w:rPr>
          <w:rFonts w:hint="eastAsia" w:ascii="Times New Roman" w:hAnsi="Times New Roman"/>
          <w:lang w:val="zh-CN" w:eastAsia="zh-CN"/>
        </w:rPr>
        <w:t>第四节</w:t>
      </w:r>
      <w:r>
        <w:rPr>
          <w:rFonts w:hint="eastAsia" w:ascii="Times New Roman" w:hAnsi="Times New Roman"/>
          <w:lang w:val="en-US" w:eastAsia="zh-CN"/>
        </w:rPr>
        <w:t xml:space="preserve"> 完善</w:t>
      </w:r>
      <w:r>
        <w:rPr>
          <w:rFonts w:hint="eastAsia" w:ascii="Times New Roman" w:hAnsi="Times New Roman"/>
          <w:lang w:val="zh-CN" w:eastAsia="zh-CN"/>
        </w:rPr>
        <w:t>公共安全</w:t>
      </w:r>
      <w:bookmarkEnd w:id="361"/>
      <w:r>
        <w:rPr>
          <w:rFonts w:hint="eastAsia" w:ascii="Times New Roman" w:hAnsi="Times New Roman"/>
          <w:lang w:val="en-US" w:eastAsia="zh-CN"/>
        </w:rPr>
        <w:t>体系</w:t>
      </w:r>
      <w:bookmarkEnd w:id="362"/>
      <w:bookmarkEnd w:id="363"/>
    </w:p>
    <w:p>
      <w:pPr>
        <w:spacing w:line="560" w:lineRule="exact"/>
        <w:ind w:firstLine="602"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重视档案安全管理。</w:t>
      </w:r>
      <w:r>
        <w:rPr>
          <w:rFonts w:hint="eastAsia" w:ascii="仿宋_GB2312" w:hAnsi="仿宋_GB2312" w:eastAsia="仿宋_GB2312" w:cs="仿宋_GB2312"/>
          <w:color w:val="auto"/>
          <w:sz w:val="30"/>
          <w:szCs w:val="30"/>
          <w:highlight w:val="none"/>
          <w:lang w:val="en-US" w:eastAsia="zh-CN"/>
        </w:rPr>
        <w:t>坚持安全底线，贯彻“安全第一、预防为主”的方针，保护好档案这一不可再生资源。保障相关经费落实，解决影响档案安全工作的重大问题，落实新修订的《中华人民共和国档案法》，形成本单位档案安全管理机制，构建档案馆库（室）安全、实体安全、信息安全、安全保障机制的相关体系。推进档案工作信息化、电子化、数字化水平。</w:t>
      </w:r>
    </w:p>
    <w:p>
      <w:pPr>
        <w:spacing w:line="560" w:lineRule="exact"/>
        <w:ind w:firstLine="602"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zh-CN" w:eastAsia="zh-CN"/>
        </w:rPr>
        <w:t>自觉服从服务国防建设。</w:t>
      </w:r>
      <w:r>
        <w:rPr>
          <w:rFonts w:hint="eastAsia" w:ascii="仿宋_GB2312" w:hAnsi="仿宋_GB2312" w:eastAsia="仿宋_GB2312" w:cs="仿宋_GB2312"/>
          <w:color w:val="auto"/>
          <w:sz w:val="30"/>
          <w:szCs w:val="30"/>
          <w:highlight w:val="none"/>
          <w:lang w:val="en-US" w:eastAsia="zh-CN"/>
        </w:rPr>
        <w:t>深入贯彻习近平强军思想，坚决维护军委主席负责制，落实党管武装、党委议军制度，完善国防动员体系，深化军地资源共享和双向支撑拉动。深入贯彻习近平外交思想，服从国家总体外交，深化对外交流合作，为构建人类命运共同体贡献力量。</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rPr>
          <w:rFonts w:eastAsia="仿宋_GB2312"/>
          <w:color w:val="auto"/>
          <w:sz w:val="30"/>
          <w:szCs w:val="30"/>
          <w:highlight w:val="none"/>
        </w:rPr>
      </w:pPr>
      <w:r>
        <w:rPr>
          <w:rFonts w:hint="eastAsia" w:ascii="仿宋_GB2312" w:hAnsi="仿宋_GB2312" w:eastAsia="仿宋_GB2312" w:cs="仿宋_GB2312"/>
          <w:b/>
          <w:color w:val="auto"/>
          <w:sz w:val="30"/>
          <w:szCs w:val="30"/>
          <w:highlight w:val="none"/>
        </w:rPr>
        <w:t>遏制重特大安全事故。</w:t>
      </w:r>
      <w:r>
        <w:rPr>
          <w:rFonts w:hint="eastAsia" w:ascii="仿宋_GB2312" w:hAnsi="仿宋_GB2312" w:eastAsia="仿宋_GB2312" w:cs="仿宋_GB2312"/>
          <w:color w:val="auto"/>
          <w:sz w:val="30"/>
          <w:szCs w:val="30"/>
          <w:highlight w:val="none"/>
          <w:lang w:val="en-US" w:eastAsia="zh-CN"/>
        </w:rPr>
        <w:t>突出</w:t>
      </w:r>
      <w:r>
        <w:rPr>
          <w:rFonts w:hint="eastAsia" w:ascii="仿宋_GB2312" w:hAnsi="仿宋_GB2312" w:eastAsia="仿宋_GB2312" w:cs="仿宋_GB2312"/>
          <w:color w:val="auto"/>
          <w:sz w:val="30"/>
          <w:szCs w:val="30"/>
          <w:highlight w:val="none"/>
        </w:rPr>
        <w:t>重点行业领域安全监管，依法规</w:t>
      </w:r>
      <w:r>
        <w:rPr>
          <w:rFonts w:hint="eastAsia" w:eastAsia="仿宋_GB2312"/>
          <w:color w:val="auto"/>
          <w:sz w:val="30"/>
          <w:szCs w:val="30"/>
          <w:highlight w:val="none"/>
        </w:rPr>
        <w:t>范重点单位、人员密集场所等安全检查，加强对危化品、矿山、道路交通、特种设备、公共消防等重点行业领域的安全风险排查，建立由行业主管部门提前介入的安全监管机制，提升多灾种和灾害链综合监测、风险早期识别和预报预警能力。牢固树立安全发展理念，建立健全公共安全隐患排查和安全预防控制体系，完善安全生产责任制，坚决遏制重特大安全事故。</w:t>
      </w:r>
    </w:p>
    <w:p>
      <w:pPr>
        <w:keepNext w:val="0"/>
        <w:keepLines w:val="0"/>
        <w:pageBreakBefore w:val="0"/>
        <w:shd w:val="clear"/>
        <w:kinsoku/>
        <w:wordWrap/>
        <w:autoSpaceDE/>
        <w:autoSpaceDN/>
        <w:bidi w:val="0"/>
        <w:spacing w:line="560" w:lineRule="exact"/>
        <w:ind w:firstLine="602" w:firstLineChars="200"/>
        <w:textAlignment w:val="auto"/>
        <w:rPr>
          <w:rFonts w:hint="default" w:eastAsia="仿宋_GB2312"/>
          <w:color w:val="auto"/>
          <w:sz w:val="30"/>
          <w:szCs w:val="30"/>
          <w:highlight w:val="none"/>
          <w:lang w:val="en-US" w:eastAsia="zh-CN"/>
        </w:rPr>
      </w:pPr>
      <w:r>
        <w:rPr>
          <w:rFonts w:hint="eastAsia" w:eastAsia="仿宋_GB2312" w:cs="仿宋"/>
          <w:b/>
          <w:color w:val="auto"/>
          <w:sz w:val="30"/>
          <w:szCs w:val="30"/>
          <w:highlight w:val="none"/>
        </w:rPr>
        <w:t>强化食品安全保障。</w:t>
      </w:r>
      <w:r>
        <w:rPr>
          <w:rFonts w:hint="eastAsia" w:eastAsia="仿宋_GB2312" w:cs="仿宋"/>
          <w:b w:val="0"/>
          <w:bCs/>
          <w:color w:val="auto"/>
          <w:sz w:val="30"/>
          <w:szCs w:val="30"/>
          <w:highlight w:val="none"/>
          <w:lang w:eastAsia="zh-CN"/>
        </w:rPr>
        <w:t>落实“四个最严”要求，坚守安全底线。</w:t>
      </w:r>
      <w:r>
        <w:rPr>
          <w:rFonts w:hint="eastAsia" w:eastAsia="仿宋_GB2312" w:cs="仿宋"/>
          <w:b w:val="0"/>
          <w:bCs w:val="0"/>
          <w:color w:val="auto"/>
          <w:sz w:val="30"/>
          <w:szCs w:val="30"/>
          <w:highlight w:val="none"/>
        </w:rPr>
        <w:t>强</w:t>
      </w:r>
      <w:r>
        <w:rPr>
          <w:rFonts w:hint="eastAsia" w:eastAsia="仿宋_GB2312" w:cs="仿宋"/>
          <w:color w:val="auto"/>
          <w:sz w:val="30"/>
          <w:szCs w:val="30"/>
          <w:highlight w:val="none"/>
        </w:rPr>
        <w:t>化食品</w:t>
      </w:r>
      <w:r>
        <w:rPr>
          <w:rFonts w:hint="eastAsia" w:eastAsia="仿宋_GB2312" w:cs="仿宋"/>
          <w:bCs/>
          <w:color w:val="auto"/>
          <w:sz w:val="30"/>
          <w:szCs w:val="30"/>
          <w:highlight w:val="none"/>
        </w:rPr>
        <w:t>安全标准实施，</w:t>
      </w:r>
      <w:r>
        <w:rPr>
          <w:rFonts w:hint="eastAsia" w:eastAsia="仿宋_GB2312" w:cs="仿宋"/>
          <w:bCs/>
          <w:color w:val="auto"/>
          <w:sz w:val="30"/>
          <w:szCs w:val="30"/>
          <w:highlight w:val="none"/>
          <w:lang w:eastAsia="zh-CN"/>
        </w:rPr>
        <w:t>依法严格监管，</w:t>
      </w:r>
      <w:r>
        <w:rPr>
          <w:rFonts w:hint="eastAsia" w:eastAsia="仿宋_GB2312" w:cs="仿宋"/>
          <w:bCs/>
          <w:color w:val="auto"/>
          <w:sz w:val="30"/>
          <w:szCs w:val="30"/>
          <w:highlight w:val="none"/>
        </w:rPr>
        <w:t>全面落实</w:t>
      </w:r>
      <w:r>
        <w:rPr>
          <w:rFonts w:hint="eastAsia" w:eastAsia="仿宋_GB2312" w:cs="仿宋"/>
          <w:bCs/>
          <w:color w:val="auto"/>
          <w:sz w:val="30"/>
          <w:szCs w:val="30"/>
          <w:highlight w:val="none"/>
          <w:lang w:eastAsia="zh-CN"/>
        </w:rPr>
        <w:t>食品经营者</w:t>
      </w:r>
      <w:r>
        <w:rPr>
          <w:rFonts w:hint="eastAsia" w:eastAsia="仿宋_GB2312" w:cs="仿宋"/>
          <w:bCs/>
          <w:color w:val="auto"/>
          <w:sz w:val="30"/>
          <w:szCs w:val="30"/>
          <w:highlight w:val="none"/>
        </w:rPr>
        <w:t>主体责任，主动监测并依法召回、处置不符合标准或存在安全隐患的食品。</w:t>
      </w:r>
      <w:r>
        <w:rPr>
          <w:rFonts w:hint="eastAsia" w:eastAsia="仿宋_GB2312" w:cs="仿宋"/>
          <w:bCs/>
          <w:color w:val="auto"/>
          <w:sz w:val="30"/>
          <w:szCs w:val="30"/>
          <w:highlight w:val="none"/>
          <w:lang w:eastAsia="zh-CN"/>
        </w:rPr>
        <w:t>落实好行政执法与刑事司法，依法从严惩处违法犯罪行为。</w:t>
      </w:r>
      <w:r>
        <w:rPr>
          <w:rFonts w:hint="eastAsia" w:eastAsia="仿宋_GB2312" w:cs="仿宋"/>
          <w:bCs/>
          <w:color w:val="auto"/>
          <w:sz w:val="30"/>
          <w:szCs w:val="30"/>
          <w:highlight w:val="none"/>
        </w:rPr>
        <w:t>推进源头综合治理，开展化肥农药使用量零增长行动。</w:t>
      </w:r>
      <w:r>
        <w:rPr>
          <w:rFonts w:hint="eastAsia" w:eastAsia="仿宋_GB2312" w:cs="仿宋"/>
          <w:color w:val="auto"/>
          <w:sz w:val="30"/>
          <w:szCs w:val="30"/>
          <w:highlight w:val="none"/>
        </w:rPr>
        <w:t>建立统一的食品生产经营许可信息公示系统，全面推行“明厨亮灶”，深入推进餐厨废弃物资源化利用和无害化处理。实行网格化监管，落实属地管理责任。落实互联网食品经营、网络订餐等新业态监管。完善政法部门和行政执法监管部门共同参与的协调机制，</w:t>
      </w:r>
      <w:r>
        <w:rPr>
          <w:rFonts w:hint="eastAsia" w:eastAsia="仿宋_GB2312" w:cs="仿宋"/>
          <w:bCs/>
          <w:color w:val="auto"/>
          <w:sz w:val="30"/>
          <w:szCs w:val="30"/>
          <w:highlight w:val="none"/>
        </w:rPr>
        <w:t>提升食品安全突发事件应对能力，</w:t>
      </w:r>
      <w:r>
        <w:rPr>
          <w:rFonts w:hint="eastAsia" w:eastAsia="仿宋_GB2312" w:cs="仿宋"/>
          <w:color w:val="auto"/>
          <w:sz w:val="30"/>
          <w:szCs w:val="30"/>
          <w:highlight w:val="none"/>
        </w:rPr>
        <w:t>加快形成社会共治格局</w:t>
      </w:r>
      <w:r>
        <w:rPr>
          <w:rFonts w:hint="eastAsia" w:eastAsia="仿宋_GB2312" w:cs="仿宋"/>
          <w:bCs/>
          <w:color w:val="auto"/>
          <w:sz w:val="30"/>
          <w:szCs w:val="30"/>
          <w:highlight w:val="none"/>
        </w:rPr>
        <w:t>。</w:t>
      </w:r>
      <w:r>
        <w:rPr>
          <w:rFonts w:hint="eastAsia" w:eastAsia="仿宋_GB2312" w:cs="仿宋"/>
          <w:bCs/>
          <w:color w:val="auto"/>
          <w:sz w:val="30"/>
          <w:szCs w:val="30"/>
          <w:highlight w:val="none"/>
          <w:lang w:eastAsia="zh-CN"/>
        </w:rPr>
        <w:t>到</w:t>
      </w:r>
      <w:r>
        <w:rPr>
          <w:rFonts w:hint="eastAsia" w:eastAsia="仿宋_GB2312" w:cs="仿宋"/>
          <w:bCs/>
          <w:color w:val="auto"/>
          <w:sz w:val="30"/>
          <w:szCs w:val="30"/>
          <w:highlight w:val="none"/>
          <w:lang w:val="en-US" w:eastAsia="zh-CN"/>
        </w:rPr>
        <w:t>2025年，初步建立基于风险分析和供应链管理的食品安全监管体系。食品抽检量稳定在4批次/4人以上，抽检合格率稳定在98%以上，食品安全保障和监管效能进一步提升，群众对食品的安全感、满意度进一步提高。</w:t>
      </w:r>
    </w:p>
    <w:p>
      <w:pPr>
        <w:keepNext w:val="0"/>
        <w:keepLines w:val="0"/>
        <w:pageBreakBefore w:val="0"/>
        <w:shd w:val="clear"/>
        <w:kinsoku/>
        <w:wordWrap/>
        <w:autoSpaceDE/>
        <w:autoSpaceDN/>
        <w:bidi w:val="0"/>
        <w:spacing w:line="560" w:lineRule="exact"/>
        <w:ind w:firstLine="602" w:firstLineChars="200"/>
        <w:textAlignment w:val="auto"/>
        <w:rPr>
          <w:rFonts w:hint="eastAsia" w:eastAsia="仿宋_GB2312" w:cs="仿宋"/>
          <w:color w:val="auto"/>
          <w:sz w:val="30"/>
          <w:szCs w:val="30"/>
          <w:highlight w:val="none"/>
          <w:lang w:eastAsia="zh-CN"/>
        </w:rPr>
      </w:pPr>
      <w:r>
        <w:rPr>
          <w:rFonts w:hint="eastAsia" w:eastAsia="仿宋_GB2312" w:cs="仿宋"/>
          <w:b/>
          <w:color w:val="auto"/>
          <w:sz w:val="30"/>
          <w:szCs w:val="30"/>
          <w:highlight w:val="none"/>
        </w:rPr>
        <w:t>落实药品安全保障。</w:t>
      </w:r>
      <w:r>
        <w:rPr>
          <w:rFonts w:hint="eastAsia" w:eastAsia="仿宋_GB2312" w:cs="仿宋"/>
          <w:color w:val="auto"/>
          <w:sz w:val="30"/>
          <w:szCs w:val="30"/>
          <w:highlight w:val="none"/>
        </w:rPr>
        <w:t>开展各类专项行动，加大违法行为查处力度，整治净化市场秩序，深入开展中药饮片整治和执业药师挂证专项整治。</w:t>
      </w:r>
      <w:r>
        <w:rPr>
          <w:rFonts w:hint="eastAsia" w:eastAsia="仿宋_GB2312" w:cs="仿宋"/>
          <w:color w:val="auto"/>
          <w:sz w:val="30"/>
          <w:szCs w:val="30"/>
          <w:highlight w:val="none"/>
          <w:lang w:eastAsia="zh-CN"/>
        </w:rPr>
        <w:t>加强</w:t>
      </w:r>
      <w:r>
        <w:rPr>
          <w:rFonts w:hint="eastAsia" w:eastAsia="仿宋_GB2312" w:cs="仿宋"/>
          <w:color w:val="auto"/>
          <w:sz w:val="30"/>
          <w:szCs w:val="30"/>
          <w:highlight w:val="none"/>
        </w:rPr>
        <w:t>药品监管</w:t>
      </w:r>
      <w:r>
        <w:rPr>
          <w:rFonts w:hint="eastAsia" w:eastAsia="仿宋_GB2312" w:cs="仿宋"/>
          <w:color w:val="auto"/>
          <w:sz w:val="30"/>
          <w:szCs w:val="30"/>
          <w:highlight w:val="none"/>
          <w:lang w:eastAsia="zh-CN"/>
        </w:rPr>
        <w:t>队伍建设</w:t>
      </w:r>
      <w:r>
        <w:rPr>
          <w:rFonts w:hint="eastAsia" w:eastAsia="仿宋_GB2312" w:cs="仿宋"/>
          <w:color w:val="auto"/>
          <w:sz w:val="30"/>
          <w:szCs w:val="30"/>
          <w:highlight w:val="none"/>
        </w:rPr>
        <w:t>，提升药品监管能力。督促企业落实药品安全主体责任，建立健全风险点台账，研究有针对性的化解措施。进一步加大高风险产品和特殊药品监管。</w:t>
      </w:r>
      <w:r>
        <w:rPr>
          <w:rFonts w:hint="eastAsia" w:eastAsia="仿宋_GB2312" w:cs="仿宋"/>
          <w:color w:val="auto"/>
          <w:sz w:val="30"/>
          <w:szCs w:val="30"/>
          <w:highlight w:val="none"/>
          <w:lang w:eastAsia="zh-CN"/>
        </w:rPr>
        <w:t>加强对“止咳、腹泻、清痰、退热”四类药品的实名销售监管。</w:t>
      </w:r>
      <w:r>
        <w:rPr>
          <w:rFonts w:hint="eastAsia" w:eastAsia="仿宋_GB2312" w:cs="仿宋"/>
          <w:color w:val="auto"/>
          <w:sz w:val="30"/>
          <w:szCs w:val="30"/>
          <w:highlight w:val="none"/>
        </w:rPr>
        <w:t>提升监管精准化智慧化水平</w:t>
      </w:r>
      <w:r>
        <w:rPr>
          <w:rFonts w:hint="eastAsia" w:eastAsia="仿宋_GB2312" w:cs="仿宋"/>
          <w:color w:val="auto"/>
          <w:sz w:val="30"/>
          <w:szCs w:val="30"/>
          <w:highlight w:val="none"/>
          <w:lang w:eastAsia="zh-CN"/>
        </w:rPr>
        <w:t>。</w:t>
      </w:r>
      <w:r>
        <w:rPr>
          <w:rFonts w:hint="eastAsia" w:eastAsia="仿宋_GB2312" w:cs="仿宋"/>
          <w:color w:val="auto"/>
          <w:sz w:val="30"/>
          <w:szCs w:val="30"/>
          <w:highlight w:val="none"/>
        </w:rPr>
        <w:t>加快推进“互联网</w:t>
      </w:r>
      <w:r>
        <w:rPr>
          <w:rFonts w:eastAsia="仿宋_GB2312" w:cs="仿宋"/>
          <w:color w:val="auto"/>
          <w:sz w:val="30"/>
          <w:szCs w:val="30"/>
          <w:highlight w:val="none"/>
        </w:rPr>
        <w:t>+</w:t>
      </w:r>
      <w:r>
        <w:rPr>
          <w:rFonts w:hint="eastAsia" w:eastAsia="仿宋_GB2312" w:cs="仿宋"/>
          <w:color w:val="auto"/>
          <w:sz w:val="30"/>
          <w:szCs w:val="30"/>
          <w:highlight w:val="none"/>
        </w:rPr>
        <w:t>药品安全监管”平台建设，探索推行药品生产和批发、零售生产经营活动在线监测，应用远程监控、可追溯监控等新技术监管手段，实现智慧监管新突破。</w:t>
      </w:r>
      <w:r>
        <w:rPr>
          <w:rFonts w:hint="eastAsia" w:eastAsia="仿宋_GB2312" w:cs="仿宋"/>
          <w:color w:val="auto"/>
          <w:sz w:val="30"/>
          <w:szCs w:val="30"/>
          <w:highlight w:val="none"/>
          <w:lang w:eastAsia="zh-CN"/>
        </w:rPr>
        <w:t>构建职业化专业化检查员队伍，对药品、医疗器械、化妆品监管监察全覆盖。</w:t>
      </w:r>
    </w:p>
    <w:p>
      <w:pPr>
        <w:keepNext w:val="0"/>
        <w:keepLines w:val="0"/>
        <w:pageBreakBefore w:val="0"/>
        <w:shd w:val="clear"/>
        <w:kinsoku/>
        <w:wordWrap/>
        <w:autoSpaceDE/>
        <w:autoSpaceDN/>
        <w:bidi w:val="0"/>
        <w:spacing w:line="560" w:lineRule="exact"/>
        <w:ind w:firstLine="602" w:firstLineChars="200"/>
        <w:textAlignment w:val="auto"/>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
          <w:color w:val="auto"/>
          <w:sz w:val="30"/>
          <w:szCs w:val="30"/>
          <w:highlight w:val="none"/>
          <w:lang w:eastAsia="zh-CN"/>
        </w:rPr>
        <w:t>守住</w:t>
      </w:r>
      <w:r>
        <w:rPr>
          <w:rFonts w:hint="eastAsia" w:ascii="仿宋_GB2312" w:hAnsi="仿宋_GB2312" w:eastAsia="仿宋_GB2312" w:cs="仿宋_GB2312"/>
          <w:b/>
          <w:color w:val="auto"/>
          <w:sz w:val="30"/>
          <w:szCs w:val="30"/>
          <w:highlight w:val="none"/>
        </w:rPr>
        <w:t>特种设备</w:t>
      </w:r>
      <w:r>
        <w:rPr>
          <w:rFonts w:hint="eastAsia" w:ascii="仿宋_GB2312" w:hAnsi="仿宋_GB2312" w:eastAsia="仿宋_GB2312" w:cs="仿宋_GB2312"/>
          <w:b/>
          <w:color w:val="auto"/>
          <w:sz w:val="30"/>
          <w:szCs w:val="30"/>
          <w:highlight w:val="none"/>
          <w:lang w:eastAsia="zh-CN"/>
        </w:rPr>
        <w:t>安全</w:t>
      </w:r>
      <w:r>
        <w:rPr>
          <w:rFonts w:hint="eastAsia" w:ascii="仿宋_GB2312" w:hAnsi="仿宋_GB2312" w:eastAsia="仿宋_GB2312" w:cs="仿宋_GB2312"/>
          <w:b/>
          <w:color w:val="auto"/>
          <w:sz w:val="30"/>
          <w:szCs w:val="30"/>
          <w:highlight w:val="none"/>
        </w:rPr>
        <w:t>监管</w:t>
      </w:r>
      <w:r>
        <w:rPr>
          <w:rFonts w:hint="eastAsia" w:ascii="仿宋_GB2312" w:hAnsi="仿宋_GB2312" w:eastAsia="仿宋_GB2312" w:cs="仿宋_GB2312"/>
          <w:b/>
          <w:color w:val="auto"/>
          <w:sz w:val="30"/>
          <w:szCs w:val="30"/>
          <w:highlight w:val="none"/>
          <w:lang w:eastAsia="zh-CN"/>
        </w:rPr>
        <w:t>底线</w:t>
      </w:r>
      <w:r>
        <w:rPr>
          <w:rFonts w:hint="eastAsia" w:ascii="仿宋_GB2312" w:hAnsi="仿宋_GB2312" w:eastAsia="仿宋_GB2312" w:cs="仿宋_GB2312"/>
          <w:b/>
          <w:color w:val="auto"/>
          <w:sz w:val="30"/>
          <w:szCs w:val="30"/>
          <w:highlight w:val="none"/>
        </w:rPr>
        <w:t>。</w:t>
      </w:r>
      <w:r>
        <w:rPr>
          <w:rFonts w:hint="eastAsia" w:ascii="仿宋_GB2312" w:hAnsi="仿宋_GB2312" w:eastAsia="仿宋_GB2312" w:cs="仿宋_GB2312"/>
          <w:bCs/>
          <w:color w:val="auto"/>
          <w:sz w:val="30"/>
          <w:szCs w:val="30"/>
          <w:highlight w:val="none"/>
          <w:lang w:eastAsia="zh-CN"/>
        </w:rPr>
        <w:t>严格落实特种设备使用单位、维护保养单位责任</w:t>
      </w:r>
      <w:r>
        <w:rPr>
          <w:rFonts w:hint="eastAsia" w:ascii="仿宋_GB2312" w:hAnsi="仿宋_GB2312" w:eastAsia="仿宋_GB2312" w:cs="仿宋_GB2312"/>
          <w:bCs/>
          <w:color w:val="auto"/>
          <w:sz w:val="30"/>
          <w:szCs w:val="30"/>
          <w:highlight w:val="none"/>
        </w:rPr>
        <w:t>，</w:t>
      </w:r>
      <w:r>
        <w:rPr>
          <w:rFonts w:hint="eastAsia" w:ascii="仿宋_GB2312" w:hAnsi="仿宋_GB2312" w:eastAsia="仿宋_GB2312" w:cs="仿宋_GB2312"/>
          <w:bCs/>
          <w:color w:val="auto"/>
          <w:sz w:val="30"/>
          <w:szCs w:val="30"/>
          <w:highlight w:val="none"/>
          <w:lang w:eastAsia="zh-CN"/>
        </w:rPr>
        <w:t>加强</w:t>
      </w:r>
      <w:r>
        <w:rPr>
          <w:rFonts w:hint="eastAsia" w:ascii="仿宋_GB2312" w:hAnsi="仿宋_GB2312" w:eastAsia="仿宋_GB2312" w:cs="仿宋_GB2312"/>
          <w:bCs/>
          <w:color w:val="auto"/>
          <w:sz w:val="30"/>
          <w:szCs w:val="30"/>
          <w:highlight w:val="none"/>
        </w:rPr>
        <w:t>特种设备安全监察、</w:t>
      </w:r>
      <w:r>
        <w:rPr>
          <w:rFonts w:hint="eastAsia" w:ascii="仿宋_GB2312" w:hAnsi="仿宋_GB2312" w:eastAsia="仿宋_GB2312" w:cs="仿宋_GB2312"/>
          <w:bCs/>
          <w:color w:val="auto"/>
          <w:sz w:val="30"/>
          <w:szCs w:val="30"/>
          <w:highlight w:val="none"/>
          <w:lang w:eastAsia="zh-CN"/>
        </w:rPr>
        <w:t>技术检查</w:t>
      </w:r>
      <w:r>
        <w:rPr>
          <w:rFonts w:hint="eastAsia" w:ascii="仿宋_GB2312" w:hAnsi="仿宋_GB2312" w:eastAsia="仿宋_GB2312" w:cs="仿宋_GB2312"/>
          <w:bCs/>
          <w:color w:val="auto"/>
          <w:sz w:val="30"/>
          <w:szCs w:val="30"/>
          <w:highlight w:val="none"/>
        </w:rPr>
        <w:t>、检验检测</w:t>
      </w:r>
      <w:r>
        <w:rPr>
          <w:rFonts w:hint="eastAsia" w:ascii="仿宋_GB2312" w:hAnsi="仿宋_GB2312" w:eastAsia="仿宋_GB2312" w:cs="仿宋_GB2312"/>
          <w:bCs/>
          <w:color w:val="auto"/>
          <w:sz w:val="30"/>
          <w:szCs w:val="30"/>
          <w:highlight w:val="none"/>
          <w:lang w:eastAsia="zh-CN"/>
        </w:rPr>
        <w:t>与行政执法</w:t>
      </w:r>
      <w:r>
        <w:rPr>
          <w:rFonts w:hint="eastAsia" w:ascii="仿宋_GB2312" w:hAnsi="仿宋_GB2312" w:eastAsia="仿宋_GB2312" w:cs="仿宋_GB2312"/>
          <w:bCs/>
          <w:color w:val="auto"/>
          <w:sz w:val="30"/>
          <w:szCs w:val="30"/>
          <w:highlight w:val="none"/>
        </w:rPr>
        <w:t>的互动合作机制。使用和维护好特种设备智能监管系统</w:t>
      </w:r>
      <w:r>
        <w:rPr>
          <w:rFonts w:hint="eastAsia" w:ascii="仿宋_GB2312" w:hAnsi="仿宋_GB2312" w:eastAsia="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rPr>
        <w:t>强化对电梯、</w:t>
      </w:r>
      <w:r>
        <w:rPr>
          <w:rFonts w:hint="eastAsia" w:ascii="仿宋_GB2312" w:hAnsi="仿宋_GB2312" w:eastAsia="仿宋_GB2312" w:cs="仿宋_GB2312"/>
          <w:bCs/>
          <w:color w:val="auto"/>
          <w:sz w:val="30"/>
          <w:szCs w:val="30"/>
          <w:highlight w:val="none"/>
          <w:lang w:eastAsia="zh-CN"/>
        </w:rPr>
        <w:t>锅炉、天然气管道、</w:t>
      </w:r>
      <w:r>
        <w:rPr>
          <w:rFonts w:hint="eastAsia" w:ascii="仿宋_GB2312" w:hAnsi="仿宋_GB2312" w:eastAsia="仿宋_GB2312" w:cs="仿宋_GB2312"/>
          <w:bCs/>
          <w:color w:val="auto"/>
          <w:sz w:val="30"/>
          <w:szCs w:val="30"/>
          <w:highlight w:val="none"/>
        </w:rPr>
        <w:t>气瓶、大型游乐设施、</w:t>
      </w:r>
      <w:r>
        <w:rPr>
          <w:rFonts w:hint="eastAsia" w:ascii="仿宋_GB2312" w:hAnsi="仿宋_GB2312" w:eastAsia="仿宋_GB2312" w:cs="仿宋_GB2312"/>
          <w:bCs/>
          <w:color w:val="auto"/>
          <w:sz w:val="30"/>
          <w:szCs w:val="30"/>
          <w:highlight w:val="none"/>
          <w:lang w:eastAsia="zh-CN"/>
        </w:rPr>
        <w:t>景区电瓶车、厂内叉车</w:t>
      </w:r>
      <w:r>
        <w:rPr>
          <w:rFonts w:hint="eastAsia" w:ascii="仿宋_GB2312" w:hAnsi="仿宋_GB2312" w:eastAsia="仿宋_GB2312" w:cs="仿宋_GB2312"/>
          <w:bCs/>
          <w:color w:val="auto"/>
          <w:sz w:val="30"/>
          <w:szCs w:val="30"/>
          <w:highlight w:val="none"/>
        </w:rPr>
        <w:t>特种设备使用单位</w:t>
      </w:r>
      <w:r>
        <w:rPr>
          <w:rFonts w:hint="eastAsia" w:ascii="仿宋_GB2312" w:hAnsi="仿宋_GB2312" w:eastAsia="仿宋_GB2312" w:cs="仿宋_GB2312"/>
          <w:bCs/>
          <w:color w:val="auto"/>
          <w:sz w:val="30"/>
          <w:szCs w:val="30"/>
          <w:highlight w:val="none"/>
          <w:lang w:eastAsia="zh-CN"/>
        </w:rPr>
        <w:t>的</w:t>
      </w:r>
      <w:r>
        <w:rPr>
          <w:rFonts w:hint="eastAsia" w:ascii="仿宋_GB2312" w:hAnsi="仿宋_GB2312" w:eastAsia="仿宋_GB2312" w:cs="仿宋_GB2312"/>
          <w:bCs/>
          <w:color w:val="auto"/>
          <w:sz w:val="30"/>
          <w:szCs w:val="30"/>
          <w:highlight w:val="none"/>
        </w:rPr>
        <w:t>重点监管。强化风险排查常态化制度建设，组织开展各类特种设备事故应急演练，检验应急专项预案，提高应急救援能力。</w:t>
      </w:r>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0" w:line="560" w:lineRule="exact"/>
        <w:ind w:firstLine="602" w:firstLineChars="200"/>
        <w:textAlignment w:val="auto"/>
        <w:rPr>
          <w:rFonts w:hint="default"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bCs/>
          <w:color w:val="auto"/>
          <w:kern w:val="2"/>
          <w:sz w:val="30"/>
          <w:szCs w:val="30"/>
          <w:highlight w:val="none"/>
          <w:lang w:val="zh-CN" w:eastAsia="zh-CN" w:bidi="ar-SA"/>
        </w:rPr>
        <w:t>加强质量安全监管。</w:t>
      </w:r>
      <w:r>
        <w:rPr>
          <w:rFonts w:hint="eastAsia" w:ascii="Times New Roman" w:hAnsi="Times New Roman" w:eastAsia="仿宋_GB2312" w:cs="Times New Roman"/>
          <w:b w:val="0"/>
          <w:bCs w:val="0"/>
          <w:color w:val="auto"/>
          <w:kern w:val="2"/>
          <w:sz w:val="30"/>
          <w:szCs w:val="30"/>
          <w:highlight w:val="none"/>
          <w:lang w:val="zh-CN" w:eastAsia="zh-CN" w:bidi="ar-SA"/>
        </w:rPr>
        <w:t>深入实施“质量强县”战略，建立“党委领导、政府主导、部门联合、企业主责、社会参与”的质量工作格局，构建“大质量”工作机制，强化质量工作考核，全面提升质量水平。依法加强产品质量监管，切实落实企业质量主体责任，有效治理质量突出问题，显著增强企业质量主体责任</w:t>
      </w:r>
      <w:r>
        <w:rPr>
          <w:rFonts w:hint="eastAsia" w:eastAsia="仿宋_GB2312" w:cs="Times New Roman"/>
          <w:b w:val="0"/>
          <w:bCs w:val="0"/>
          <w:color w:val="auto"/>
          <w:kern w:val="2"/>
          <w:sz w:val="30"/>
          <w:szCs w:val="30"/>
          <w:highlight w:val="none"/>
          <w:lang w:val="zh-CN" w:eastAsia="zh-CN" w:bidi="ar-SA"/>
        </w:rPr>
        <w:t>、</w:t>
      </w:r>
      <w:r>
        <w:rPr>
          <w:rFonts w:hint="eastAsia" w:ascii="Times New Roman" w:hAnsi="Times New Roman" w:eastAsia="仿宋_GB2312" w:cs="Times New Roman"/>
          <w:b w:val="0"/>
          <w:bCs w:val="0"/>
          <w:color w:val="auto"/>
          <w:kern w:val="2"/>
          <w:sz w:val="30"/>
          <w:szCs w:val="30"/>
          <w:highlight w:val="none"/>
          <w:lang w:val="zh-CN" w:eastAsia="zh-CN" w:bidi="ar-SA"/>
        </w:rPr>
        <w:t>管理能力。综合运用监督抽查、风险监测、专项整治等监管手段，全面开展产品质量安全隐患排查，加强市场流通领域产品质量监管溯源。加强水泥、危化品、地膜、化肥、滴灌带、电采暖等重点产品监督、抽查力度，严格依法处置。加强对工程质量、服务质量、环境质量的行业监管和社会共治。到</w:t>
      </w:r>
      <w:r>
        <w:rPr>
          <w:rFonts w:hint="eastAsia" w:ascii="Times New Roman" w:hAnsi="Times New Roman" w:eastAsia="仿宋_GB2312" w:cs="Times New Roman"/>
          <w:b w:val="0"/>
          <w:bCs w:val="0"/>
          <w:color w:val="auto"/>
          <w:kern w:val="2"/>
          <w:sz w:val="30"/>
          <w:szCs w:val="30"/>
          <w:highlight w:val="none"/>
          <w:lang w:val="en-US" w:eastAsia="zh-CN" w:bidi="ar-SA"/>
        </w:rPr>
        <w:t>2025年，全县产品、工程、服务和环境质量进一步提升，更好满足人民群众对美好生活的需求。</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推动网络和信息安全保障。</w:t>
      </w:r>
      <w:r>
        <w:rPr>
          <w:rFonts w:hint="eastAsia" w:eastAsia="仿宋_GB2312"/>
          <w:color w:val="auto"/>
          <w:sz w:val="30"/>
          <w:szCs w:val="30"/>
          <w:highlight w:val="none"/>
        </w:rPr>
        <w:t>构建以安全监管、网络治理、功能支撑、环境营造为主要内容的信息安全保障体系，确保基础信息网络和重要信息系统安全。加强数据资源安全保护，增强信息安全应急处置能力。</w:t>
      </w:r>
    </w:p>
    <w:p>
      <w:pPr>
        <w:keepNext w:val="0"/>
        <w:keepLines w:val="0"/>
        <w:pageBreakBefore w:val="0"/>
        <w:shd w:val="clear"/>
        <w:kinsoku/>
        <w:wordWrap/>
        <w:autoSpaceDE/>
        <w:autoSpaceDN/>
        <w:bidi w:val="0"/>
        <w:spacing w:line="560" w:lineRule="exact"/>
        <w:ind w:firstLine="602" w:firstLineChars="200"/>
        <w:textAlignment w:val="auto"/>
        <w:rPr>
          <w:rFonts w:eastAsia="仿宋_GB2312"/>
          <w:color w:val="auto"/>
          <w:sz w:val="30"/>
          <w:szCs w:val="30"/>
          <w:highlight w:val="none"/>
        </w:rPr>
      </w:pPr>
      <w:r>
        <w:rPr>
          <w:rFonts w:hint="eastAsia" w:eastAsia="仿宋_GB2312"/>
          <w:b/>
          <w:color w:val="auto"/>
          <w:sz w:val="30"/>
          <w:szCs w:val="30"/>
          <w:highlight w:val="none"/>
        </w:rPr>
        <w:t>加大安全宣传力度。</w:t>
      </w:r>
      <w:r>
        <w:rPr>
          <w:rFonts w:hint="eastAsia" w:eastAsia="仿宋_GB2312"/>
          <w:color w:val="auto"/>
          <w:sz w:val="30"/>
          <w:szCs w:val="30"/>
          <w:highlight w:val="none"/>
        </w:rPr>
        <w:t>推动安全宣传进农村、进社区、进企业、进学校、进家庭，加强公益宣传，普及安全知识，培育安全文化，开展常态化应急疏散演练，支持引导</w:t>
      </w:r>
      <w:r>
        <w:rPr>
          <w:rFonts w:hint="eastAsia" w:eastAsia="仿宋_GB2312"/>
          <w:color w:val="auto"/>
          <w:sz w:val="30"/>
          <w:szCs w:val="30"/>
          <w:highlight w:val="none"/>
          <w:lang w:eastAsia="zh-CN"/>
        </w:rPr>
        <w:t>群众</w:t>
      </w:r>
      <w:r>
        <w:rPr>
          <w:rFonts w:hint="eastAsia" w:eastAsia="仿宋_GB2312"/>
          <w:color w:val="auto"/>
          <w:sz w:val="30"/>
          <w:szCs w:val="30"/>
          <w:highlight w:val="none"/>
        </w:rPr>
        <w:t>开展风险隐患排查和治理，积极推进安全风险网格化管理，筑牢防灾减灾救灾的人民防线。</w:t>
      </w:r>
    </w:p>
    <w:p>
      <w:pPr>
        <w:pStyle w:val="18"/>
        <w:keepNext w:val="0"/>
        <w:keepLines w:val="0"/>
        <w:shd w:val="clear"/>
        <w:spacing w:beforeLines="50" w:afterLines="50"/>
        <w:rPr>
          <w:rFonts w:hint="eastAsia" w:ascii="Times New Roman" w:hAnsi="Times New Roman"/>
          <w:lang w:val="zh-CN" w:eastAsia="zh-CN"/>
        </w:rPr>
      </w:pPr>
      <w:bookmarkStart w:id="364" w:name="_Toc8665"/>
      <w:bookmarkStart w:id="365" w:name="_Toc19387"/>
      <w:bookmarkStart w:id="366" w:name="_Toc18287"/>
      <w:r>
        <w:rPr>
          <w:rFonts w:hint="eastAsia" w:ascii="Times New Roman" w:hAnsi="Times New Roman"/>
          <w:lang w:val="zh-CN" w:eastAsia="zh-CN"/>
        </w:rPr>
        <w:t>第</w:t>
      </w:r>
      <w:r>
        <w:rPr>
          <w:rFonts w:hint="eastAsia" w:ascii="Times New Roman" w:hAnsi="Times New Roman"/>
          <w:lang w:val="en-US" w:eastAsia="zh-CN"/>
        </w:rPr>
        <w:t>五</w:t>
      </w:r>
      <w:r>
        <w:rPr>
          <w:rFonts w:hint="eastAsia" w:ascii="Times New Roman" w:hAnsi="Times New Roman"/>
          <w:lang w:val="zh-CN" w:eastAsia="zh-CN"/>
        </w:rPr>
        <w:t>节</w:t>
      </w:r>
      <w:r>
        <w:rPr>
          <w:rFonts w:hint="eastAsia" w:ascii="Times New Roman" w:hAnsi="Times New Roman"/>
          <w:lang w:val="en-US" w:eastAsia="zh-CN"/>
        </w:rPr>
        <w:t xml:space="preserve">  </w:t>
      </w:r>
      <w:r>
        <w:rPr>
          <w:rFonts w:hint="eastAsia" w:ascii="Times New Roman" w:hAnsi="Times New Roman"/>
          <w:lang w:val="zh-CN" w:eastAsia="zh-CN"/>
        </w:rPr>
        <w:t>提升应急救援能力</w:t>
      </w:r>
      <w:bookmarkEnd w:id="364"/>
      <w:bookmarkEnd w:id="365"/>
      <w:bookmarkEnd w:id="366"/>
    </w:p>
    <w:p>
      <w:pPr>
        <w:pStyle w:val="14"/>
        <w:keepNext w:val="0"/>
        <w:keepLines w:val="0"/>
        <w:pageBreakBefore w:val="0"/>
        <w:widowControl w:val="0"/>
        <w:numPr>
          <w:ilvl w:val="0"/>
          <w:numId w:val="0"/>
        </w:numPr>
        <w:shd w:val="clear"/>
        <w:kinsoku/>
        <w:wordWrap/>
        <w:overflowPunct/>
        <w:topLinePunct w:val="0"/>
        <w:autoSpaceDE/>
        <w:autoSpaceDN/>
        <w:bidi w:val="0"/>
        <w:adjustRightInd/>
        <w:snapToGrid/>
        <w:spacing w:after="410" w:afterLines="100" w:line="560" w:lineRule="exact"/>
        <w:ind w:firstLine="600" w:firstLineChars="200"/>
        <w:textAlignment w:val="auto"/>
        <w:rPr>
          <w:rFonts w:hint="eastAsia" w:ascii="Times New Roman" w:hAnsi="Times New Roman" w:eastAsia="仿宋_GB2312" w:cs="Times New Roman"/>
          <w:b w:val="0"/>
          <w:bCs w:val="0"/>
          <w:color w:val="auto"/>
          <w:kern w:val="2"/>
          <w:sz w:val="30"/>
          <w:szCs w:val="30"/>
          <w:highlight w:val="none"/>
          <w:lang w:val="en-US" w:eastAsia="zh-CN" w:bidi="ar-SA"/>
        </w:rPr>
      </w:pPr>
      <w:r>
        <w:rPr>
          <w:rFonts w:hint="eastAsia" w:ascii="Times New Roman" w:hAnsi="Times New Roman" w:eastAsia="仿宋_GB2312" w:cs="Times New Roman"/>
          <w:b w:val="0"/>
          <w:bCs w:val="0"/>
          <w:color w:val="auto"/>
          <w:kern w:val="2"/>
          <w:sz w:val="30"/>
          <w:szCs w:val="30"/>
          <w:highlight w:val="none"/>
          <w:lang w:val="en-US" w:eastAsia="zh-CN" w:bidi="ar-SA"/>
        </w:rPr>
        <w:t>健全应急管理组织体系，加强应急指挥体系建设；完善应急预案体系，加强自然灾害、事故灾难、公共卫生事件、社会安全领域应急管理能力建设，完善应急管理体系和应急救援体系。加强应急救援队伍建设，着力建设一支专常兼备、反应灵敏、作风过硬、本领高强的应急救援队伍，不断增强应急实战能力。按照就近调配、快速行动、有序救援的原则建设应急救援中心，建立应急救援联动指挥平台，健全应急救援协调联动、资源共享联合处置机制。加强应急装备和应急配套设施建设，加大先进适用装备的配备力度，建立应急物资储备库和室内应急避难所，提高突发事件响应和处置能力。深入推进应急宣传教育工作，提高社会公众的危机意识和防范意识，组织开展应急救护技能培训和逃生避险演练，提升公众应急避险和自救互救技能。建立有效的信息披露机制，提升公众的信息辨别能力。以信息化推进应急管理现代化，提高监测预警能力、监管执法能力、辅助指挥决策能力、救援实战能力和社会动员能力。</w:t>
      </w:r>
      <w:bookmarkStart w:id="367" w:name="_Toc42268568"/>
      <w:bookmarkStart w:id="368" w:name="_Toc50028471"/>
      <w:r>
        <w:rPr>
          <w:rFonts w:hint="eastAsia" w:ascii="Times New Roman" w:hAnsi="Times New Roman" w:eastAsia="仿宋_GB2312" w:cs="Times New Roman"/>
          <w:b w:val="0"/>
          <w:bCs w:val="0"/>
          <w:color w:val="auto"/>
          <w:kern w:val="2"/>
          <w:sz w:val="30"/>
          <w:szCs w:val="30"/>
          <w:highlight w:val="none"/>
          <w:lang w:val="zh-CN" w:eastAsia="zh-CN" w:bidi="ar-SA"/>
        </w:rPr>
        <w:t>消防救援事业高质量发展，通过修编县城、工业园区消防专项规划，完成</w:t>
      </w:r>
      <w:r>
        <w:rPr>
          <w:rFonts w:hint="eastAsia" w:ascii="Times New Roman" w:hAnsi="Times New Roman" w:eastAsia="仿宋_GB2312" w:cs="Times New Roman"/>
          <w:b w:val="0"/>
          <w:bCs w:val="0"/>
          <w:color w:val="auto"/>
          <w:kern w:val="2"/>
          <w:sz w:val="30"/>
          <w:szCs w:val="30"/>
          <w:highlight w:val="none"/>
          <w:lang w:val="en-US" w:eastAsia="zh-CN" w:bidi="ar-SA"/>
        </w:rPr>
        <w:t>1个消防站建设、补建市政消火栓201个，新建消防水鹤6个并投入使用，</w:t>
      </w:r>
      <w:r>
        <w:rPr>
          <w:rFonts w:hint="eastAsia" w:ascii="Times New Roman" w:hAnsi="Times New Roman" w:eastAsia="仿宋_GB2312" w:cs="Times New Roman"/>
          <w:b w:val="0"/>
          <w:bCs w:val="0"/>
          <w:color w:val="auto"/>
          <w:kern w:val="2"/>
          <w:sz w:val="30"/>
          <w:szCs w:val="30"/>
          <w:highlight w:val="none"/>
          <w:lang w:val="zh-CN" w:eastAsia="zh-CN" w:bidi="ar-SA"/>
        </w:rPr>
        <w:t>全面强化公共消防设施建设。大力加强消防救援队伍建设，</w:t>
      </w:r>
      <w:r>
        <w:rPr>
          <w:rFonts w:hint="eastAsia" w:ascii="Times New Roman" w:hAnsi="Times New Roman" w:eastAsia="仿宋_GB2312" w:cs="Times New Roman"/>
          <w:b w:val="0"/>
          <w:bCs w:val="0"/>
          <w:color w:val="auto"/>
          <w:kern w:val="2"/>
          <w:sz w:val="30"/>
          <w:szCs w:val="30"/>
          <w:highlight w:val="none"/>
          <w:lang w:val="en-US" w:eastAsia="zh-CN" w:bidi="ar-SA"/>
        </w:rPr>
        <w:t>建精应急救</w:t>
      </w:r>
      <w:r>
        <w:rPr>
          <w:rFonts w:hint="eastAsia" w:eastAsia="仿宋_GB2312" w:cs="Times New Roman"/>
          <w:b w:val="0"/>
          <w:bCs w:val="0"/>
          <w:color w:val="auto"/>
          <w:kern w:val="2"/>
          <w:sz w:val="30"/>
          <w:szCs w:val="30"/>
          <w:highlight w:val="none"/>
          <w:lang w:val="en-US" w:eastAsia="zh-CN" w:bidi="ar-SA"/>
        </w:rPr>
        <w:t>援</w:t>
      </w:r>
      <w:r>
        <w:rPr>
          <w:rFonts w:hint="eastAsia" w:ascii="Times New Roman" w:hAnsi="Times New Roman" w:eastAsia="仿宋_GB2312" w:cs="Times New Roman"/>
          <w:b w:val="0"/>
          <w:bCs w:val="0"/>
          <w:color w:val="auto"/>
          <w:kern w:val="2"/>
          <w:sz w:val="30"/>
          <w:szCs w:val="30"/>
          <w:highlight w:val="none"/>
          <w:lang w:val="en-US" w:eastAsia="zh-CN" w:bidi="ar-SA"/>
        </w:rPr>
        <w:t>“尖刀”力量，建强多种形式的消防队员。加快优化消防车辆装备结构，推进消防车辆、装备器材转型升级。建设消防安全大数据平台，推进“智慧消防”建设应用，应急救援先遣组、前突队逐年陪汽配全超轻型卫星便携站、双光无人机、备用电源箱、聚合通信设备等关键通信装备，消防大队与应急通讯单位建设联动机制，定期组织联合通信保障演练，提升消防应急通信保障能力建设。不断提高消防经费保障标准。</w:t>
      </w:r>
    </w:p>
    <w:tbl>
      <w:tblPr>
        <w:tblStyle w:val="16"/>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8465" w:type="dxa"/>
            <w:vAlign w:val="top"/>
          </w:tcPr>
          <w:p>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专栏15：风险防控能力建设重点项目</w:t>
            </w:r>
          </w:p>
          <w:p>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楷体" w:hAnsi="楷体" w:eastAsia="楷体" w:cs="楷体"/>
                <w:b w:val="0"/>
                <w:bCs w:val="0"/>
                <w:color w:val="auto"/>
                <w:kern w:val="0"/>
                <w:sz w:val="28"/>
                <w:szCs w:val="28"/>
                <w:highlight w:val="none"/>
                <w:lang w:val="en-US" w:eastAsia="zh-CN" w:bidi="ar-SA"/>
              </w:rPr>
              <w:t>全面推进叶城县应急管理信息化平台建设项目、新建叶城县军民两用后勤物资储备中心；通用物资、医疗物资储备库（救灾物资储备库、公共卫生医疗物资储备库、应急救援队伍保障装备库等用房）及附属设施设备，占地面积6700平方米；全面推进智慧广电服务网络建设，完善应急广播体系；实施突发公共卫生事件应急处置建设项目，全面提升风险防控和应急处突能力。</w:t>
            </w:r>
          </w:p>
        </w:tc>
      </w:tr>
      <w:bookmarkEnd w:id="367"/>
      <w:bookmarkEnd w:id="368"/>
    </w:tbl>
    <w:p>
      <w:pPr>
        <w:pStyle w:val="3"/>
        <w:keepNext w:val="0"/>
        <w:keepLines w:val="0"/>
        <w:pageBreakBefore w:val="0"/>
        <w:widowControl w:val="0"/>
        <w:kinsoku/>
        <w:wordWrap/>
        <w:overflowPunct/>
        <w:topLinePunct w:val="0"/>
        <w:autoSpaceDE/>
        <w:autoSpaceDN/>
        <w:bidi w:val="0"/>
        <w:adjustRightInd/>
        <w:snapToGrid/>
        <w:spacing w:before="818" w:beforeLines="200" w:afterLines="100" w:line="560" w:lineRule="exact"/>
        <w:jc w:val="center"/>
        <w:textAlignment w:val="auto"/>
        <w:rPr>
          <w:rFonts w:hint="eastAsia" w:eastAsia="黑体"/>
          <w:b w:val="0"/>
          <w:bCs w:val="0"/>
          <w:sz w:val="30"/>
          <w:szCs w:val="30"/>
          <w:highlight w:val="none"/>
          <w:lang w:eastAsia="zh-CN"/>
        </w:rPr>
      </w:pPr>
      <w:bookmarkStart w:id="369" w:name="_Toc396"/>
      <w:bookmarkStart w:id="370" w:name="_Toc401"/>
      <w:bookmarkStart w:id="371" w:name="_Toc35429010"/>
      <w:bookmarkStart w:id="372" w:name="_Toc42268576"/>
      <w:bookmarkStart w:id="373" w:name="_Toc44430718"/>
      <w:r>
        <w:rPr>
          <w:rFonts w:hint="eastAsia" w:eastAsia="黑体"/>
          <w:b w:val="0"/>
          <w:bCs w:val="0"/>
          <w:sz w:val="30"/>
          <w:szCs w:val="30"/>
          <w:highlight w:val="none"/>
        </w:rPr>
        <w:t>第十</w:t>
      </w:r>
      <w:r>
        <w:rPr>
          <w:rFonts w:hint="eastAsia" w:eastAsia="黑体"/>
          <w:b w:val="0"/>
          <w:bCs w:val="0"/>
          <w:sz w:val="30"/>
          <w:szCs w:val="30"/>
          <w:highlight w:val="none"/>
          <w:lang w:val="en-US" w:eastAsia="zh-CN"/>
        </w:rPr>
        <w:t>九</w:t>
      </w:r>
      <w:r>
        <w:rPr>
          <w:rFonts w:hint="eastAsia" w:eastAsia="黑体"/>
          <w:b w:val="0"/>
          <w:bCs w:val="0"/>
          <w:sz w:val="30"/>
          <w:szCs w:val="30"/>
          <w:highlight w:val="none"/>
        </w:rPr>
        <w:t xml:space="preserve">章 </w:t>
      </w:r>
      <w:r>
        <w:rPr>
          <w:rFonts w:hint="eastAsia" w:eastAsia="黑体"/>
          <w:b w:val="0"/>
          <w:bCs w:val="0"/>
          <w:sz w:val="30"/>
          <w:szCs w:val="30"/>
          <w:highlight w:val="none"/>
          <w:lang w:val="en-US" w:eastAsia="zh-CN"/>
        </w:rPr>
        <w:t>切实加强党的领导，为</w:t>
      </w:r>
      <w:r>
        <w:rPr>
          <w:rFonts w:hint="eastAsia" w:eastAsia="黑体"/>
          <w:b w:val="0"/>
          <w:bCs w:val="0"/>
          <w:sz w:val="30"/>
          <w:szCs w:val="30"/>
          <w:highlight w:val="none"/>
        </w:rPr>
        <w:t>规划实施</w:t>
      </w:r>
      <w:r>
        <w:rPr>
          <w:rFonts w:hint="eastAsia" w:eastAsia="黑体"/>
          <w:b w:val="0"/>
          <w:bCs w:val="0"/>
          <w:sz w:val="30"/>
          <w:szCs w:val="30"/>
          <w:highlight w:val="none"/>
          <w:lang w:val="en-US" w:eastAsia="zh-CN"/>
        </w:rPr>
        <w:t>提供坚强</w:t>
      </w:r>
      <w:r>
        <w:rPr>
          <w:rFonts w:hint="eastAsia" w:eastAsia="黑体"/>
          <w:b w:val="0"/>
          <w:bCs w:val="0"/>
          <w:sz w:val="30"/>
          <w:szCs w:val="30"/>
          <w:highlight w:val="none"/>
        </w:rPr>
        <w:t>保</w:t>
      </w:r>
      <w:r>
        <w:rPr>
          <w:rFonts w:hint="eastAsia" w:eastAsia="黑体"/>
          <w:b w:val="0"/>
          <w:bCs w:val="0"/>
          <w:sz w:val="30"/>
          <w:szCs w:val="30"/>
          <w:highlight w:val="none"/>
          <w:lang w:val="en-US" w:eastAsia="zh-CN"/>
        </w:rPr>
        <w:t>证</w:t>
      </w:r>
      <w:bookmarkEnd w:id="369"/>
      <w:bookmarkEnd w:id="370"/>
    </w:p>
    <w:p>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sz w:val="30"/>
          <w:szCs w:val="30"/>
          <w:highlight w:val="none"/>
        </w:rPr>
      </w:pPr>
      <w:r>
        <w:rPr>
          <w:rFonts w:hint="eastAsia" w:eastAsia="仿宋_GB2312"/>
          <w:color w:val="auto"/>
          <w:sz w:val="30"/>
          <w:szCs w:val="30"/>
          <w:highlight w:val="none"/>
        </w:rPr>
        <w:t>深入贯彻新时代党的建设总要求，坚持和完善党的全面领导制度，充分发挥党委领导作用、广大干部示范带头作用、基层组织战斗堡垒作用、党员先锋模范作用，充分调动一切积极因素、广泛团结一切可以团结的力量，凝聚起实现“十四五”规划的强大合力。</w:t>
      </w:r>
    </w:p>
    <w:p>
      <w:pPr>
        <w:pStyle w:val="18"/>
        <w:keepNext w:val="0"/>
        <w:keepLines w:val="0"/>
        <w:spacing w:beforeLines="50" w:afterLines="50"/>
        <w:ind w:firstLine="0" w:firstLineChars="0"/>
        <w:rPr>
          <w:rFonts w:hint="default" w:ascii="Times New Roman" w:eastAsia="楷体"/>
          <w:highlight w:val="none"/>
          <w:lang w:val="en-US" w:eastAsia="zh-CN"/>
        </w:rPr>
      </w:pPr>
      <w:bookmarkStart w:id="374" w:name="_Toc29701"/>
      <w:bookmarkStart w:id="375" w:name="_Toc2005"/>
      <w:r>
        <w:rPr>
          <w:rFonts w:hint="eastAsia" w:ascii="Times New Roman" w:hAnsi="Times New Roman"/>
          <w:highlight w:val="none"/>
        </w:rPr>
        <w:t>第一节</w:t>
      </w:r>
      <w:r>
        <w:rPr>
          <w:rFonts w:ascii="Times New Roman" w:hAnsi="Times New Roman"/>
          <w:highlight w:val="none"/>
        </w:rPr>
        <w:t xml:space="preserve"> </w:t>
      </w:r>
      <w:r>
        <w:rPr>
          <w:rFonts w:hint="eastAsia" w:ascii="Times New Roman" w:hAnsi="Times New Roman"/>
          <w:highlight w:val="none"/>
          <w:lang w:val="en-US" w:eastAsia="zh-CN"/>
        </w:rPr>
        <w:t>坚持和加强党的全面领导</w:t>
      </w:r>
      <w:bookmarkEnd w:id="374"/>
      <w:bookmarkEnd w:id="375"/>
    </w:p>
    <w:p>
      <w:pPr>
        <w:spacing w:line="560" w:lineRule="exact"/>
        <w:ind w:firstLine="600" w:firstLineChars="200"/>
        <w:rPr>
          <w:rFonts w:eastAsia="仿宋_GB2312"/>
          <w:sz w:val="30"/>
          <w:szCs w:val="30"/>
          <w:highlight w:val="none"/>
        </w:rPr>
      </w:pPr>
      <w:r>
        <w:rPr>
          <w:rFonts w:hint="eastAsia" w:eastAsia="仿宋_GB2312"/>
          <w:sz w:val="30"/>
          <w:szCs w:val="30"/>
          <w:highlight w:val="none"/>
        </w:rPr>
        <w:t>把党的政治建设摆在首位，坚定不移用习近平新时代中国特色社会主义思想武装头脑，完整准确贯彻新时代党的治疆方略，</w:t>
      </w:r>
      <w:r>
        <w:rPr>
          <w:rFonts w:hint="eastAsia" w:eastAsia="仿宋_GB2312"/>
          <w:sz w:val="30"/>
          <w:szCs w:val="30"/>
          <w:highlight w:val="none"/>
          <w:lang w:val="en-US" w:eastAsia="zh-CN"/>
        </w:rPr>
        <w:t>增强</w:t>
      </w:r>
      <w:r>
        <w:rPr>
          <w:rFonts w:hint="eastAsia" w:eastAsia="仿宋_GB2312"/>
          <w:sz w:val="30"/>
          <w:szCs w:val="30"/>
          <w:highlight w:val="none"/>
        </w:rPr>
        <w:t>“四个意识”、坚定“四个自信”、做到“两个维护”，始终在思想上政治上行动上与以习近平同志为核心的党中央保持高度一致。充分发挥党委总揽全局、协调各方作用，提高把方向、谋大局、定政策、促改革的能力，形成上下贯通、执行有力的组织领导体系、贯彻落实体系。全面贯彻新时代党的组织路线，着眼适应时代要求配强领导班子，强化领导班子政治属性、政治功能，提高科学决策水平和政策执行力。坚持好干部标准和少数民族地区干部政治标准，坚持事业为上、以事择人、人岗相适，着力选拔培养一支理论功底扎实、政策把握到位、实践能力强的干部队伍，建设一支对党忠诚、德才兼备的高素质少数民族干部队伍。研究制定干部队伍培养培训规划，不断提升政治能力、调查研究能力、科学决策能力、改革攻坚能力、应急处突能力、群众工作能力、抓落实能力。坚持严管和厚爱相结合、严管和信任相统一，完善容错纠错机制，激励干部主动担当作为。完善人才工作体系，培养造就一批德才兼备的高素质人才。持续整顿软弱涣散基层党组织，优化干部下沉、包户住户、“访惠聚”驻村工作机制，选优配强第一书记、村“两委”班子、驻村工作力量，提升基层阵地建管用水平，保障工作经费，夯实基层基础。一以贯之推进全面从严治党，一体推进不敢腐、不能腐、不想腐，深入开展干部作风问题专项治理，推进纪律监督、监察监督、派驻监督、巡察监督贯通融合，保证干部清正、政府清廉、政治清明。</w:t>
      </w:r>
    </w:p>
    <w:p>
      <w:pPr>
        <w:pStyle w:val="18"/>
        <w:keepNext w:val="0"/>
        <w:keepLines w:val="0"/>
        <w:shd w:val="clear"/>
        <w:spacing w:beforeLines="50" w:afterLines="50"/>
        <w:rPr>
          <w:rFonts w:hint="eastAsia" w:ascii="Times New Roman" w:hAnsi="Times New Roman"/>
          <w:lang w:val="en-US" w:eastAsia="zh-CN"/>
        </w:rPr>
      </w:pPr>
      <w:bookmarkStart w:id="376" w:name="_Toc27836"/>
      <w:bookmarkStart w:id="377" w:name="_Toc28478"/>
      <w:r>
        <w:rPr>
          <w:rFonts w:hint="eastAsia" w:ascii="Times New Roman" w:hAnsi="Times New Roman"/>
          <w:lang w:val="en-US" w:eastAsia="zh-CN"/>
        </w:rPr>
        <w:t>第二节 做好规划的协调衔接</w:t>
      </w:r>
      <w:bookmarkEnd w:id="371"/>
      <w:bookmarkEnd w:id="372"/>
      <w:bookmarkEnd w:id="373"/>
      <w:bookmarkEnd w:id="376"/>
      <w:bookmarkEnd w:id="377"/>
    </w:p>
    <w:p>
      <w:pPr>
        <w:keepNext w:val="0"/>
        <w:keepLines w:val="0"/>
        <w:pageBreakBefore w:val="0"/>
        <w:shd w:val="clear"/>
        <w:kinsoku/>
        <w:wordWrap/>
        <w:autoSpaceDE/>
        <w:autoSpaceDN/>
        <w:bidi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充分发挥“十四五”规划的导向作用，有效衔接国土空间规划、产业发展规划，以及各类专项规划，促进空间布局、产业发展、功能配套等有效对接融合，统筹建立与自治区、喀什地区发展规划及区域发展总体规划相协调的规划体系。完善规划实施协调机制，进一步明确各部门职责分工，密切配合，紧盯规划发展重点和目标任务，统筹协调，有效地组织政府各部门、社会各方面，共同推进重大发展任务的落实、重要改革措施的实施和“十四五”总体目标的实现。积极发挥法律监督、行政监督、舆论监督和人大、政协、各基层组织以及社会公众在规划实施全过程中的监督作用，确保规划顺利实施。</w:t>
      </w:r>
    </w:p>
    <w:p>
      <w:pPr>
        <w:pStyle w:val="18"/>
        <w:keepNext w:val="0"/>
        <w:keepLines w:val="0"/>
        <w:shd w:val="clear"/>
        <w:spacing w:beforeLines="50" w:afterLines="50"/>
        <w:rPr>
          <w:rFonts w:hint="eastAsia" w:ascii="Times New Roman" w:hAnsi="Times New Roman"/>
          <w:lang w:val="en-US" w:eastAsia="zh-CN"/>
        </w:rPr>
      </w:pPr>
      <w:bookmarkStart w:id="378" w:name="_Toc35429011"/>
      <w:bookmarkStart w:id="379" w:name="_Toc44430719"/>
      <w:bookmarkStart w:id="380" w:name="_Toc42268577"/>
      <w:bookmarkStart w:id="381" w:name="_Toc21982"/>
      <w:bookmarkStart w:id="382" w:name="_Toc21690"/>
      <w:r>
        <w:rPr>
          <w:rFonts w:hint="eastAsia" w:ascii="Times New Roman" w:hAnsi="Times New Roman"/>
          <w:lang w:val="en-US" w:eastAsia="zh-CN"/>
        </w:rPr>
        <w:t>第三节</w:t>
      </w:r>
      <w:bookmarkEnd w:id="378"/>
      <w:bookmarkEnd w:id="379"/>
      <w:bookmarkEnd w:id="380"/>
      <w:bookmarkStart w:id="383" w:name="_Toc35429012"/>
      <w:bookmarkStart w:id="384" w:name="_Toc44430720"/>
      <w:bookmarkStart w:id="385" w:name="_Toc42268578"/>
      <w:r>
        <w:rPr>
          <w:rFonts w:hint="eastAsia" w:ascii="Times New Roman" w:hAnsi="Times New Roman"/>
          <w:lang w:val="en-US" w:eastAsia="zh-CN"/>
        </w:rPr>
        <w:t xml:space="preserve"> 严格规划的实施</w:t>
      </w:r>
      <w:bookmarkEnd w:id="383"/>
      <w:bookmarkEnd w:id="384"/>
      <w:bookmarkEnd w:id="385"/>
      <w:r>
        <w:rPr>
          <w:rFonts w:hint="eastAsia" w:ascii="Times New Roman" w:hAnsi="Times New Roman"/>
          <w:lang w:val="en-US" w:eastAsia="zh-CN"/>
        </w:rPr>
        <w:t>保障</w:t>
      </w:r>
      <w:bookmarkEnd w:id="381"/>
      <w:bookmarkEnd w:id="382"/>
    </w:p>
    <w:p>
      <w:pPr>
        <w:keepNext w:val="0"/>
        <w:keepLines w:val="0"/>
        <w:pageBreakBefore w:val="0"/>
        <w:shd w:val="clear"/>
        <w:kinsoku/>
        <w:wordWrap/>
        <w:autoSpaceDE/>
        <w:autoSpaceDN/>
        <w:bidi w:val="0"/>
        <w:snapToGrid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加强规划管理，维护规划的指导性、权威性和严肃性，完善工作机制，确保规划顺利实施。健全规划纲要指标体系统计和评价制度，确保数据全面准确、客观详实、科学合理。建立规划实施监测机制，科学设定监测目标，逐步建立规划实施动态监测体系，认真做好规划实施情况的定期分析总结，分解落实规划推进时序，提出具体实施办法和阶段任务。实施全程动态监督，及时提出确保规划顺利实施的对策建议。加强对约束性指标的监测预警和预期性指标的调控，解决发展中的突出矛盾和问题，增强政府指导和调节经济社会运行的针对性。注重精准化实施，充分发挥规划效益，确保规划执行、规划监督有序稳步推进。</w:t>
      </w:r>
    </w:p>
    <w:p>
      <w:pPr>
        <w:pStyle w:val="18"/>
        <w:keepNext w:val="0"/>
        <w:keepLines w:val="0"/>
        <w:shd w:val="clear"/>
        <w:spacing w:beforeLines="50" w:afterLines="50"/>
        <w:rPr>
          <w:rFonts w:hint="eastAsia" w:ascii="Times New Roman" w:hAnsi="Times New Roman"/>
          <w:lang w:val="en-US" w:eastAsia="zh-CN"/>
        </w:rPr>
      </w:pPr>
      <w:bookmarkStart w:id="386" w:name="_Toc44430721"/>
      <w:bookmarkStart w:id="387" w:name="_Toc42268579"/>
      <w:bookmarkStart w:id="388" w:name="_Toc35429013"/>
      <w:bookmarkStart w:id="389" w:name="_Toc2320"/>
      <w:bookmarkStart w:id="390" w:name="_Toc5668"/>
      <w:r>
        <w:rPr>
          <w:rFonts w:hint="eastAsia" w:ascii="Times New Roman" w:hAnsi="Times New Roman"/>
          <w:lang w:val="en-US" w:eastAsia="zh-CN"/>
        </w:rPr>
        <w:t xml:space="preserve">第四节 </w:t>
      </w:r>
      <w:bookmarkEnd w:id="386"/>
      <w:bookmarkEnd w:id="387"/>
      <w:bookmarkEnd w:id="388"/>
      <w:r>
        <w:rPr>
          <w:rFonts w:hint="eastAsia" w:ascii="Times New Roman" w:hAnsi="Times New Roman"/>
          <w:lang w:val="en-US" w:eastAsia="zh-CN"/>
        </w:rPr>
        <w:t>规范规划的评估调整</w:t>
      </w:r>
      <w:bookmarkEnd w:id="389"/>
      <w:bookmarkEnd w:id="390"/>
    </w:p>
    <w:p>
      <w:pPr>
        <w:keepNext w:val="0"/>
        <w:keepLines w:val="0"/>
        <w:pageBreakBefore w:val="0"/>
        <w:widowControl w:val="0"/>
        <w:shd w:val="clear"/>
        <w:kinsoku/>
        <w:wordWrap/>
        <w:overflowPunct/>
        <w:topLinePunct w:val="0"/>
        <w:autoSpaceDE/>
        <w:autoSpaceDN/>
        <w:bidi w:val="0"/>
        <w:adjustRightInd/>
        <w:snapToGrid w:val="0"/>
        <w:spacing w:line="560" w:lineRule="exact"/>
        <w:ind w:firstLine="600" w:firstLineChars="200"/>
        <w:textAlignment w:val="auto"/>
        <w:rPr>
          <w:rFonts w:eastAsia="仿宋_GB2312"/>
          <w:color w:val="auto"/>
          <w:sz w:val="30"/>
          <w:szCs w:val="30"/>
          <w:highlight w:val="none"/>
        </w:rPr>
      </w:pPr>
      <w:r>
        <w:rPr>
          <w:rFonts w:hint="eastAsia" w:eastAsia="仿宋_GB2312"/>
          <w:color w:val="auto"/>
          <w:sz w:val="30"/>
          <w:szCs w:val="30"/>
          <w:highlight w:val="none"/>
        </w:rPr>
        <w:t>加强对本规划实施的组织、协调和督导。开展规划实施情况动态监测和评估工作，把监测评估结果作为改进政府工作和绩效考核的重要依据，并依法向叶城县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w:t>
      </w:r>
      <w:r>
        <w:rPr>
          <w:rFonts w:hint="eastAsia" w:eastAsia="仿宋_GB2312"/>
          <w:color w:val="auto"/>
          <w:sz w:val="30"/>
          <w:szCs w:val="30"/>
          <w:highlight w:val="none"/>
          <w:lang w:val="en-US" w:eastAsia="zh-CN"/>
        </w:rPr>
        <w:t>的</w:t>
      </w:r>
      <w:r>
        <w:rPr>
          <w:rFonts w:hint="eastAsia" w:eastAsia="仿宋_GB2312"/>
          <w:color w:val="auto"/>
          <w:sz w:val="30"/>
          <w:szCs w:val="30"/>
          <w:highlight w:val="none"/>
        </w:rPr>
        <w:t>准备。需要对本规划进行调整时，县政府应及时提出调整方案，报告人大常委会审议批准后，认真组织实施，确保规划目标顺利实现。</w:t>
      </w:r>
    </w:p>
    <w:p>
      <w:pPr>
        <w:keepNext w:val="0"/>
        <w:keepLines w:val="0"/>
        <w:pageBreakBefore w:val="0"/>
        <w:widowControl w:val="0"/>
        <w:shd w:val="clear"/>
        <w:kinsoku/>
        <w:wordWrap/>
        <w:overflowPunct/>
        <w:topLinePunct w:val="0"/>
        <w:autoSpaceDE/>
        <w:autoSpaceDN/>
        <w:bidi w:val="0"/>
        <w:adjustRightInd/>
        <w:snapToGrid w:val="0"/>
        <w:spacing w:line="560" w:lineRule="exact"/>
        <w:ind w:firstLine="600" w:firstLineChars="200"/>
        <w:textAlignment w:val="auto"/>
        <w:rPr>
          <w:rFonts w:hint="eastAsia" w:eastAsia="仿宋_GB2312"/>
          <w:color w:val="auto"/>
          <w:sz w:val="30"/>
          <w:szCs w:val="30"/>
          <w:highlight w:val="none"/>
        </w:rPr>
      </w:pPr>
    </w:p>
    <w:p/>
    <w:sectPr>
      <w:footerReference r:id="rId5" w:type="default"/>
      <w:pgSz w:w="11907" w:h="16838"/>
      <w:pgMar w:top="1383" w:right="1797" w:bottom="1383" w:left="1797" w:header="851" w:footer="992" w:gutter="0"/>
      <w:pgBorders>
        <w:top w:val="none" w:sz="0" w:space="0"/>
        <w:left w:val="none" w:sz="0" w:space="0"/>
        <w:bottom w:val="none" w:sz="0" w:space="0"/>
        <w:right w:val="none" w:sz="0" w:space="0"/>
      </w:pgBorders>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737A"/>
    <w:rsid w:val="03FC1302"/>
    <w:rsid w:val="05D81651"/>
    <w:rsid w:val="13B83EC6"/>
    <w:rsid w:val="174240D6"/>
    <w:rsid w:val="2B7C50DF"/>
    <w:rsid w:val="33AB68DB"/>
    <w:rsid w:val="34CC75FA"/>
    <w:rsid w:val="4AA62BA9"/>
    <w:rsid w:val="51837E63"/>
    <w:rsid w:val="52AF1740"/>
    <w:rsid w:val="58A04017"/>
    <w:rsid w:val="5C175825"/>
    <w:rsid w:val="65496B4A"/>
    <w:rsid w:val="6B1B737A"/>
    <w:rsid w:val="6C700B11"/>
    <w:rsid w:val="6EE94B84"/>
    <w:rsid w:val="7AB274F8"/>
    <w:rsid w:val="7CD42589"/>
    <w:rsid w:val="7DE1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6"/>
    <w:next w:val="7"/>
    <w:unhideWhenUsed/>
    <w:qFormat/>
    <w:uiPriority w:val="99"/>
    <w:pPr>
      <w:spacing w:after="120"/>
    </w:pPr>
  </w:style>
  <w:style w:type="paragraph" w:styleId="6">
    <w:name w:val="table of figures"/>
    <w:basedOn w:val="1"/>
    <w:next w:val="1"/>
    <w:qFormat/>
    <w:uiPriority w:val="0"/>
    <w:pPr>
      <w:ind w:left="200" w:leftChars="200" w:hanging="200" w:hangingChars="200"/>
    </w:pPr>
  </w:style>
  <w:style w:type="paragraph" w:styleId="7">
    <w:name w:val="Body Text First Indent"/>
    <w:basedOn w:val="5"/>
    <w:qFormat/>
    <w:uiPriority w:val="0"/>
    <w:pPr>
      <w:spacing w:after="0"/>
      <w:ind w:left="923" w:firstLine="420" w:firstLineChars="100"/>
    </w:pPr>
    <w:rPr>
      <w:rFonts w:ascii="Arial Unicode MS" w:hAnsi="Arial Unicode MS"/>
      <w:sz w:val="30"/>
      <w:lang w:val="zh-CN" w:bidi="zh-CN"/>
    </w:rPr>
  </w:style>
  <w:style w:type="paragraph" w:styleId="8">
    <w:name w:val="Body Text Indent"/>
    <w:basedOn w:val="1"/>
    <w:next w:val="5"/>
    <w:unhideWhenUsed/>
    <w:qFormat/>
    <w:uiPriority w:val="99"/>
    <w:pPr>
      <w:spacing w:after="120"/>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Theme="minorHAnsi" w:hAnsiTheme="minorHAnsi"/>
      <w:b/>
      <w:bCs/>
      <w:caps/>
      <w:sz w:val="20"/>
      <w:szCs w:val="20"/>
    </w:rPr>
  </w:style>
  <w:style w:type="paragraph" w:styleId="12">
    <w:name w:val="toc 2"/>
    <w:basedOn w:val="1"/>
    <w:next w:val="1"/>
    <w:qFormat/>
    <w:uiPriority w:val="39"/>
    <w:pPr>
      <w:ind w:left="210"/>
      <w:jc w:val="left"/>
    </w:pPr>
    <w:rPr>
      <w:rFonts w:asciiTheme="minorHAnsi" w:hAnsiTheme="minorHAnsi"/>
      <w:smallCaps/>
      <w:sz w:val="20"/>
      <w:szCs w:val="20"/>
    </w:rPr>
  </w:style>
  <w:style w:type="paragraph" w:styleId="13">
    <w:name w:val="Normal (Web)"/>
    <w:basedOn w:val="1"/>
    <w:qFormat/>
    <w:uiPriority w:val="99"/>
    <w:pPr>
      <w:spacing w:beforeAutospacing="1" w:afterAutospacing="1"/>
      <w:jc w:val="left"/>
    </w:pPr>
    <w:rPr>
      <w:rFonts w:ascii="Calibri" w:hAnsi="Calibri"/>
      <w:kern w:val="0"/>
      <w:sz w:val="24"/>
    </w:rPr>
  </w:style>
  <w:style w:type="paragraph" w:styleId="14">
    <w:name w:val="Body Text First Indent 2"/>
    <w:basedOn w:val="8"/>
    <w:next w:val="7"/>
    <w:unhideWhenUsed/>
    <w:qFormat/>
    <w:uiPriority w:val="99"/>
    <w:pPr>
      <w:ind w:firstLine="420" w:firstLineChars="200"/>
    </w:p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2"/>
    <w:basedOn w:val="4"/>
    <w:next w:val="13"/>
    <w:qFormat/>
    <w:uiPriority w:val="0"/>
    <w:pPr>
      <w:spacing w:beforeLines="100" w:afterLines="100" w:line="560" w:lineRule="exact"/>
      <w:jc w:val="center"/>
    </w:pPr>
    <w:rPr>
      <w:rFonts w:ascii="楷体" w:hAnsi="楷体" w:eastAsia="楷体"/>
      <w:sz w:val="30"/>
      <w:szCs w:val="30"/>
    </w:rPr>
  </w:style>
  <w:style w:type="paragraph" w:customStyle="1" w:styleId="19">
    <w:name w:val="文章"/>
    <w:basedOn w:val="1"/>
    <w:qFormat/>
    <w:uiPriority w:val="0"/>
    <w:pPr>
      <w:spacing w:line="360" w:lineRule="auto"/>
      <w:ind w:firstLine="200" w:firstLineChars="200"/>
    </w:pPr>
    <w:rPr>
      <w:sz w:val="28"/>
    </w:rPr>
  </w:style>
  <w:style w:type="paragraph" w:customStyle="1" w:styleId="20">
    <w:name w:val="十三五"/>
    <w:basedOn w:val="1"/>
    <w:qFormat/>
    <w:uiPriority w:val="99"/>
    <w:pPr>
      <w:spacing w:line="560" w:lineRule="exact"/>
      <w:ind w:firstLine="640" w:firstLineChars="200"/>
    </w:pPr>
    <w:rPr>
      <w:rFonts w:eastAsia="仿宋_GB2312"/>
      <w:color w:val="000000"/>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2022-01-05T11:13:00Z</dcterms:created>
  <dc:creator>Administrator</dc:creator>
  <cp:lastModifiedBy>Administrator</cp:lastModifiedBy>
  <dcterms:modified xsi:type="dcterms:W3CDTF">2023-10-08T08:12:54Z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