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p>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宋体"/>
          <w:color w:val="auto"/>
          <w:sz w:val="44"/>
          <w:lang w:val="en-US" w:eastAsia="zh-CN"/>
        </w:rPr>
      </w:pPr>
      <w:r>
        <w:rPr>
          <w:rFonts w:hint="eastAsia" w:ascii="仿宋_GB2312" w:hAnsi="仿宋_GB2312" w:eastAsia="宋体"/>
          <w:color w:val="auto"/>
          <w:sz w:val="44"/>
          <w:lang w:val="en-US" w:eastAsia="zh-CN"/>
        </w:rPr>
        <w:t>新疆维吾尔自治区大型工程机械设备和</w:t>
      </w:r>
    </w:p>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olor w:val="auto"/>
          <w:sz w:val="32"/>
          <w:lang w:val="en-US" w:eastAsia="zh-CN"/>
        </w:rPr>
      </w:pPr>
      <w:r>
        <w:rPr>
          <w:rFonts w:hint="eastAsia" w:ascii="仿宋_GB2312" w:hAnsi="仿宋_GB2312" w:eastAsia="宋体"/>
          <w:color w:val="auto"/>
          <w:sz w:val="44"/>
          <w:lang w:val="en-US" w:eastAsia="zh-CN"/>
        </w:rPr>
        <w:t>车辆安全监督管理办法</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楷体_GB2312"/>
          <w:color w:val="auto"/>
          <w:sz w:val="32"/>
          <w:lang w:val="en-US" w:eastAsia="zh-CN"/>
        </w:rPr>
      </w:pPr>
      <w:r>
        <w:rPr>
          <w:rFonts w:hint="eastAsia" w:ascii="仿宋_GB2312" w:hAnsi="仿宋_GB2312" w:eastAsia="楷体_GB2312"/>
          <w:color w:val="auto"/>
          <w:sz w:val="32"/>
          <w:lang w:val="en-US" w:eastAsia="zh-CN"/>
        </w:rPr>
        <w:t>（2017年5月25日自治区人民政府令第204号发布</w:t>
      </w:r>
      <w:r>
        <w:rPr>
          <w:rFonts w:hint="default" w:ascii="仿宋_GB2312" w:hAnsi="仿宋_GB2312" w:eastAsia="楷体_GB2312"/>
          <w:color w:val="auto"/>
          <w:sz w:val="32"/>
          <w:lang w:val="en" w:eastAsia="zh-CN"/>
        </w:rPr>
        <w:t xml:space="preserve">    </w:t>
      </w:r>
      <w:r>
        <w:rPr>
          <w:rFonts w:hint="eastAsia" w:ascii="仿宋_GB2312" w:hAnsi="仿宋_GB2312" w:eastAsia="楷体_GB2312"/>
          <w:color w:val="auto"/>
          <w:sz w:val="32"/>
          <w:lang w:val="en" w:eastAsia="zh-CN"/>
        </w:rPr>
        <w:t>自</w:t>
      </w:r>
      <w:r>
        <w:rPr>
          <w:rFonts w:hint="eastAsia" w:ascii="仿宋_GB2312" w:hAnsi="仿宋_GB2312" w:eastAsia="楷体_GB2312"/>
          <w:color w:val="auto"/>
          <w:sz w:val="32"/>
          <w:lang w:val="en-US" w:eastAsia="zh-CN"/>
        </w:rPr>
        <w:t>2017年7月1日起实施）</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default" w:ascii="仿宋_GB2312" w:hAnsi="仿宋_GB2312" w:eastAsia="黑体"/>
          <w:color w:val="auto"/>
          <w:sz w:val="32"/>
          <w:lang w:val="en" w:eastAsia="zh-CN"/>
        </w:rPr>
        <w:t>第一条　</w:t>
      </w:r>
      <w:r>
        <w:rPr>
          <w:rFonts w:hint="eastAsia" w:ascii="仿宋_GB2312" w:hAnsi="仿宋_GB2312" w:eastAsia="仿宋_GB2312"/>
          <w:color w:val="auto"/>
          <w:sz w:val="32"/>
          <w:lang w:val="en-US" w:eastAsia="zh-CN"/>
        </w:rPr>
        <w:t>为了加强大型工程机械设备和车辆安全监督管理工作，预防和减少事故，保障人民群众生命财产安全和公共安全，根据《中华人民共和国道路交通安全法》《中华人民共和国行政许可法》《中华人民共和国行政处罚法》等有关法律法规，结合自治区实际，制定本办法。</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default" w:ascii="仿宋_GB2312" w:hAnsi="仿宋_GB2312" w:eastAsia="黑体"/>
          <w:color w:val="auto"/>
          <w:sz w:val="32"/>
          <w:lang w:val="en" w:eastAsia="zh-CN"/>
        </w:rPr>
        <w:t>第二条　</w:t>
      </w:r>
      <w:r>
        <w:rPr>
          <w:rFonts w:hint="eastAsia" w:ascii="仿宋_GB2312" w:hAnsi="仿宋_GB2312" w:eastAsia="仿宋_GB2312"/>
          <w:color w:val="auto"/>
          <w:sz w:val="32"/>
          <w:lang w:val="en-US" w:eastAsia="zh-CN"/>
        </w:rPr>
        <w:t>在自治区行政区域内从事大型工程机械设备和车辆的生产、销售、使用及其监督管理等活动，适用本办法。</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eastAsia" w:ascii="仿宋_GB2312" w:hAnsi="仿宋_GB2312" w:eastAsia="仿宋_GB2312"/>
          <w:color w:val="auto"/>
          <w:sz w:val="32"/>
          <w:lang w:val="en-US" w:eastAsia="zh-CN"/>
        </w:rPr>
        <w:t>法律、法规对大型车辆的登记、检验、驾驶证的申领和使用另有规定的，从其规定。</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default" w:ascii="仿宋_GB2312" w:hAnsi="仿宋_GB2312" w:eastAsia="黑体"/>
          <w:color w:val="auto"/>
          <w:sz w:val="32"/>
          <w:lang w:val="en" w:eastAsia="zh-CN"/>
        </w:rPr>
        <w:t>第三条　</w:t>
      </w:r>
      <w:r>
        <w:rPr>
          <w:rFonts w:hint="eastAsia" w:ascii="仿宋_GB2312" w:hAnsi="仿宋_GB2312" w:eastAsia="仿宋_GB2312"/>
          <w:color w:val="auto"/>
          <w:sz w:val="32"/>
          <w:lang w:val="en-US" w:eastAsia="zh-CN"/>
        </w:rPr>
        <w:t>本办法所称的大型工程机械设备包括挖掘机、推土机、装载机、铲运机等工程机械设备；大型车辆包括重型载货汽车、混凝土搅拌运输车等车辆。</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default" w:ascii="仿宋_GB2312" w:hAnsi="仿宋_GB2312" w:eastAsia="黑体"/>
          <w:color w:val="auto"/>
          <w:sz w:val="32"/>
          <w:lang w:val="en" w:eastAsia="zh-CN"/>
        </w:rPr>
        <w:t>第四条　</w:t>
      </w:r>
      <w:r>
        <w:rPr>
          <w:rFonts w:hint="eastAsia" w:ascii="仿宋_GB2312" w:hAnsi="仿宋_GB2312" w:eastAsia="仿宋_GB2312"/>
          <w:color w:val="auto"/>
          <w:sz w:val="32"/>
          <w:lang w:val="en-US" w:eastAsia="zh-CN"/>
        </w:rPr>
        <w:t>各级人民政府应当加强大型工程机械设备和车辆安全监督管理工作的领导，对大型工程机械设备和车辆实行定位管制，落实安全监督管理责任，并将落实情况纳入综治维稳考核体系。</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eastAsia" w:ascii="仿宋_GB2312" w:hAnsi="仿宋_GB2312" w:eastAsia="仿宋_GB2312"/>
          <w:color w:val="auto"/>
          <w:sz w:val="32"/>
          <w:lang w:val="en-US" w:eastAsia="zh-CN"/>
        </w:rPr>
        <w:t>大型工程机械设备和车辆安全监督管理工作所需经费，列入各级财政预算。</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default" w:ascii="仿宋_GB2312" w:hAnsi="仿宋_GB2312" w:eastAsia="黑体"/>
          <w:color w:val="auto"/>
          <w:sz w:val="32"/>
          <w:lang w:val="en" w:eastAsia="zh-CN"/>
        </w:rPr>
        <w:t>第五条　</w:t>
      </w:r>
      <w:r>
        <w:rPr>
          <w:rFonts w:hint="eastAsia" w:ascii="仿宋_GB2312" w:hAnsi="仿宋_GB2312" w:eastAsia="仿宋_GB2312"/>
          <w:color w:val="auto"/>
          <w:sz w:val="32"/>
          <w:lang w:val="en-US" w:eastAsia="zh-CN"/>
        </w:rPr>
        <w:t>县级以上人民政府农业机械主管部门负责本行政区域内大型工程机械设备安全监督管理工作，具体工作由其所属的农业机械安全监理机构（以下简称农机监理机构）负责实施；公安机关负责大型车辆的安全监督管理工作。</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eastAsia" w:ascii="仿宋_GB2312" w:hAnsi="仿宋_GB2312" w:eastAsia="仿宋_GB2312"/>
          <w:color w:val="auto"/>
          <w:sz w:val="32"/>
          <w:lang w:val="en-US" w:eastAsia="zh-CN"/>
        </w:rPr>
        <w:t>安全生产监督、质量技术监督、交通运输、住房和城乡建设、商务、水利、林业等有关主管部门按照各自职责，负责大型工程机械设备和车辆安全相关的监督管理工作。</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default" w:ascii="仿宋_GB2312" w:hAnsi="仿宋_GB2312" w:eastAsia="黑体"/>
          <w:color w:val="auto"/>
          <w:sz w:val="32"/>
          <w:lang w:val="en" w:eastAsia="zh-CN"/>
        </w:rPr>
        <w:t>第六条　</w:t>
      </w:r>
      <w:r>
        <w:rPr>
          <w:rFonts w:hint="eastAsia" w:ascii="仿宋_GB2312" w:hAnsi="仿宋_GB2312" w:eastAsia="仿宋_GB2312"/>
          <w:color w:val="auto"/>
          <w:sz w:val="32"/>
          <w:lang w:val="en-US" w:eastAsia="zh-CN"/>
        </w:rPr>
        <w:t>街道办事处、开发区（园区）管理机构应当加强大型工程机械设备和车辆安全状况的监督检查，协助农机监理机构、公安机关履行大型工程机械设备和车辆的安全监督管理职责。</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default" w:ascii="仿宋_GB2312" w:hAnsi="仿宋_GB2312" w:eastAsia="黑体"/>
          <w:color w:val="auto"/>
          <w:sz w:val="32"/>
          <w:lang w:val="en" w:eastAsia="zh-CN"/>
        </w:rPr>
        <w:t>第七条　</w:t>
      </w:r>
      <w:r>
        <w:rPr>
          <w:rFonts w:hint="eastAsia" w:ascii="仿宋_GB2312" w:hAnsi="仿宋_GB2312" w:eastAsia="仿宋_GB2312"/>
          <w:color w:val="auto"/>
          <w:sz w:val="32"/>
          <w:lang w:val="en-US" w:eastAsia="zh-CN"/>
        </w:rPr>
        <w:t>自治区农业机械主管部门、公安机关负责全区大型工程机械设备和车辆定位管制系统建设及应用的指导、协调和监督。</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eastAsia" w:ascii="仿宋_GB2312" w:hAnsi="仿宋_GB2312" w:eastAsia="仿宋_GB2312"/>
          <w:color w:val="auto"/>
          <w:sz w:val="32"/>
          <w:lang w:val="en-US" w:eastAsia="zh-CN"/>
        </w:rPr>
        <w:t>州、市（地）农业机械主管部门、公安机关负责本行政区域内大型工程机械设备和车辆定位管制系统的具体应用和实施。</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eastAsia" w:ascii="仿宋_GB2312" w:hAnsi="仿宋_GB2312" w:eastAsia="仿宋_GB2312"/>
          <w:color w:val="auto"/>
          <w:sz w:val="32"/>
          <w:lang w:val="en-US" w:eastAsia="zh-CN"/>
        </w:rPr>
        <w:t>县（市）农业机械主管部门、公安机关设立大型工程机械设备和车辆定位管制平台，对本行政区域内大型工程机械设备和车辆及驾驶人员进行实时监督。</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eastAsia" w:ascii="仿宋_GB2312" w:hAnsi="仿宋_GB2312" w:eastAsia="仿宋_GB2312"/>
          <w:color w:val="auto"/>
          <w:sz w:val="32"/>
          <w:lang w:val="en-US" w:eastAsia="zh-CN"/>
        </w:rPr>
        <w:t>自治区有关主管部门应当运用大型工程机械设备和车辆定位管制系统，对本行业大型工程机械设备和车辆进行实时监督。</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default" w:ascii="仿宋_GB2312" w:hAnsi="仿宋_GB2312" w:eastAsia="黑体"/>
          <w:color w:val="auto"/>
          <w:sz w:val="32"/>
          <w:lang w:val="en" w:eastAsia="zh-CN"/>
        </w:rPr>
        <w:t>第八条　</w:t>
      </w:r>
      <w:r>
        <w:rPr>
          <w:rFonts w:hint="eastAsia" w:ascii="仿宋_GB2312" w:hAnsi="仿宋_GB2312" w:eastAsia="仿宋_GB2312"/>
          <w:color w:val="auto"/>
          <w:sz w:val="32"/>
          <w:lang w:val="en-US" w:eastAsia="zh-CN"/>
        </w:rPr>
        <w:t>自治区质量技术监督部门负责组织制定、发布大型工程机械设备和车辆的定位管制系统和安全技术检验标准，并根据实际情况适时修订。</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eastAsia" w:ascii="仿宋_GB2312" w:hAnsi="仿宋_GB2312" w:eastAsia="仿宋_GB2312"/>
          <w:color w:val="auto"/>
          <w:sz w:val="32"/>
          <w:lang w:val="en-US" w:eastAsia="zh-CN"/>
        </w:rPr>
        <w:t>大型工程机械设备和车辆安装定位管制终端，应当符合定位管制系统标准。</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default" w:ascii="仿宋_GB2312" w:hAnsi="仿宋_GB2312" w:eastAsia="黑体"/>
          <w:color w:val="auto"/>
          <w:sz w:val="32"/>
          <w:lang w:val="en" w:eastAsia="zh-CN"/>
        </w:rPr>
        <w:t>第九条　</w:t>
      </w:r>
      <w:r>
        <w:rPr>
          <w:rFonts w:hint="eastAsia" w:ascii="仿宋_GB2312" w:hAnsi="仿宋_GB2312" w:eastAsia="仿宋_GB2312"/>
          <w:color w:val="auto"/>
          <w:sz w:val="32"/>
          <w:lang w:val="en-US" w:eastAsia="zh-CN"/>
        </w:rPr>
        <w:t>鼓励大型工程机械设备和车辆生产企业在大型工程机械设备、车辆出厂时，安装定位管制终端。</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default" w:ascii="仿宋_GB2312" w:hAnsi="仿宋_GB2312" w:eastAsia="黑体"/>
          <w:color w:val="auto"/>
          <w:sz w:val="32"/>
          <w:lang w:val="en" w:eastAsia="zh-CN"/>
        </w:rPr>
        <w:t>第十条　</w:t>
      </w:r>
      <w:r>
        <w:rPr>
          <w:rFonts w:hint="eastAsia" w:ascii="仿宋_GB2312" w:hAnsi="仿宋_GB2312" w:eastAsia="仿宋_GB2312"/>
          <w:color w:val="auto"/>
          <w:sz w:val="32"/>
          <w:lang w:val="en-US" w:eastAsia="zh-CN"/>
        </w:rPr>
        <w:t>大型工程机械设备和车辆出厂时未安装定位管制终端的，由销售者负责安装；本办法实施前已经销售的大型工程机械设备和车辆未安装定位管制终端的，由所有人负责安装。</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eastAsia" w:ascii="仿宋_GB2312" w:hAnsi="仿宋_GB2312" w:eastAsia="仿宋_GB2312"/>
          <w:color w:val="auto"/>
          <w:sz w:val="32"/>
          <w:lang w:val="en-US" w:eastAsia="zh-CN"/>
        </w:rPr>
        <w:t>未安装定位管制终端的大型工程机械设备和车辆不得销售、使用。</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default" w:ascii="仿宋_GB2312" w:hAnsi="仿宋_GB2312" w:eastAsia="黑体"/>
          <w:color w:val="auto"/>
          <w:sz w:val="32"/>
          <w:lang w:val="en" w:eastAsia="zh-CN"/>
        </w:rPr>
        <w:t>第十一条　</w:t>
      </w:r>
      <w:r>
        <w:rPr>
          <w:rFonts w:hint="eastAsia" w:ascii="仿宋_GB2312" w:hAnsi="仿宋_GB2312" w:eastAsia="仿宋_GB2312"/>
          <w:color w:val="auto"/>
          <w:sz w:val="32"/>
          <w:lang w:val="en-US" w:eastAsia="zh-CN"/>
        </w:rPr>
        <w:t>大型工程机械设备和车辆的销售者应当建立销售记录制度，如实记录大型工程机械设备和车辆的名称、型号、数量以及购买者的名称、身份证明及联系方式、流向等内容。销售记录保存期限不得少于3年。</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eastAsia" w:ascii="仿宋_GB2312" w:hAnsi="仿宋_GB2312" w:eastAsia="仿宋_GB2312"/>
          <w:color w:val="auto"/>
          <w:sz w:val="32"/>
          <w:lang w:val="en-US" w:eastAsia="zh-CN"/>
        </w:rPr>
        <w:t>大型工程机械设备和车辆的所有人出租大型工程机械设备和车辆的，应当按照前款规定，建立出租记录制度。</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default" w:ascii="仿宋_GB2312" w:hAnsi="仿宋_GB2312" w:eastAsia="黑体"/>
          <w:color w:val="auto"/>
          <w:sz w:val="32"/>
          <w:lang w:val="en" w:eastAsia="zh-CN"/>
        </w:rPr>
        <w:t>第十二条　</w:t>
      </w:r>
      <w:r>
        <w:rPr>
          <w:rFonts w:hint="eastAsia" w:ascii="仿宋_GB2312" w:hAnsi="仿宋_GB2312" w:eastAsia="仿宋_GB2312"/>
          <w:color w:val="auto"/>
          <w:sz w:val="32"/>
          <w:lang w:val="en-US" w:eastAsia="zh-CN"/>
        </w:rPr>
        <w:t>大型工程机械设备和车辆安装的定位管制终端，应当接入自治区大型工程机械设备和车辆定位管制系统，确保定位管制终端正常使用，并将数据实时、全量上传自治区公安机关反恐怖信息平台。</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eastAsia" w:ascii="仿宋_GB2312" w:hAnsi="仿宋_GB2312" w:eastAsia="仿宋_GB2312"/>
          <w:color w:val="auto"/>
          <w:sz w:val="32"/>
          <w:lang w:val="en-US" w:eastAsia="zh-CN"/>
        </w:rPr>
        <w:t>任何单位和个人不得随意拆卸、破坏定位管制终端，不得干扰、屏蔽定位信号，不得篡改定位装置数据。</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default" w:ascii="仿宋_GB2312" w:hAnsi="仿宋_GB2312" w:eastAsia="黑体"/>
          <w:color w:val="auto"/>
          <w:sz w:val="32"/>
          <w:lang w:val="en" w:eastAsia="zh-CN"/>
        </w:rPr>
        <w:t>第十三条　</w:t>
      </w:r>
      <w:r>
        <w:rPr>
          <w:rFonts w:hint="eastAsia" w:ascii="仿宋_GB2312" w:hAnsi="仿宋_GB2312" w:eastAsia="仿宋_GB2312"/>
          <w:color w:val="auto"/>
          <w:sz w:val="32"/>
          <w:lang w:val="en-US" w:eastAsia="zh-CN"/>
        </w:rPr>
        <w:t>公安机关对可能遭受大型工程机械设备和车辆冲撞，危及公共安全的区域、路段，划定为大型工程机械设备和车辆禁行区域和路段，通知有关主管部门设置明显标志，并予以公告。</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eastAsia" w:ascii="仿宋_GB2312" w:hAnsi="仿宋_GB2312" w:eastAsia="仿宋_GB2312"/>
          <w:color w:val="auto"/>
          <w:sz w:val="32"/>
          <w:lang w:val="en-US" w:eastAsia="zh-CN"/>
        </w:rPr>
        <w:t>农业机械主管部门根据公安机关划定的禁行区域和路段，在定位管制平台中设置电子围栏。</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default" w:ascii="仿宋_GB2312" w:hAnsi="仿宋_GB2312" w:eastAsia="黑体"/>
          <w:color w:val="auto"/>
          <w:sz w:val="32"/>
          <w:lang w:val="en" w:eastAsia="zh-CN"/>
        </w:rPr>
        <w:t>第十四条　</w:t>
      </w:r>
      <w:r>
        <w:rPr>
          <w:rFonts w:hint="eastAsia" w:ascii="仿宋_GB2312" w:hAnsi="仿宋_GB2312" w:eastAsia="仿宋_GB2312"/>
          <w:color w:val="auto"/>
          <w:sz w:val="32"/>
          <w:lang w:val="en-US" w:eastAsia="zh-CN"/>
        </w:rPr>
        <w:t>大型工程机械设备和车辆不得进入禁行区域和路段。定位管制终端发出报警的，由农机监理机构、公安机关赶赴现场处理。</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eastAsia" w:ascii="仿宋_GB2312" w:hAnsi="仿宋_GB2312" w:eastAsia="仿宋_GB2312"/>
          <w:color w:val="auto"/>
          <w:sz w:val="32"/>
          <w:lang w:val="en-US" w:eastAsia="zh-CN"/>
        </w:rPr>
        <w:t>大型工程机械设备和车辆确需进入禁行区域和路段作业的，项目建设单位应当在作业前3日向有关主管部门提出申请，有关主管部门应当告知作业所在地的农机监理机构、公安机关。</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default" w:ascii="仿宋_GB2312" w:hAnsi="仿宋_GB2312" w:eastAsia="黑体"/>
          <w:color w:val="auto"/>
          <w:sz w:val="32"/>
          <w:lang w:val="en" w:eastAsia="zh-CN"/>
        </w:rPr>
        <w:t>第十五条　</w:t>
      </w:r>
      <w:r>
        <w:rPr>
          <w:rFonts w:hint="eastAsia" w:ascii="仿宋_GB2312" w:hAnsi="仿宋_GB2312" w:eastAsia="仿宋_GB2312"/>
          <w:color w:val="auto"/>
          <w:sz w:val="32"/>
          <w:lang w:val="en-US" w:eastAsia="zh-CN"/>
        </w:rPr>
        <w:t>大型工程机械设备实行登记制度，大型工程机械设备驾驶人员应当取得驾驶证或者操作证。</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eastAsia" w:ascii="仿宋_GB2312" w:hAnsi="仿宋_GB2312" w:eastAsia="仿宋_GB2312"/>
          <w:color w:val="auto"/>
          <w:sz w:val="32"/>
          <w:lang w:val="en-US" w:eastAsia="zh-CN"/>
        </w:rPr>
        <w:t>上道路行驶的大型工程机械设备的牌照、驾驶证核发和安全监督管理，由公安机关交通管理部门委托农机监理机构实施。</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default" w:ascii="仿宋_GB2312" w:hAnsi="仿宋_GB2312" w:eastAsia="黑体"/>
          <w:color w:val="auto"/>
          <w:sz w:val="32"/>
          <w:lang w:val="en" w:eastAsia="zh-CN"/>
        </w:rPr>
        <w:t>第十六条　</w:t>
      </w:r>
      <w:r>
        <w:rPr>
          <w:rFonts w:hint="eastAsia" w:ascii="仿宋_GB2312" w:hAnsi="仿宋_GB2312" w:eastAsia="仿宋_GB2312"/>
          <w:color w:val="auto"/>
          <w:sz w:val="32"/>
          <w:lang w:val="en-US" w:eastAsia="zh-CN"/>
        </w:rPr>
        <w:t>大型工程机械设备投入使用前，其所有人应当持本人身份证明、大型工程机械设备来历凭证、整机出厂合格证明等材料，向住所地农机监理机构申请注册登记；农机监理机构对安全技术状况符合技术要求的大型工程机械设备，予以登记并核发号牌、行驶证和检验合格标志。</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eastAsia" w:ascii="仿宋_GB2312" w:hAnsi="仿宋_GB2312" w:eastAsia="仿宋_GB2312"/>
          <w:color w:val="auto"/>
          <w:sz w:val="32"/>
          <w:lang w:val="en-US" w:eastAsia="zh-CN"/>
        </w:rPr>
        <w:t>新购置的大型工程机械设备免于安全技术检验。</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eastAsia" w:ascii="仿宋_GB2312" w:hAnsi="仿宋_GB2312" w:eastAsia="仿宋_GB2312"/>
          <w:color w:val="auto"/>
          <w:sz w:val="32"/>
          <w:lang w:val="en-US" w:eastAsia="zh-CN"/>
        </w:rPr>
        <w:t>大型工程机械设备使用期间登记事项发生变更的，其所有人应当申请变更登记。</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default" w:ascii="仿宋_GB2312" w:hAnsi="仿宋_GB2312" w:eastAsia="黑体"/>
          <w:color w:val="auto"/>
          <w:sz w:val="32"/>
          <w:lang w:val="en" w:eastAsia="zh-CN"/>
        </w:rPr>
        <w:t>第十七条　</w:t>
      </w:r>
      <w:r>
        <w:rPr>
          <w:rFonts w:hint="eastAsia" w:ascii="仿宋_GB2312" w:hAnsi="仿宋_GB2312" w:eastAsia="仿宋_GB2312"/>
          <w:color w:val="auto"/>
          <w:sz w:val="32"/>
          <w:lang w:val="en-US" w:eastAsia="zh-CN"/>
        </w:rPr>
        <w:t>大型工程机械设备和车辆应当每年进行安全技术检验。农机监理机构、公安机关交通管理部门核发大型工程机械设备和车辆检验合格标志时，应当对安装定位管制终端及接入定位管制平台情况进行审核；审核不合格的，不予核发检验合格标志。</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default" w:ascii="仿宋_GB2312" w:hAnsi="仿宋_GB2312" w:eastAsia="黑体"/>
          <w:color w:val="auto"/>
          <w:sz w:val="32"/>
          <w:lang w:val="en" w:eastAsia="zh-CN"/>
        </w:rPr>
        <w:t>第十八条　</w:t>
      </w:r>
      <w:r>
        <w:rPr>
          <w:rFonts w:hint="eastAsia" w:ascii="仿宋_GB2312" w:hAnsi="仿宋_GB2312" w:eastAsia="仿宋_GB2312"/>
          <w:color w:val="auto"/>
          <w:sz w:val="32"/>
          <w:lang w:val="en-US" w:eastAsia="zh-CN"/>
        </w:rPr>
        <w:t>驾驶上道路行驶的大型工程机械设备的人员，应当向农机监理机构提出申请，提交身份证明、县级以上医疗机构出具的有关身体条件证明、户籍所在地公安派出所出具的安全背景审查材料，经农机监理机构考试合格，取得大型工程机械设备驾驶证后方可驾驶；驾驶其他大型工程机械设备的人员应当经培训，取得大型工程机械设备操作证后方可驾驶。</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eastAsia" w:ascii="仿宋_GB2312" w:hAnsi="仿宋_GB2312" w:eastAsia="仿宋_GB2312"/>
          <w:color w:val="auto"/>
          <w:sz w:val="32"/>
          <w:lang w:val="en-US" w:eastAsia="zh-CN"/>
        </w:rPr>
        <w:t>驾驶大型工程机械设备时，应当随身携带大型工程机械设备驾驶证或者操作证。</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default" w:ascii="仿宋_GB2312" w:hAnsi="仿宋_GB2312" w:eastAsia="黑体"/>
          <w:color w:val="auto"/>
          <w:sz w:val="32"/>
          <w:lang w:val="en" w:eastAsia="zh-CN"/>
        </w:rPr>
        <w:t>第十九条　</w:t>
      </w:r>
      <w:r>
        <w:rPr>
          <w:rFonts w:hint="eastAsia" w:ascii="仿宋_GB2312" w:hAnsi="仿宋_GB2312" w:eastAsia="仿宋_GB2312"/>
          <w:color w:val="auto"/>
          <w:sz w:val="32"/>
          <w:lang w:val="en-US" w:eastAsia="zh-CN"/>
        </w:rPr>
        <w:t>大型工程机械设备驾驶证、操作证应当每年进行1次签注。签注时，大型工程机械设备驾驶人员应当向农机监理机构提交县级以上医疗机构出具的有关身体条件证明、户籍所在地公安派出所出具的安全背景审查资料。</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default" w:ascii="仿宋_GB2312" w:hAnsi="仿宋_GB2312" w:eastAsia="黑体"/>
          <w:color w:val="auto"/>
          <w:sz w:val="32"/>
          <w:lang w:val="en" w:eastAsia="zh-CN"/>
        </w:rPr>
        <w:t>第二十条　</w:t>
      </w:r>
      <w:r>
        <w:rPr>
          <w:rFonts w:hint="eastAsia" w:ascii="仿宋_GB2312" w:hAnsi="仿宋_GB2312" w:eastAsia="仿宋_GB2312"/>
          <w:color w:val="auto"/>
          <w:sz w:val="32"/>
          <w:lang w:val="en-US" w:eastAsia="zh-CN"/>
        </w:rPr>
        <w:t>驾驶大型工程机械设备和车辆在道路上发生交通事故的，由公安机关交通管理部门处理；使用大型工程机械设备和车辆发生生产安全事故的，由安全生产监督部门处理。事故处理情况应当及时通报农机监理机构。</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default" w:ascii="仿宋_GB2312" w:hAnsi="仿宋_GB2312" w:eastAsia="黑体"/>
          <w:color w:val="auto"/>
          <w:sz w:val="32"/>
          <w:lang w:val="en" w:eastAsia="zh-CN"/>
        </w:rPr>
        <w:t>第二十一条　</w:t>
      </w:r>
      <w:r>
        <w:rPr>
          <w:rFonts w:hint="eastAsia" w:ascii="仿宋_GB2312" w:hAnsi="仿宋_GB2312" w:eastAsia="仿宋_GB2312"/>
          <w:color w:val="auto"/>
          <w:sz w:val="32"/>
          <w:lang w:val="en-US" w:eastAsia="zh-CN"/>
        </w:rPr>
        <w:t>县级以上人民政府及其有关部门应当制定大型工程机械设备和车辆事故和突发事件应急预案，开展应急演练。</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default" w:ascii="仿宋_GB2312" w:hAnsi="仿宋_GB2312" w:eastAsia="黑体"/>
          <w:color w:val="auto"/>
          <w:sz w:val="32"/>
          <w:lang w:val="en" w:eastAsia="zh-CN"/>
        </w:rPr>
        <w:t>第二十二条　</w:t>
      </w:r>
      <w:r>
        <w:rPr>
          <w:rFonts w:hint="eastAsia" w:ascii="仿宋_GB2312" w:hAnsi="仿宋_GB2312" w:eastAsia="仿宋_GB2312"/>
          <w:color w:val="auto"/>
          <w:sz w:val="32"/>
          <w:lang w:val="en-US" w:eastAsia="zh-CN"/>
        </w:rPr>
        <w:t>利用大型工程机械设备和车辆危害公共安全造成突发事件的，事发地县级人民政府应当依法启动应急处置预案，采取下列应急处置措施：</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eastAsia" w:ascii="仿宋_GB2312" w:hAnsi="仿宋_GB2312" w:eastAsia="仿宋_GB2312"/>
          <w:color w:val="auto"/>
          <w:sz w:val="32"/>
          <w:lang w:val="en-US" w:eastAsia="zh-CN"/>
        </w:rPr>
        <w:t>（一）调集应急救援队伍赶赴现场展开营救，动员、组织公民、法人和其他组织开展自救互助；</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eastAsia" w:ascii="仿宋_GB2312" w:hAnsi="仿宋_GB2312" w:eastAsia="仿宋_GB2312"/>
          <w:color w:val="auto"/>
          <w:sz w:val="32"/>
          <w:lang w:val="en-US" w:eastAsia="zh-CN"/>
        </w:rPr>
        <w:t>（二）拆除、迁移妨碍应急处置和救援的设施、设备或者其他障碍物；</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eastAsia" w:ascii="仿宋_GB2312" w:hAnsi="仿宋_GB2312" w:eastAsia="仿宋_GB2312"/>
          <w:color w:val="auto"/>
          <w:sz w:val="32"/>
          <w:lang w:val="en-US" w:eastAsia="zh-CN"/>
        </w:rPr>
        <w:t>（三）保障应急处置所需资金和物资；</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eastAsia" w:ascii="仿宋_GB2312" w:hAnsi="仿宋_GB2312" w:eastAsia="仿宋_GB2312"/>
          <w:color w:val="auto"/>
          <w:sz w:val="32"/>
          <w:lang w:val="en-US" w:eastAsia="zh-CN"/>
        </w:rPr>
        <w:t>（四）法律法规规定的其他应急处置措施。</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eastAsia" w:ascii="仿宋_GB2312" w:hAnsi="仿宋_GB2312" w:eastAsia="仿宋_GB2312"/>
          <w:color w:val="auto"/>
          <w:sz w:val="32"/>
          <w:lang w:val="en-US" w:eastAsia="zh-CN"/>
        </w:rPr>
        <w:t>事发地公安机关应当根据现场情况依法采取相应的强制性措施，进行先期快速处置，同时按规定报告。</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default" w:ascii="仿宋_GB2312" w:hAnsi="仿宋_GB2312" w:eastAsia="黑体"/>
          <w:color w:val="auto"/>
          <w:sz w:val="32"/>
          <w:lang w:val="en" w:eastAsia="zh-CN"/>
        </w:rPr>
        <w:t>第二十三条　</w:t>
      </w:r>
      <w:r>
        <w:rPr>
          <w:rFonts w:hint="eastAsia" w:ascii="仿宋_GB2312" w:hAnsi="仿宋_GB2312" w:eastAsia="仿宋_GB2312"/>
          <w:color w:val="auto"/>
          <w:sz w:val="32"/>
          <w:lang w:val="en-US" w:eastAsia="zh-CN"/>
        </w:rPr>
        <w:t>履行统一领导职责或者组织处置突发事件的人民政府，按照有关规定及时、客观、准确、真实公布事件进展和调查处理结果，及时回应社会公众。</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eastAsia" w:ascii="仿宋_GB2312" w:hAnsi="仿宋_GB2312" w:eastAsia="仿宋_GB2312"/>
          <w:color w:val="auto"/>
          <w:sz w:val="32"/>
          <w:lang w:val="en-US" w:eastAsia="zh-CN"/>
        </w:rPr>
        <w:t>任何单位和个人不得编造、传播有关突发事件发生、事态发展或者应急处置工作的虚假信息。</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default" w:ascii="仿宋_GB2312" w:hAnsi="仿宋_GB2312" w:eastAsia="黑体"/>
          <w:color w:val="auto"/>
          <w:sz w:val="32"/>
          <w:lang w:val="en" w:eastAsia="zh-CN"/>
        </w:rPr>
        <w:t>第二十四条　</w:t>
      </w:r>
      <w:r>
        <w:rPr>
          <w:rFonts w:hint="eastAsia" w:ascii="仿宋_GB2312" w:hAnsi="仿宋_GB2312" w:eastAsia="仿宋_GB2312"/>
          <w:color w:val="auto"/>
          <w:sz w:val="32"/>
          <w:lang w:val="en-US" w:eastAsia="zh-CN"/>
        </w:rPr>
        <w:t>县级以上人民政府应当建立大型工程机械设备和车辆安全监督管理工作协调机制和信息通报制度，支持农机监理机构、公安机关以及有关主管部门依法履行职责，协调、解决大型工程机械设备和车辆安全监督管理工作中的重大问题；大型工程机械设备和车辆对公共安全造成危害的，实行责任倒查。</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eastAsia" w:ascii="仿宋_GB2312" w:hAnsi="仿宋_GB2312" w:eastAsia="仿宋_GB2312"/>
          <w:color w:val="auto"/>
          <w:sz w:val="32"/>
          <w:lang w:val="en-US" w:eastAsia="zh-CN"/>
        </w:rPr>
        <w:t>农机监理机构、公安机关以及有关主管部门应当密切配合，加强对大型工程机械设备和车辆的日常监督检查，并根据需要开展联合执法。</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default" w:ascii="仿宋_GB2312" w:hAnsi="仿宋_GB2312" w:eastAsia="黑体"/>
          <w:color w:val="auto"/>
          <w:sz w:val="32"/>
          <w:lang w:val="en" w:eastAsia="zh-CN"/>
        </w:rPr>
        <w:t>第二十五条　</w:t>
      </w:r>
      <w:r>
        <w:rPr>
          <w:rFonts w:hint="eastAsia" w:ascii="仿宋_GB2312" w:hAnsi="仿宋_GB2312" w:eastAsia="仿宋_GB2312"/>
          <w:color w:val="auto"/>
          <w:sz w:val="32"/>
          <w:lang w:val="en-US" w:eastAsia="zh-CN"/>
        </w:rPr>
        <w:t>农机监理人员进行监督检查时，可以采取下列措施：</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eastAsia" w:ascii="仿宋_GB2312" w:hAnsi="仿宋_GB2312" w:eastAsia="仿宋_GB2312"/>
          <w:color w:val="auto"/>
          <w:sz w:val="32"/>
          <w:lang w:val="en-US" w:eastAsia="zh-CN"/>
        </w:rPr>
        <w:t>（一）向有关单位和个人了解情况，查阅、复制有关资料；</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eastAsia" w:ascii="仿宋_GB2312" w:hAnsi="仿宋_GB2312" w:eastAsia="仿宋_GB2312"/>
          <w:color w:val="auto"/>
          <w:sz w:val="32"/>
          <w:lang w:val="en-US" w:eastAsia="zh-CN"/>
        </w:rPr>
        <w:t>（二）查验大型工程机械设备牌证及驾驶人员驾驶证或者操作证；</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eastAsia" w:ascii="仿宋_GB2312" w:hAnsi="仿宋_GB2312" w:eastAsia="仿宋_GB2312"/>
          <w:color w:val="auto"/>
          <w:sz w:val="32"/>
          <w:lang w:val="en-US" w:eastAsia="zh-CN"/>
        </w:rPr>
        <w:t>（三）检查大型工程机械设备的安全状况，对存在重大事故隐患的大型工程机械设备，责令立即停止作业，排除事故隐患；</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eastAsia" w:ascii="仿宋_GB2312" w:hAnsi="仿宋_GB2312" w:eastAsia="仿宋_GB2312"/>
          <w:color w:val="auto"/>
          <w:sz w:val="32"/>
          <w:lang w:val="en-US" w:eastAsia="zh-CN"/>
        </w:rPr>
        <w:t>（四）法律法规规章规定的其他措施。</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default" w:ascii="仿宋_GB2312" w:hAnsi="仿宋_GB2312" w:eastAsia="黑体"/>
          <w:color w:val="auto"/>
          <w:sz w:val="32"/>
          <w:lang w:val="en" w:eastAsia="zh-CN"/>
        </w:rPr>
        <w:t>第二十六条　</w:t>
      </w:r>
      <w:r>
        <w:rPr>
          <w:rFonts w:hint="eastAsia" w:ascii="仿宋_GB2312" w:hAnsi="仿宋_GB2312" w:eastAsia="仿宋_GB2312"/>
          <w:color w:val="auto"/>
          <w:sz w:val="32"/>
          <w:lang w:val="en-US" w:eastAsia="zh-CN"/>
        </w:rPr>
        <w:t>农机监理人员进行安全监督检查时，应当统一着装，出示行政执法证件。农机监理车辆应当在车身喷涂统一标识，安装示警灯具。</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default" w:ascii="仿宋_GB2312" w:hAnsi="仿宋_GB2312" w:eastAsia="黑体"/>
          <w:color w:val="auto"/>
          <w:sz w:val="32"/>
          <w:lang w:val="en" w:eastAsia="zh-CN"/>
        </w:rPr>
        <w:t>第二十七条　</w:t>
      </w:r>
      <w:r>
        <w:rPr>
          <w:rFonts w:hint="eastAsia" w:ascii="仿宋_GB2312" w:hAnsi="仿宋_GB2312" w:eastAsia="仿宋_GB2312"/>
          <w:color w:val="auto"/>
          <w:sz w:val="32"/>
          <w:lang w:val="en-US" w:eastAsia="zh-CN"/>
        </w:rPr>
        <w:t>使用大型工程机械设备和车辆的企业和单位，应当遵守下列规定：</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eastAsia" w:ascii="仿宋_GB2312" w:hAnsi="仿宋_GB2312" w:eastAsia="仿宋_GB2312"/>
          <w:color w:val="auto"/>
          <w:sz w:val="32"/>
          <w:lang w:val="en-US" w:eastAsia="zh-CN"/>
        </w:rPr>
        <w:t>（一）对大型工程机械设备和车辆及驾驶人员牌证、驾驶证、操作证信息进行登记建档，确保专人驾驶；</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eastAsia" w:ascii="仿宋_GB2312" w:hAnsi="仿宋_GB2312" w:eastAsia="仿宋_GB2312"/>
          <w:color w:val="auto"/>
          <w:sz w:val="32"/>
          <w:lang w:val="en-US" w:eastAsia="zh-CN"/>
        </w:rPr>
        <w:t>（二）对大型工程机械设备和车辆管制终端定期检查、检测、维护，记录违章和事故等情况；</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eastAsia" w:ascii="仿宋_GB2312" w:hAnsi="仿宋_GB2312" w:eastAsia="仿宋_GB2312"/>
          <w:color w:val="auto"/>
          <w:sz w:val="32"/>
          <w:lang w:val="en-US" w:eastAsia="zh-CN"/>
        </w:rPr>
        <w:t>（三）加强大型工程机械设备和车辆的管理和驾驶人员的教育培训，对不适合岗位要求的人员及时调整；发现违法行为立即报告公安机关；</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eastAsia" w:ascii="仿宋_GB2312" w:hAnsi="仿宋_GB2312" w:eastAsia="仿宋_GB2312"/>
          <w:color w:val="auto"/>
          <w:sz w:val="32"/>
          <w:lang w:val="en-US" w:eastAsia="zh-CN"/>
        </w:rPr>
        <w:t>（四）划定大型工程机械设备和车辆停放区域，并安排专人值守；</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eastAsia" w:ascii="仿宋_GB2312" w:hAnsi="仿宋_GB2312" w:eastAsia="仿宋_GB2312"/>
          <w:color w:val="auto"/>
          <w:sz w:val="32"/>
          <w:lang w:val="en-US" w:eastAsia="zh-CN"/>
        </w:rPr>
        <w:t>（五）大型工程机械设备和车辆停放1个月以上的，应当及时卸下电瓶，电瓶与钥匙由专人保管。</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default" w:ascii="仿宋_GB2312" w:hAnsi="仿宋_GB2312" w:eastAsia="黑体"/>
          <w:color w:val="auto"/>
          <w:sz w:val="32"/>
          <w:lang w:val="en" w:eastAsia="zh-CN"/>
        </w:rPr>
        <w:t>第二十八条　</w:t>
      </w:r>
      <w:r>
        <w:rPr>
          <w:rFonts w:hint="eastAsia" w:ascii="仿宋_GB2312" w:hAnsi="仿宋_GB2312" w:eastAsia="仿宋_GB2312"/>
          <w:color w:val="auto"/>
          <w:sz w:val="32"/>
          <w:lang w:val="en-US" w:eastAsia="zh-CN"/>
        </w:rPr>
        <w:t>禁止使用无牌、无证、无定位管制终端的大型工程机械设备和车辆。禁止油气销售企业向无牌、无证、无管制终端的大型工程机械设备和车辆供油供气。</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default" w:ascii="仿宋_GB2312" w:hAnsi="仿宋_GB2312" w:eastAsia="黑体"/>
          <w:color w:val="auto"/>
          <w:sz w:val="32"/>
          <w:lang w:val="en" w:eastAsia="zh-CN"/>
        </w:rPr>
        <w:t>第二十九条　</w:t>
      </w:r>
      <w:r>
        <w:rPr>
          <w:rFonts w:hint="eastAsia" w:ascii="仿宋_GB2312" w:hAnsi="仿宋_GB2312" w:eastAsia="仿宋_GB2312"/>
          <w:color w:val="auto"/>
          <w:sz w:val="32"/>
          <w:lang w:val="en-US" w:eastAsia="zh-CN"/>
        </w:rPr>
        <w:t>违反本办法规定，有下列情形之一的，上道路行驶的大型工程机械设备，由公安机关交通管理部门委托农机监理机构依据道路交通安全法律法规执行；其他大型工程机械设备，由县（市）以上农机监理机构处二千元以上二万元以下罚款：</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eastAsia" w:ascii="仿宋_GB2312" w:hAnsi="仿宋_GB2312" w:eastAsia="仿宋_GB2312"/>
          <w:color w:val="auto"/>
          <w:sz w:val="32"/>
          <w:lang w:val="en-US" w:eastAsia="zh-CN"/>
        </w:rPr>
        <w:t>（一）未按规定取得相应的牌证，擅自将大型工程机械设备投入使用的；</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eastAsia" w:ascii="仿宋_GB2312" w:hAnsi="仿宋_GB2312" w:eastAsia="仿宋_GB2312"/>
          <w:color w:val="auto"/>
          <w:sz w:val="32"/>
          <w:lang w:val="en-US" w:eastAsia="zh-CN"/>
        </w:rPr>
        <w:t>（二）伪造、变造或者使用伪造、变造的大型工程机械设备牌证的，或者使用其他的大型工程机械设备牌证的；</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eastAsia" w:ascii="仿宋_GB2312" w:hAnsi="仿宋_GB2312" w:eastAsia="仿宋_GB2312"/>
          <w:color w:val="auto"/>
          <w:sz w:val="32"/>
          <w:lang w:val="en-US" w:eastAsia="zh-CN"/>
        </w:rPr>
        <w:t>（三）未取得大型工程机械设备驾驶证或者操作证驾驶大型工程机械设备的；</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eastAsia" w:ascii="仿宋_GB2312" w:hAnsi="仿宋_GB2312" w:eastAsia="仿宋_GB2312"/>
          <w:color w:val="auto"/>
          <w:sz w:val="32"/>
          <w:lang w:val="en-US" w:eastAsia="zh-CN"/>
        </w:rPr>
        <w:t>（四）驾驶与本人驾驶证、操作证不相符的大型工程机械设备，或者驾驶未按照规定检验或者检验不合格的大型工程机械设备的。</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eastAsia" w:ascii="仿宋_GB2312" w:hAnsi="仿宋_GB2312" w:eastAsia="仿宋_GB2312"/>
          <w:color w:val="auto"/>
          <w:sz w:val="32"/>
          <w:lang w:val="en-US" w:eastAsia="zh-CN"/>
        </w:rPr>
        <w:t>对伪造、变造的牌证予以收缴。</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default" w:ascii="仿宋_GB2312" w:hAnsi="仿宋_GB2312" w:eastAsia="黑体"/>
          <w:color w:val="auto"/>
          <w:sz w:val="32"/>
          <w:lang w:val="en" w:eastAsia="zh-CN"/>
        </w:rPr>
        <w:t>第三十条　</w:t>
      </w:r>
      <w:r>
        <w:rPr>
          <w:rFonts w:hint="eastAsia" w:ascii="仿宋_GB2312" w:hAnsi="仿宋_GB2312" w:eastAsia="仿宋_GB2312"/>
          <w:color w:val="auto"/>
          <w:sz w:val="32"/>
          <w:lang w:val="en-US" w:eastAsia="zh-CN"/>
        </w:rPr>
        <w:t>违反本办法的规定，有下列情形之一的，由县（市）以上农机监理机构责令改正，处五千元以上三万元以下罚款：</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eastAsia" w:ascii="仿宋_GB2312" w:hAnsi="仿宋_GB2312" w:eastAsia="仿宋_GB2312"/>
          <w:color w:val="auto"/>
          <w:sz w:val="32"/>
          <w:lang w:val="en-US" w:eastAsia="zh-CN"/>
        </w:rPr>
        <w:t>（一）不安装、不使用定位管制终端的；</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eastAsia" w:ascii="仿宋_GB2312" w:hAnsi="仿宋_GB2312" w:eastAsia="仿宋_GB2312"/>
          <w:color w:val="auto"/>
          <w:sz w:val="32"/>
          <w:lang w:val="en-US" w:eastAsia="zh-CN"/>
        </w:rPr>
        <w:t>（二）随意拆卸、破坏定位管制终端，干扰、屏蔽定位信号，或者篡改定位装置数据的；</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eastAsia" w:ascii="仿宋_GB2312" w:hAnsi="仿宋_GB2312" w:eastAsia="仿宋_GB2312"/>
          <w:color w:val="auto"/>
          <w:sz w:val="32"/>
          <w:lang w:val="en-US" w:eastAsia="zh-CN"/>
        </w:rPr>
        <w:t>（三）进入禁行区域和路段，或者擅自在禁行区域和路段作业的。</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default" w:ascii="仿宋_GB2312" w:hAnsi="仿宋_GB2312" w:eastAsia="黑体"/>
          <w:color w:val="auto"/>
          <w:sz w:val="32"/>
          <w:lang w:val="en" w:eastAsia="zh-CN"/>
        </w:rPr>
        <w:t>第三十一条　</w:t>
      </w:r>
      <w:r>
        <w:rPr>
          <w:rFonts w:hint="eastAsia" w:ascii="仿宋_GB2312" w:hAnsi="仿宋_GB2312" w:eastAsia="仿宋_GB2312"/>
          <w:color w:val="auto"/>
          <w:sz w:val="32"/>
          <w:lang w:val="en-US" w:eastAsia="zh-CN"/>
        </w:rPr>
        <w:t>违反本办法规定，使用无牌、无证、无定位管制终端的大型工程机械设备和车辆，或者油气销售企业向无牌、无证、无定位管制终端的大型工程机械设备和车辆供油供气的，由县（市）以上农机监理机构、公安机关、住房和城乡建设部门或者商务部门依照各自职责，责令改正，处一万元以上三万元以下罚款。</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default" w:ascii="仿宋_GB2312" w:hAnsi="仿宋_GB2312" w:eastAsia="黑体"/>
          <w:color w:val="auto"/>
          <w:sz w:val="32"/>
          <w:lang w:val="en" w:eastAsia="zh-CN"/>
        </w:rPr>
        <w:t>第三十二条　</w:t>
      </w:r>
      <w:r>
        <w:rPr>
          <w:rFonts w:hint="eastAsia" w:ascii="仿宋_GB2312" w:hAnsi="仿宋_GB2312" w:eastAsia="仿宋_GB2312"/>
          <w:color w:val="auto"/>
          <w:sz w:val="32"/>
          <w:lang w:val="en-US" w:eastAsia="zh-CN"/>
        </w:rPr>
        <w:t>违反本办法规定，大型工程机械设备和车辆存在安全生产事故隐患的，由县（市）以上农机监理机构、公安机关责令限期改正；逾期未改正的，依照《中华人民共和国安全生产法》予以处罚。</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default" w:ascii="仿宋_GB2312" w:hAnsi="仿宋_GB2312" w:eastAsia="黑体"/>
          <w:color w:val="auto"/>
          <w:sz w:val="32"/>
          <w:lang w:val="en" w:eastAsia="zh-CN"/>
        </w:rPr>
        <w:t>第三十三条　</w:t>
      </w:r>
      <w:r>
        <w:rPr>
          <w:rFonts w:hint="eastAsia" w:ascii="仿宋_GB2312" w:hAnsi="仿宋_GB2312" w:eastAsia="仿宋_GB2312"/>
          <w:color w:val="auto"/>
          <w:sz w:val="32"/>
          <w:lang w:val="en-US" w:eastAsia="zh-CN"/>
        </w:rPr>
        <w:t>违反本办法规定，构成违反治安管理行为的，依法给予治安管理处罚；构成犯罪的，依法追究刑事责任。</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default" w:ascii="仿宋_GB2312" w:hAnsi="仿宋_GB2312" w:eastAsia="黑体"/>
          <w:color w:val="auto"/>
          <w:sz w:val="32"/>
          <w:lang w:val="en" w:eastAsia="zh-CN"/>
        </w:rPr>
        <w:t>第三十四条　</w:t>
      </w:r>
      <w:r>
        <w:rPr>
          <w:rFonts w:hint="eastAsia" w:ascii="仿宋_GB2312" w:hAnsi="仿宋_GB2312" w:eastAsia="仿宋_GB2312"/>
          <w:color w:val="auto"/>
          <w:sz w:val="32"/>
          <w:lang w:val="en-US" w:eastAsia="zh-CN"/>
        </w:rPr>
        <w:t>违反本办法规定，使用大型工程机械设备和车辆危害社会公共安全的，依照《中华人民共和国反恐怖主义法》等有关法律、法规执行。</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default" w:ascii="仿宋_GB2312" w:hAnsi="仿宋_GB2312" w:eastAsia="黑体"/>
          <w:color w:val="auto"/>
          <w:sz w:val="32"/>
          <w:lang w:val="en" w:eastAsia="zh-CN"/>
        </w:rPr>
        <w:t>第三十五条　</w:t>
      </w:r>
      <w:r>
        <w:rPr>
          <w:rFonts w:hint="eastAsia" w:ascii="仿宋_GB2312" w:hAnsi="仿宋_GB2312" w:eastAsia="仿宋_GB2312"/>
          <w:color w:val="auto"/>
          <w:sz w:val="32"/>
          <w:lang w:val="en-US" w:eastAsia="zh-CN"/>
        </w:rPr>
        <w:t>各级人民政府及其有关部门工作人员违反本办法规定，滥用职权，玩忽职守，徇私舞弊的，由其上级主管部门或者监察机关依法给予处分；构成犯罪的，依法追究刑事责任。</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default" w:ascii="仿宋_GB2312" w:hAnsi="仿宋_GB2312" w:eastAsia="黑体"/>
          <w:color w:val="auto"/>
          <w:sz w:val="32"/>
          <w:lang w:val="en" w:eastAsia="zh-CN"/>
        </w:rPr>
        <w:t>第三十六条　</w:t>
      </w:r>
      <w:r>
        <w:rPr>
          <w:rFonts w:hint="eastAsia" w:ascii="仿宋_GB2312" w:hAnsi="仿宋_GB2312" w:eastAsia="仿宋_GB2312"/>
          <w:color w:val="auto"/>
          <w:sz w:val="32"/>
          <w:lang w:val="en-US" w:eastAsia="zh-CN"/>
        </w:rPr>
        <w:t>本办法下列用语的含义：</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eastAsia" w:ascii="仿宋_GB2312" w:hAnsi="仿宋_GB2312" w:eastAsia="仿宋_GB2312"/>
          <w:color w:val="auto"/>
          <w:sz w:val="32"/>
          <w:lang w:val="en-US" w:eastAsia="zh-CN"/>
        </w:rPr>
        <w:t>（一）大型工程机械设备和车辆定位管制系统是指用卫星定位、无线传输、远程操控和地理信息技术，实时记录和传输大型工程机械设备和车辆所在位置、行驶路线、行驶速度等数据的管制系统。定位管制系统由定位管制平台和定位管制终端组成。</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eastAsia" w:ascii="仿宋_GB2312" w:hAnsi="仿宋_GB2312" w:eastAsia="仿宋_GB2312"/>
          <w:color w:val="auto"/>
          <w:sz w:val="32"/>
          <w:lang w:val="en-US" w:eastAsia="zh-CN"/>
        </w:rPr>
        <w:t>（二）电子围栏是指在定位管制系统平台或者终端的电子地图上，圈定核心区和核心外延报警区。</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default" w:ascii="仿宋_GB2312" w:hAnsi="仿宋_GB2312" w:eastAsia="黑体"/>
          <w:color w:val="auto"/>
          <w:sz w:val="32"/>
          <w:lang w:val="en" w:eastAsia="zh-CN"/>
        </w:rPr>
        <w:t>第三十七条　</w:t>
      </w:r>
      <w:r>
        <w:rPr>
          <w:rFonts w:hint="eastAsia" w:ascii="仿宋_GB2312" w:hAnsi="仿宋_GB2312" w:eastAsia="仿宋_GB2312"/>
          <w:color w:val="auto"/>
          <w:sz w:val="32"/>
          <w:lang w:val="en-US" w:eastAsia="zh-CN"/>
        </w:rPr>
        <w:t>大型拖拉机实施定位管制参照本办法执行。</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default" w:ascii="仿宋_GB2312" w:hAnsi="仿宋_GB2312" w:eastAsia="黑体"/>
          <w:color w:val="auto"/>
          <w:sz w:val="32"/>
          <w:lang w:val="en" w:eastAsia="zh-CN"/>
        </w:rPr>
        <w:t>第三十八条　</w:t>
      </w:r>
      <w:r>
        <w:rPr>
          <w:rFonts w:hint="eastAsia" w:ascii="仿宋_GB2312" w:hAnsi="仿宋_GB2312" w:eastAsia="仿宋_GB2312"/>
          <w:color w:val="auto"/>
          <w:sz w:val="32"/>
          <w:lang w:val="en-US" w:eastAsia="zh-CN"/>
        </w:rPr>
        <w:t>本办法自2017年7月1日起施行。</w:t>
      </w:r>
      <w:bookmarkStart w:id="0" w:name="_GoBack"/>
      <w:bookmarkEnd w:id="0"/>
    </w:p>
    <w:sectPr>
      <w:headerReference r:id="rId3" w:type="default"/>
      <w:footerReference r:id="rId4" w:type="default"/>
      <w:pgSz w:w="11906" w:h="16838"/>
      <w:pgMar w:top="1962" w:right="1474" w:bottom="1848" w:left="1587" w:header="851" w:footer="992" w:gutter="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方正宋体S-超大字符集(SIP)"/>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DejaVu Sans">
    <w:panose1 w:val="020B0603030804020204"/>
    <w:charset w:val="00"/>
    <w:family w:val="auto"/>
    <w:pitch w:val="default"/>
    <w:sig w:usb0="E7006EFF" w:usb1="D200FDFF" w:usb2="0A246029" w:usb3="0400200C" w:csb0="600001FF" w:csb1="DFFF0000"/>
  </w:font>
  <w:font w:name="方正宋体S-超大字符集(SIP)">
    <w:panose1 w:val="03000509000000000000"/>
    <w:charset w:val="86"/>
    <w:family w:val="auto"/>
    <w:pitch w:val="default"/>
    <w:sig w:usb0="00000003" w:usb1="0A0E08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left="4788" w:leftChars="2280" w:firstLine="6400" w:firstLineChars="2000"/>
      <w:rPr>
        <w:rFonts w:hint="eastAsia" w:eastAsia="仿宋"/>
        <w:sz w:val="32"/>
        <w:szCs w:val="48"/>
        <w:lang w:val="en-US" w:eastAsia="zh-CN"/>
      </w:rPr>
    </w:pPr>
    <w:r>
      <w:rPr>
        <w:sz w:val="32"/>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BYAAABkcnMvUEsBAhQAFAAAAAgA&#10;h07iQLNJWO7QAAAABQEAAA8AAAAAAAAAAQAgAAAAOAAAAGRycy9kb3ducmV2LnhtbFBLAQIUABQA&#10;AAAIAIdO4kDiMuAOGwIAACkEAAAOAAAAAAAAAAEAIAAAADUBAABkcnMvZTJvRG9jLnhtbFBLBQYA&#10;AAAABgAGAFkBAADCBQAAAAA=&#10;">
              <v:fill on="f" focussize="0,0"/>
              <v:stroke on="f" weight="0.5pt"/>
              <v:imagedata o:title=""/>
              <o:lock v:ext="edit" aspectratio="f"/>
              <v:textbox inset="0mm,0mm,0mm,0mm" style="mso-fit-shape-to-text:t;">
                <w:txbxContent>
                  <w:p>
                    <w:pPr>
                      <w:pStyle w:val="3"/>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r>
      <w:rPr>
        <w:rFonts w:hint="eastAsia" w:eastAsia="仿宋"/>
        <w:sz w:val="32"/>
        <w:szCs w:val="48"/>
        <w:lang w:val="en-US" w:eastAsia="zh-CN"/>
      </w:rPr>
      <w:t xml:space="preserve">  </w:t>
    </w:r>
  </w:p>
  <w:p>
    <w:pPr>
      <w:pStyle w:val="4"/>
      <w:wordWrap w:val="0"/>
      <w:ind w:left="4788" w:leftChars="2280" w:firstLine="6400" w:firstLineChars="2000"/>
      <w:jc w:val="right"/>
      <w:rPr>
        <w:rFonts w:hint="default" w:ascii="宋体" w:hAnsi="宋体" w:eastAsia="宋体" w:cs="宋体"/>
        <w:b/>
        <w:bCs/>
        <w:color w:val="005192"/>
        <w:sz w:val="28"/>
        <w:szCs w:val="44"/>
        <w:lang w:val="en-US" w:eastAsia="zh-CN"/>
      </w:rPr>
    </w:pPr>
    <w:r>
      <w:rPr>
        <w:color w:val="FAFAFA"/>
        <w:sz w:val="32"/>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5.85pt;height:0.15pt;width:442.25pt;z-index:251661312;mso-width-relative:page;mso-height-relative:page;" filled="f" stroked="t" coordsize="21600,21600" o:gfxdata="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WAAAAZHJzL1BLAQIUABQAAAAIAIdO4kDzp6XR1AAAAAYBAAAP&#10;AAAAAAAAAAEAIAAAADgAAABkcnMvZG93bnJldi54bWxQSwECFAAUAAAACACHTuJArqM64M0BAABn&#10;AwAADgAAAAAAAAABACAAAAA5AQAAZHJzL2Uyb0RvYy54bWxQSwUGAAAAAAYABgBZAQAAeAUAAAAA&#10;">
              <v:fill on="f" focussize="0,0"/>
              <v:stroke weight="1.75pt" color="#005192 [3204]" miterlimit="8" joinstyle="miter"/>
              <v:imagedata o:title=""/>
              <o:lock v:ext="edit" aspectratio="f"/>
            </v:line>
          </w:pict>
        </mc:Fallback>
      </mc:AlternateContent>
    </w:r>
    <w:r>
      <w:rPr>
        <w:rFonts w:hint="eastAsia" w:eastAsia="仿宋"/>
        <w:color w:val="FAFAFA"/>
        <w:sz w:val="32"/>
        <w:szCs w:val="48"/>
        <w:lang w:val="en-US" w:eastAsia="zh-CN"/>
      </w:rPr>
      <w:t>X</w:t>
    </w:r>
    <w:r>
      <w:rPr>
        <w:rFonts w:hint="eastAsia" w:ascii="宋体" w:hAnsi="宋体" w:eastAsia="宋体" w:cs="宋体"/>
        <w:b/>
        <w:bCs/>
        <w:color w:val="005192"/>
        <w:sz w:val="28"/>
        <w:szCs w:val="44"/>
        <w:lang w:val="en-US" w:eastAsia="zh-CN"/>
      </w:rPr>
      <w:t>新疆维吾尔自治区人民政府发布</w:t>
    </w:r>
  </w:p>
  <w:p>
    <w:pPr>
      <w:pStyle w:val="4"/>
      <w:wordWrap w:val="0"/>
      <w:ind w:left="4788" w:leftChars="2280" w:firstLine="5621" w:firstLineChars="2000"/>
      <w:jc w:val="right"/>
      <w:rPr>
        <w:rFonts w:hint="eastAsia" w:ascii="宋体" w:hAnsi="宋体" w:eastAsia="宋体" w:cs="宋体"/>
        <w:b/>
        <w:bCs/>
        <w:color w:val="005192"/>
        <w:sz w:val="28"/>
        <w:szCs w:val="44"/>
        <w:lang w:val="en-US"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60288" behindDoc="0" locked="0" layoutInCell="1" allowOverlap="1">
              <wp:simplePos x="0" y="0"/>
              <wp:positionH relativeFrom="column">
                <wp:posOffset>-3810</wp:posOffset>
              </wp:positionH>
              <wp:positionV relativeFrom="paragraph">
                <wp:posOffset>690245</wp:posOffset>
              </wp:positionV>
              <wp:extent cx="5620385" cy="0"/>
              <wp:effectExtent l="0" t="12700" r="18415" b="15875"/>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3pt;margin-top:54.35pt;height:0pt;width:442.55pt;z-index:251660288;mso-width-relative:page;mso-height-relative:page;" filled="f" stroked="t" coordsize="21600,21600" o:gfxdata="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BYAAABkcnMvUEsBAhQAFAAAAAgAh07iQNRH&#10;QNbVAAAACQEAAA8AAAAAAAAAAQAgAAAAOAAAAGRycy9kb3ducmV2LnhtbFBLAQIUABQAAAAIAIdO&#10;4kDj7jEZ1wEAAG8DAAAOAAAAAAAAAAEAIAAAADoBAABkcnMvZTJvRG9jLnhtbFBLBQYAAAAABgAG&#10;AFkBAACDBQAAAAA=&#10;">
              <v:fill on="f" focussize="0,0"/>
              <v:stroke weight="1.75pt" color="#005192 [3204]" miterlimit="8" joinstyle="miter"/>
              <v:imagedata o:title=""/>
              <o:lock v:ext="edit" aspectratio="f"/>
            </v:line>
          </w:pict>
        </mc:Fallback>
      </mc:AlternateContent>
    </w:r>
  </w:p>
  <w:p>
    <w:pPr>
      <w:pStyle w:val="4"/>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szCs w:val="32"/>
        <w:lang w:val="en-US" w:eastAsia="zh-CN"/>
      </w:rPr>
    </w:pPr>
    <w:r>
      <w:rPr>
        <w:rFonts w:hint="eastAsia" w:ascii="宋体" w:hAnsi="宋体" w:eastAsia="宋体" w:cs="宋体"/>
        <w:b/>
        <w:bCs/>
        <w:color w:val="005192"/>
        <w:sz w:val="32"/>
      </w:rPr>
      <w:drawing>
        <wp:inline distT="0" distB="0" distL="114300" distR="114300">
          <wp:extent cx="308610" cy="308610"/>
          <wp:effectExtent l="0" t="0" r="11430" b="11430"/>
          <wp:docPr id="6" name="图片 6" descr="国徽1024"/>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true"/>
                  </pic:cNvPicPr>
                </pic:nvPicPr>
                <pic:blipFill>
                  <a:blip r:embed="rId1"/>
                  <a:stretch>
                    <a:fillRect/>
                  </a:stretch>
                </pic:blipFill>
                <pic:spPr>
                  <a:xfrm>
                    <a:off x="0" y="0"/>
                    <a:ext cx="308610" cy="308610"/>
                  </a:xfrm>
                  <a:prstGeom prst="rect">
                    <a:avLst/>
                  </a:prstGeom>
                </pic:spPr>
              </pic:pic>
            </a:graphicData>
          </a:graphic>
        </wp:inline>
      </w:drawing>
    </w:r>
    <w:r>
      <w:rPr>
        <w:rFonts w:hint="eastAsia" w:ascii="宋体" w:hAnsi="宋体" w:cs="宋体"/>
        <w:b/>
        <w:bCs/>
        <w:color w:val="005192"/>
        <w:sz w:val="32"/>
        <w:lang w:eastAsia="zh-CN"/>
      </w:rPr>
      <w:t>新疆维吾尔自治区人民政府</w:t>
    </w:r>
    <w:r>
      <w:rPr>
        <w:rFonts w:hint="eastAsia" w:ascii="宋体" w:hAnsi="宋体" w:eastAsia="宋体" w:cs="宋体"/>
        <w:b/>
        <w:bCs/>
        <w:color w:val="005192"/>
        <w:sz w:val="32"/>
        <w:szCs w:val="32"/>
        <w:lang w:val="en-US" w:eastAsia="zh-CN"/>
      </w:rPr>
      <w:t>规章</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false"/>
  <w:bordersDoNotSurroundFooter w:val="false"/>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19E71BD"/>
    <w:rsid w:val="04B679C3"/>
    <w:rsid w:val="080F63D8"/>
    <w:rsid w:val="08FDCF77"/>
    <w:rsid w:val="09341458"/>
    <w:rsid w:val="0B0912D7"/>
    <w:rsid w:val="0EFF8E81"/>
    <w:rsid w:val="0FFB27C2"/>
    <w:rsid w:val="0FFB2F5C"/>
    <w:rsid w:val="12FF010B"/>
    <w:rsid w:val="152D2DCA"/>
    <w:rsid w:val="1ABABA6E"/>
    <w:rsid w:val="1DDB9122"/>
    <w:rsid w:val="1DEC284C"/>
    <w:rsid w:val="1DFF6FAB"/>
    <w:rsid w:val="1E6523AC"/>
    <w:rsid w:val="1EF6C256"/>
    <w:rsid w:val="1F6F3FD5"/>
    <w:rsid w:val="1FFDBF88"/>
    <w:rsid w:val="1FFF4E51"/>
    <w:rsid w:val="22440422"/>
    <w:rsid w:val="27FE667C"/>
    <w:rsid w:val="2BDEB44D"/>
    <w:rsid w:val="2BDF82F8"/>
    <w:rsid w:val="2EBFCDFC"/>
    <w:rsid w:val="2FB7C0C4"/>
    <w:rsid w:val="2FFFC55A"/>
    <w:rsid w:val="31A15F24"/>
    <w:rsid w:val="363606EC"/>
    <w:rsid w:val="395347B5"/>
    <w:rsid w:val="39A232A0"/>
    <w:rsid w:val="39E745AA"/>
    <w:rsid w:val="3B5A6BBB"/>
    <w:rsid w:val="3BEF2462"/>
    <w:rsid w:val="3EDA13A6"/>
    <w:rsid w:val="3FFA20B4"/>
    <w:rsid w:val="3FFF1B53"/>
    <w:rsid w:val="42F058B7"/>
    <w:rsid w:val="436109F6"/>
    <w:rsid w:val="441A38D4"/>
    <w:rsid w:val="4BC77339"/>
    <w:rsid w:val="4C9236C5"/>
    <w:rsid w:val="4FEEBAE7"/>
    <w:rsid w:val="4FFF6020"/>
    <w:rsid w:val="505C172E"/>
    <w:rsid w:val="52F46F0B"/>
    <w:rsid w:val="53D8014D"/>
    <w:rsid w:val="55E064E0"/>
    <w:rsid w:val="566F83E0"/>
    <w:rsid w:val="572C6D10"/>
    <w:rsid w:val="57BBB06A"/>
    <w:rsid w:val="59FE161B"/>
    <w:rsid w:val="5CBEAF25"/>
    <w:rsid w:val="5DC34279"/>
    <w:rsid w:val="5E3E538C"/>
    <w:rsid w:val="5EAF41B4"/>
    <w:rsid w:val="5EB96EA7"/>
    <w:rsid w:val="5EFBA923"/>
    <w:rsid w:val="5F175F43"/>
    <w:rsid w:val="5F31210A"/>
    <w:rsid w:val="5FDD512D"/>
    <w:rsid w:val="5FFD1CCD"/>
    <w:rsid w:val="5FFF9BB9"/>
    <w:rsid w:val="608816D1"/>
    <w:rsid w:val="60EF4E7F"/>
    <w:rsid w:val="63BF1E29"/>
    <w:rsid w:val="63F714BE"/>
    <w:rsid w:val="665233C1"/>
    <w:rsid w:val="677FC52E"/>
    <w:rsid w:val="69E3FF5B"/>
    <w:rsid w:val="6AD9688B"/>
    <w:rsid w:val="6B9CF9A7"/>
    <w:rsid w:val="6D0E3F22"/>
    <w:rsid w:val="6D2B46C5"/>
    <w:rsid w:val="6F9F906E"/>
    <w:rsid w:val="6FEA34C1"/>
    <w:rsid w:val="72BF7D06"/>
    <w:rsid w:val="73EF83DD"/>
    <w:rsid w:val="75EFB4BE"/>
    <w:rsid w:val="76FE6E5A"/>
    <w:rsid w:val="77576A78"/>
    <w:rsid w:val="775D28C0"/>
    <w:rsid w:val="77730ACF"/>
    <w:rsid w:val="77DE8999"/>
    <w:rsid w:val="797F93E0"/>
    <w:rsid w:val="7BFE694A"/>
    <w:rsid w:val="7C6A8441"/>
    <w:rsid w:val="7C9011D9"/>
    <w:rsid w:val="7CFF30FE"/>
    <w:rsid w:val="7D3FC1EE"/>
    <w:rsid w:val="7DBEB93E"/>
    <w:rsid w:val="7DC651C5"/>
    <w:rsid w:val="7DDF3440"/>
    <w:rsid w:val="7DEF5333"/>
    <w:rsid w:val="7DFD0BF2"/>
    <w:rsid w:val="7DFE08D3"/>
    <w:rsid w:val="7EEB14A2"/>
    <w:rsid w:val="7EED3EA7"/>
    <w:rsid w:val="7EFD10DE"/>
    <w:rsid w:val="7F4951E8"/>
    <w:rsid w:val="7F566003"/>
    <w:rsid w:val="7F6F38EA"/>
    <w:rsid w:val="7FCC2834"/>
    <w:rsid w:val="7FDF9C6B"/>
    <w:rsid w:val="7FF349E5"/>
    <w:rsid w:val="7FF75C87"/>
    <w:rsid w:val="7FFB4064"/>
    <w:rsid w:val="8FD477DE"/>
    <w:rsid w:val="91FFBC28"/>
    <w:rsid w:val="96F289E3"/>
    <w:rsid w:val="9B790267"/>
    <w:rsid w:val="9CA9CF4B"/>
    <w:rsid w:val="9DF6E832"/>
    <w:rsid w:val="9EFA41A8"/>
    <w:rsid w:val="9FF69127"/>
    <w:rsid w:val="A3FFA377"/>
    <w:rsid w:val="AEAFE29F"/>
    <w:rsid w:val="AEFF1F52"/>
    <w:rsid w:val="AFDBF2CC"/>
    <w:rsid w:val="AFFF3C95"/>
    <w:rsid w:val="B77F895A"/>
    <w:rsid w:val="B7DF9E51"/>
    <w:rsid w:val="B7FF00F1"/>
    <w:rsid w:val="BB16F398"/>
    <w:rsid w:val="BD7F844B"/>
    <w:rsid w:val="BDCF21BB"/>
    <w:rsid w:val="BF1F15E8"/>
    <w:rsid w:val="BF7C4161"/>
    <w:rsid w:val="C1FE3029"/>
    <w:rsid w:val="C8F6BA27"/>
    <w:rsid w:val="CBFF7720"/>
    <w:rsid w:val="CEBE0E8D"/>
    <w:rsid w:val="D077943D"/>
    <w:rsid w:val="D1B948B6"/>
    <w:rsid w:val="D2FD3360"/>
    <w:rsid w:val="D6FF1E3C"/>
    <w:rsid w:val="DEC7ACFE"/>
    <w:rsid w:val="DF6FABB9"/>
    <w:rsid w:val="DFDF4CD2"/>
    <w:rsid w:val="DFFE954C"/>
    <w:rsid w:val="DFFFD602"/>
    <w:rsid w:val="E5AE602D"/>
    <w:rsid w:val="E7FD7553"/>
    <w:rsid w:val="E96F8726"/>
    <w:rsid w:val="EBFF3E6A"/>
    <w:rsid w:val="EDBB844C"/>
    <w:rsid w:val="EFDFEBD2"/>
    <w:rsid w:val="EFF68EE0"/>
    <w:rsid w:val="F3DFAF22"/>
    <w:rsid w:val="F5646866"/>
    <w:rsid w:val="F77F1A9E"/>
    <w:rsid w:val="F7FB037C"/>
    <w:rsid w:val="F7FC3310"/>
    <w:rsid w:val="F9FD8EDE"/>
    <w:rsid w:val="FAF643E6"/>
    <w:rsid w:val="FBB9D010"/>
    <w:rsid w:val="FBCF0F5B"/>
    <w:rsid w:val="FBFD3982"/>
    <w:rsid w:val="FBFED47D"/>
    <w:rsid w:val="FD7B2FA3"/>
    <w:rsid w:val="FDDCA309"/>
    <w:rsid w:val="FDEDC85B"/>
    <w:rsid w:val="FDF74B56"/>
    <w:rsid w:val="FDF9027D"/>
    <w:rsid w:val="FDF9E267"/>
    <w:rsid w:val="FDFFFE0C"/>
    <w:rsid w:val="FE0FF7B3"/>
    <w:rsid w:val="FE5CB8E5"/>
    <w:rsid w:val="FEDEE385"/>
    <w:rsid w:val="FEEFA190"/>
    <w:rsid w:val="FEF34001"/>
    <w:rsid w:val="FEFDFA9D"/>
    <w:rsid w:val="FEFEECB6"/>
    <w:rsid w:val="FEFF4C9D"/>
    <w:rsid w:val="FF3B17BA"/>
    <w:rsid w:val="FF6A92FD"/>
    <w:rsid w:val="FF7D25FD"/>
    <w:rsid w:val="FFAFC34F"/>
    <w:rsid w:val="FFDE7A1E"/>
    <w:rsid w:val="FFEE434C"/>
    <w:rsid w:val="FFEFBB5E"/>
    <w:rsid w:val="FFF6073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1</Lines>
  <Paragraphs>1</Paragraphs>
  <TotalTime>188</TotalTime>
  <ScaleCrop>false</ScaleCrop>
  <LinksUpToDate>false</LinksUpToDate>
  <CharactersWithSpaces>0</CharactersWithSpaces>
  <Application>WPS Office_11.8.2.9849_F1E327BC-269C-435d-A152-05C5408002CA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2021-09-18T18:41:00Z</dcterms:created>
  <dc:creator>t</dc:creator>
  <cp:lastModifiedBy>fzdy</cp:lastModifiedBy>
  <cp:lastPrinted>2021-11-04T19:30:00Z</cp:lastPrinted>
  <dcterms:modified xsi:type="dcterms:W3CDTF">2021-12-15T15:19:10Z</dcterms:modified>
  <dc:title>新疆维吾尔自治区大型工程机械设备和</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2052-11.8.2.9849</vt:lpwstr>
  </property>
  <property fmtid="{D5CDD505-2E9C-101B-9397-08002B2CF9AE}" pid="3" name="ICV">
    <vt:lpwstr>48C61CB29D3F4D9384F5922CF0F7FFB4</vt:lpwstr>
  </property>
</Properties>
</file>